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80387" w14:textId="48C618DD" w:rsidR="00186A9E" w:rsidRPr="00D207EA" w:rsidRDefault="00972E68" w:rsidP="00972E68">
      <w:pPr>
        <w:pStyle w:val="Pagedecouverture"/>
        <w:rPr>
          <w:noProof/>
        </w:rPr>
      </w:pPr>
      <w:r>
        <w:rPr>
          <w:noProof/>
        </w:rPr>
        <w:pict w14:anchorId="78A41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C5C8311-AD72-4389-926C-EDCB713A6C72" style="width:455.25pt;height:396.75pt">
            <v:imagedata r:id="rId11" o:title=""/>
          </v:shape>
        </w:pict>
      </w:r>
    </w:p>
    <w:p w14:paraId="547C1D45" w14:textId="77777777" w:rsidR="00186A9E" w:rsidRPr="00D207EA" w:rsidRDefault="00186A9E" w:rsidP="00186A9E">
      <w:pPr>
        <w:rPr>
          <w:noProof/>
        </w:rPr>
        <w:sectPr w:rsidR="00186A9E" w:rsidRPr="00D207EA" w:rsidSect="00972E68">
          <w:footerReference w:type="even" r:id="rId12"/>
          <w:footerReference w:type="default" r:id="rId13"/>
          <w:pgSz w:w="11907" w:h="16839"/>
          <w:pgMar w:top="1134" w:right="1417" w:bottom="1134" w:left="1417" w:header="709" w:footer="709" w:gutter="0"/>
          <w:pgNumType w:start="0"/>
          <w:cols w:space="720"/>
          <w:docGrid w:linePitch="360"/>
        </w:sectPr>
      </w:pPr>
    </w:p>
    <w:p w14:paraId="387BC7FE" w14:textId="77777777" w:rsidR="00794A16" w:rsidRPr="00D207EA" w:rsidRDefault="00794A16" w:rsidP="00794A16">
      <w:pPr>
        <w:pStyle w:val="Exposdesmotifstitre"/>
        <w:rPr>
          <w:noProof/>
        </w:rPr>
      </w:pPr>
      <w:bookmarkStart w:id="0" w:name="_GoBack"/>
      <w:bookmarkEnd w:id="0"/>
      <w:r w:rsidRPr="00D207EA">
        <w:rPr>
          <w:noProof/>
        </w:rPr>
        <w:lastRenderedPageBreak/>
        <w:t>EXPOSÉ DES MOTIFS</w:t>
      </w:r>
    </w:p>
    <w:p w14:paraId="7FB432A3" w14:textId="77777777" w:rsidR="00794A16" w:rsidRPr="00D207EA" w:rsidRDefault="00794A16" w:rsidP="00794A16">
      <w:pPr>
        <w:pStyle w:val="ManualHeading1"/>
        <w:rPr>
          <w:noProof/>
        </w:rPr>
      </w:pPr>
      <w:r w:rsidRPr="00D207EA">
        <w:rPr>
          <w:noProof/>
        </w:rPr>
        <w:t>1.</w:t>
      </w:r>
      <w:r w:rsidRPr="00D207EA">
        <w:rPr>
          <w:noProof/>
        </w:rPr>
        <w:tab/>
        <w:t>CONTEXTE DE LA PROPOSITION</w:t>
      </w:r>
    </w:p>
    <w:p w14:paraId="3F078F7A" w14:textId="77777777" w:rsidR="00794A16" w:rsidRPr="00D207EA" w:rsidRDefault="00794A16" w:rsidP="00794A16">
      <w:pPr>
        <w:pStyle w:val="ManualHeading2"/>
        <w:rPr>
          <w:rFonts w:eastAsia="Arial Unicode MS"/>
          <w:noProof/>
        </w:rPr>
      </w:pPr>
      <w:r w:rsidRPr="00D207EA">
        <w:rPr>
          <w:noProof/>
          <w:color w:val="000000"/>
          <w:u w:color="000000"/>
          <w:bdr w:val="nil"/>
        </w:rPr>
        <w:t>•</w:t>
      </w:r>
      <w:r w:rsidRPr="00D207EA">
        <w:rPr>
          <w:noProof/>
          <w:color w:val="000000"/>
          <w:u w:color="000000"/>
          <w:bdr w:val="nil"/>
        </w:rPr>
        <w:tab/>
      </w:r>
      <w:r w:rsidRPr="00D207EA">
        <w:rPr>
          <w:noProof/>
        </w:rPr>
        <w:t>Justification et objectifs de la proposition</w:t>
      </w:r>
    </w:p>
    <w:p w14:paraId="20180354" w14:textId="5124D0C2" w:rsidR="00794A16" w:rsidRPr="00D207EA" w:rsidRDefault="00F32512" w:rsidP="00794A16">
      <w:pPr>
        <w:rPr>
          <w:noProof/>
        </w:rPr>
      </w:pPr>
      <w:r w:rsidRPr="00D207EA">
        <w:rPr>
          <w:noProof/>
        </w:rPr>
        <w:t>Ces dernières années, les fonds de l’Union européenne dotés d’enveloppes préaffectées au niveau national ont joué un rôle crucial dans la réalisation des principaux objectifs et des politiques communes de l’Union, qu’il s’agisse de la cohésion économique, territoriale et sociale, de la garantie d’un niveau de vie juste pour la communauté agricole, de l’accès à des denrées alimentaires abordables, du soutien à la politique commune de la pêche ou de la création d’un espace de liberté, de sécurité et de justice. Actuellement, il existe plusieurs fonds qui sont principalement préaffectés aux États membres. Cependant, les profonds défis auxquels fait face notre Union demandent une réflexion sur la manière d’améliorer leur conception afin de répondre au mieux à nos priorités communes.</w:t>
      </w:r>
    </w:p>
    <w:p w14:paraId="54447658" w14:textId="0C697041" w:rsidR="00794A16" w:rsidRPr="00D207EA" w:rsidRDefault="00794A16" w:rsidP="00794A16">
      <w:pPr>
        <w:pBdr>
          <w:top w:val="nil"/>
          <w:left w:val="nil"/>
          <w:bottom w:val="nil"/>
          <w:right w:val="nil"/>
          <w:between w:val="nil"/>
          <w:bar w:val="nil"/>
        </w:pBdr>
        <w:spacing w:before="0" w:after="240"/>
        <w:rPr>
          <w:noProof/>
        </w:rPr>
      </w:pPr>
      <w:r w:rsidRPr="00D207EA">
        <w:rPr>
          <w:noProof/>
        </w:rPr>
        <w:t>Alors que les disparités régionales et territoriales ont été considérablement réduites, notamment grâce aux politiques de cohésion de l’Union, 29 % des citoyens de l’UE vivent toujours dans des régions dont le PIB par habitant est inférieur à 75 % de la moyenne de l’Union et environ 135 millions de personnes vivent dans des localités qui, au cours des vingt dernières années, se sont peu à peu retrouvées à la traîne. Les trajectoires de croissance divergentes actuelles risquent de creuser les écarts socio-économiques entre les États membres et à l’intérieur de ceux-ci, notamment entre les zones rurales et les zones urbaines.</w:t>
      </w:r>
    </w:p>
    <w:p w14:paraId="617CFD16" w14:textId="440435EB" w:rsidR="00794A16" w:rsidRPr="00D207EA" w:rsidRDefault="00794A16" w:rsidP="00794A16">
      <w:pPr>
        <w:rPr>
          <w:noProof/>
        </w:rPr>
      </w:pPr>
      <w:r w:rsidRPr="00D207EA">
        <w:rPr>
          <w:noProof/>
        </w:rPr>
        <w:t>Parallèlement, la sécurité alimentaire et la protection de la nature soutiennent la qualité de vie en Europe, la politique agricole commune (PAC) étant en mesure de garantir que 450 millions d’Européens ont accès à des denrées alimentaires sûres, diversifiées et de qualité à des prix abordables, tout en contribuant à la préservation de zones rurales dynamiques et à des progrès importants sur la voie de la durabilité. Pourtant, les risques à long terme pour la sécurité alimentaire ainsi que les effets du changement climatique et de la dégradation de l’environnement soumettent le secteur agricole à une pression croissante. En outre, les agriculteurs, les pêcheurs et les zones côtières et rurales sont de plus en plus touchés par une concurrence mondiale déloyale, la hausse des prix de l’énergie, la pénurie de jeunes agriculteurs et pêcheurs, et les difficultés d’accès au capital. Par exemple, malgré le soutien substantiel de la PAC, le revenu agricole par actif reste instable et nettement inférieur au salaire moyen dans l’économie de l’Union (60 % de celui-ci en 2023).</w:t>
      </w:r>
    </w:p>
    <w:p w14:paraId="13061D25" w14:textId="70955D12" w:rsidR="00794A16" w:rsidRPr="00D207EA" w:rsidRDefault="00794A16" w:rsidP="00794A16">
      <w:pPr>
        <w:rPr>
          <w:noProof/>
        </w:rPr>
      </w:pPr>
      <w:r w:rsidRPr="00D207EA">
        <w:rPr>
          <w:noProof/>
        </w:rPr>
        <w:t>La guerre, l’insécurité, la pauvreté et le manque de perspectives ont renforcé les flux migratoires, et l’utilisation des migrations aux frontières de l’Union comme arme a illustré de nouvelles formes de menaces. En même temps, le paysage politique et économique mondial pose des défis d’une ampleur sans précédent, la guerre faisant toujours rage sur le continent européen ainsi que dans son voisinage.</w:t>
      </w:r>
    </w:p>
    <w:p w14:paraId="6C98DA59" w14:textId="2D20808A" w:rsidR="00794A16" w:rsidRPr="00D207EA" w:rsidRDefault="00794A16" w:rsidP="00794A16">
      <w:pPr>
        <w:rPr>
          <w:noProof/>
        </w:rPr>
      </w:pPr>
      <w:r w:rsidRPr="00D207EA">
        <w:rPr>
          <w:noProof/>
        </w:rPr>
        <w:t>Bien qu’il ne s’agisse que de quelques-uns des nombreux défis auxquels notre Union est confrontée, ils montrent qu’il est nécessaire d’améliorer la conception du soutien de l’Union afin de répondre au mieux à nos priorités partagées et à nos politiques communes et de faire en sorte que le budget de l’Union continue à jouer un rôle clé dans le soutien à une croissance équitable et inclusive, à une convergence économique durable, à l’équité intergénérationnelle et à la sécurité. À cet égard, les orientations politiques pour la prochaine Commission européenne 2024-2029 appellent à une politique de cohésion et de croissance renforcée et modernisée ayant pour but de réduire les disparités économiques, sociales et territoriales, de soutenir l’emploi et de renforcer la compétitivité de l’Union. L’examen à mi-parcours de la politique de cohésion introduit déjà une certaine souplesse et propose des mesures incitatives pour orienter les investissements vers les défis émergents, tout en maintenant l’accent sur la réduction des disparités régionales. Toujours selon les orientations politiques, le secteur de la pêche doit rester durable, compétitif et résilient et la chaîne européenne de la pêche doit bénéficier de conditions de concurrence équitables. Un pacte européen pour les océans mettra l’accent sur le renforcement de l’économie bleue et sur la nécessité d’assurer la bonne gouvernance et la durabilité de nos océans, dans toutes leurs dimensions. Quant à la politique agricole commune, elle doit être plus ciblée et trouver le juste équilibre entre les incitations, les investissements et la réglementation, et garantir aux agriculteurs un revenu équitable et suffisant. Plus généralement, les orientations politiques promettent de soutenir les mesures visant à renforcer la défense et la sécurité de l’Europe et à mieux gérer les migrations, y compris la protection efficace des frontières extérieures de l’Union, ainsi que la préparation au changement climatique ou la lutte contre ce phénomène. À différentes occasions, les chefs d’État de l’Union ont appelé à renforcer la résilience de l’agriculture européenne afin de préserver la sécurité alimentaire à long terme, la valeur des communautés rurales dynamiques et le rôle essentiel de la PAC à cet égard. En outre, ils ont souligné la nécessité de garantir un cadre d’action stable et prévisible, notamment pour aider les agriculteurs à relever les défis environnementaux et climatiques.</w:t>
      </w:r>
    </w:p>
    <w:p w14:paraId="3EFD743B" w14:textId="52EFF17E" w:rsidR="00794A16" w:rsidRPr="00D207EA" w:rsidRDefault="00794A16" w:rsidP="00794A16">
      <w:pPr>
        <w:rPr>
          <w:noProof/>
        </w:rPr>
      </w:pPr>
      <w:r w:rsidRPr="00D207EA">
        <w:rPr>
          <w:noProof/>
        </w:rPr>
        <w:t>La communication de la Commission du 19 février 2025 intitulée «Une vision pour l’agriculture et l’alimentation» définit les principes généraux de la PAC après 2027. Ces principes comprennent une PAC reposant sur des objectifs et des exigences ciblées, davantage de responsabilités et l’obligation de rendre des comptes quant à la manière dont ils atteignent les objectifs de la PAC, le rôle essentiel de la PAC pour soutenir et stabiliser le revenu des agriculteurs et attirer la future génération d’agriculteurs, une politique plus simple et plus ciblée établissant un équilibre plus clair entre les incitations et la réglementation, une plus grande flexibilité pour les agriculteurs et le passage des conditions aux incitations.</w:t>
      </w:r>
    </w:p>
    <w:p w14:paraId="1C60C47E" w14:textId="5A1053ED" w:rsidR="00794A16" w:rsidRPr="00D207EA" w:rsidRDefault="00794A16" w:rsidP="00794A16">
      <w:pPr>
        <w:rPr>
          <w:noProof/>
        </w:rPr>
      </w:pPr>
      <w:r w:rsidRPr="00D207EA">
        <w:rPr>
          <w:noProof/>
        </w:rPr>
        <w:t>Plus largement, le présent cadre financier pluriannuel 2028-2034 est l’occasion de concevoir un budget plus orienté vers les politiques, plus simple, plus percutant et plus réactif, afin d’aider les États membres et leurs régions à répondre aux priorités et aux défis de la manière la plus efficace, inclusive et efficiente possible, en s’appuyant sur tous les enseignements tirés des programmes actuels. La communication de la Commission intitulée «La voie vers le prochain cadre financier pluriannuel», publiée le 11 février 2025, a souligné à cet égard qu’il était nécessaire de «</w:t>
      </w:r>
      <w:r w:rsidRPr="00D207EA">
        <w:rPr>
          <w:i/>
          <w:iCs/>
          <w:noProof/>
        </w:rPr>
        <w:t>s’attaquer aux complexités, aux faiblesses et aux rigidités actuelles et maximiser l’impact de chaque euro dépensé</w:t>
      </w:r>
      <w:r w:rsidRPr="00D207EA">
        <w:rPr>
          <w:noProof/>
        </w:rPr>
        <w:t>»</w:t>
      </w:r>
      <w:r w:rsidRPr="00D207EA">
        <w:rPr>
          <w:i/>
          <w:noProof/>
        </w:rPr>
        <w:t xml:space="preserve"> </w:t>
      </w:r>
      <w:r w:rsidRPr="00D207EA">
        <w:rPr>
          <w:noProof/>
        </w:rPr>
        <w:t>tout en garantissant la capacité du budget à s’adapter à une réalité changeante.</w:t>
      </w:r>
    </w:p>
    <w:p w14:paraId="475ECD12" w14:textId="77777777" w:rsidR="00794A16" w:rsidRPr="00D207EA" w:rsidRDefault="00794A16" w:rsidP="00794A16">
      <w:pPr>
        <w:rPr>
          <w:noProof/>
        </w:rPr>
      </w:pPr>
      <w:r w:rsidRPr="00D207EA">
        <w:rPr>
          <w:noProof/>
        </w:rPr>
        <w:t xml:space="preserve">La présente proposition de règlement vise à répondre à ces différents défis:  </w:t>
      </w:r>
    </w:p>
    <w:p w14:paraId="1AEE0754" w14:textId="77777777" w:rsidR="00794A16" w:rsidRPr="00D207EA" w:rsidRDefault="00794A16" w:rsidP="00C21519">
      <w:pPr>
        <w:pStyle w:val="Bullet0"/>
        <w:numPr>
          <w:ilvl w:val="0"/>
          <w:numId w:val="196"/>
        </w:numPr>
        <w:rPr>
          <w:noProof/>
        </w:rPr>
      </w:pPr>
      <w:r w:rsidRPr="00D207EA">
        <w:rPr>
          <w:b/>
          <w:noProof/>
        </w:rPr>
        <w:t>assurer une meilleure cohérence</w:t>
      </w:r>
      <w:r w:rsidRPr="00D207EA">
        <w:rPr>
          <w:noProof/>
        </w:rPr>
        <w:t xml:space="preserve"> entre les priorités de l’Union et les actions nationales et régionales; </w:t>
      </w:r>
    </w:p>
    <w:p w14:paraId="389BE88C" w14:textId="56528B4D" w:rsidR="00794A16" w:rsidRPr="00D207EA" w:rsidRDefault="00794A16" w:rsidP="00794A16">
      <w:pPr>
        <w:pStyle w:val="Bullet0"/>
        <w:rPr>
          <w:noProof/>
        </w:rPr>
      </w:pPr>
      <w:r w:rsidRPr="00D207EA">
        <w:rPr>
          <w:b/>
          <w:bCs/>
          <w:noProof/>
        </w:rPr>
        <w:t>parvenir à la simplification et à l’amélioration du rapport qualité/prix</w:t>
      </w:r>
      <w:r w:rsidR="00C30B95" w:rsidRPr="00D207EA">
        <w:rPr>
          <w:b/>
          <w:bCs/>
          <w:noProof/>
        </w:rPr>
        <w:t xml:space="preserve"> </w:t>
      </w:r>
      <w:r w:rsidRPr="00D207EA">
        <w:rPr>
          <w:noProof/>
        </w:rPr>
        <w:t>en mettant en place un système de mise en œuvre plus simple et plus efficace;</w:t>
      </w:r>
    </w:p>
    <w:p w14:paraId="50352431" w14:textId="4430DF8D" w:rsidR="00794A16" w:rsidRPr="00D207EA" w:rsidRDefault="00794A16" w:rsidP="00794A16">
      <w:pPr>
        <w:pStyle w:val="Bullet0"/>
        <w:rPr>
          <w:noProof/>
        </w:rPr>
      </w:pPr>
      <w:r w:rsidRPr="00D207EA">
        <w:rPr>
          <w:b/>
          <w:noProof/>
        </w:rPr>
        <w:t>répondre aux nouvelles priorités politiques</w:t>
      </w:r>
      <w:r w:rsidRPr="00D207EA">
        <w:rPr>
          <w:noProof/>
        </w:rPr>
        <w:t xml:space="preserve"> en facilitant la réaffectation des ressources pour répondre aux nouveaux besoins et aux crises imprévues, </w:t>
      </w:r>
      <w:r w:rsidRPr="00D207EA">
        <w:rPr>
          <w:b/>
          <w:noProof/>
        </w:rPr>
        <w:t>sans mettre en péril la réalisation des objectifs à long terme.</w:t>
      </w:r>
    </w:p>
    <w:p w14:paraId="21BA43C5" w14:textId="77777777" w:rsidR="00794A16" w:rsidRPr="00D207EA" w:rsidRDefault="00794A16" w:rsidP="00794A16">
      <w:pPr>
        <w:rPr>
          <w:noProof/>
        </w:rPr>
      </w:pPr>
      <w:r w:rsidRPr="00D207EA">
        <w:rPr>
          <w:noProof/>
        </w:rPr>
        <w:t>Pour atteindre ces objectifs, cette initiative prévoit le regroupement d’enveloppes préaffectées au niveau national dans le cadre d’un Fonds, aux fins suivantes:</w:t>
      </w:r>
    </w:p>
    <w:p w14:paraId="01C6997D" w14:textId="77777777" w:rsidR="00794A16" w:rsidRPr="00D207EA" w:rsidRDefault="00794A16" w:rsidP="00794A16">
      <w:pPr>
        <w:pStyle w:val="Bullet0"/>
        <w:rPr>
          <w:noProof/>
        </w:rPr>
      </w:pPr>
      <w:r w:rsidRPr="00D207EA">
        <w:rPr>
          <w:b/>
          <w:noProof/>
        </w:rPr>
        <w:t>Simplifier le cadre actuel</w:t>
      </w:r>
      <w:r w:rsidRPr="00D207EA">
        <w:rPr>
          <w:noProof/>
        </w:rPr>
        <w:t>: passer de près de 540 programmes à 27 plans de partenariat national et régional et à un plan Interreg, doté d’un large champ d’éligibilité et d’un ensemble unique de règles, réduira les coûts administratifs à tous les niveaux, facilitera l’accès au financement pour les entreprises de l’Union, y compris les PME, les autorités locales et les promoteurs de projets, et continuera de mettre l’accent sur la réduction des disparités régionales. Pour le secteur agricole, il s’agit d’une évolution fondée sur la réforme la plus récente, qui s’appuie déjà et pour la première fois sur des plans stratégiques nationaux et sur la performance. De même, le nouveau cadre garantit la cohérence en intégrant les interventions au titre de la PAC provenant de la structure actuelle à deux fonds dans un compartiment unique. Cette harmonisation apporte davantage de flexibilité et de simplification.</w:t>
      </w:r>
    </w:p>
    <w:p w14:paraId="3AFAF760" w14:textId="77777777" w:rsidR="00794A16" w:rsidRPr="00D207EA" w:rsidRDefault="00794A16" w:rsidP="00794A16">
      <w:pPr>
        <w:pStyle w:val="Bullet0"/>
        <w:rPr>
          <w:noProof/>
        </w:rPr>
      </w:pPr>
      <w:r w:rsidRPr="00D207EA">
        <w:rPr>
          <w:b/>
          <w:noProof/>
        </w:rPr>
        <w:t>Proposer un processus de programmation plus intégré</w:t>
      </w:r>
      <w:r w:rsidRPr="00D207EA">
        <w:rPr>
          <w:noProof/>
        </w:rPr>
        <w:t>: cela permettra d’adopter une approche plus différenciée et plus qualitative pour répondre aux priorités de l’Union, adaptée aux défis nationaux et régionaux de chaque État membre, en s’éloignant de l’approche «passe-partout». La programmation intégrée permettra également de renforcer les synergies entre les politiques, par exemple pour donner aux États membres les moyens de relever de manière plus globale les défis auxquels font face les zones rurales et côtières, ainsi qu’avec d’autres programmes de dépenses de l’Union (par exemple le Fonds européen pour la compétitivité ou le mécanisme pour l’interconnexion en Europe). Ce faisant, le Fonds garantira également un soutien continu à ceux qui en ont le plus besoin, notamment les régions les moins développées et les agriculteurs les plus démunis, en mettant fortement l’accent sur le renouvellement des générations.</w:t>
      </w:r>
    </w:p>
    <w:p w14:paraId="48F0E2BC" w14:textId="3F708D2E" w:rsidR="00794A16" w:rsidRPr="00D207EA" w:rsidRDefault="00794A16" w:rsidP="00794A16">
      <w:pPr>
        <w:pStyle w:val="Bullet0"/>
        <w:rPr>
          <w:noProof/>
        </w:rPr>
      </w:pPr>
      <w:r w:rsidRPr="00D207EA">
        <w:rPr>
          <w:b/>
          <w:noProof/>
        </w:rPr>
        <w:t>Garantir que le budget de l’Union favorise la réussite</w:t>
      </w:r>
      <w:r w:rsidRPr="00D207EA">
        <w:rPr>
          <w:noProof/>
        </w:rPr>
        <w:t>: pour ce faire, il faut fournir aux États membres et aux régions les objectifs nécessaires pour s’engager dans un programme de réforme ambitieux, qui profitera à l’Union dans son ensemble, et orienter les dépenses là où elles comptent et peuvent apporter la plus grande valeur ajoutée européenne, notamment en encourageant les États membres et les régions à sélectionner davantage de projets à forte valeur ajoutée européenne qu’aujourd’hui, y compris des projets à caractère transfrontalier et multinational (en particulier des projets importants d’intérêt européen commun). La cohérence sera assurée dans tous les domaines, grâce à une meilleure planification des politiques à tous les niveaux et à une allocation plus efficace des fonds de l’Union, là où ils peuvent donner les meilleurs résultats, ainsi qu’à la promotion de synergies plus fortes entre les politiques.</w:t>
      </w:r>
    </w:p>
    <w:p w14:paraId="5C37345D" w14:textId="5BE4EEA2" w:rsidR="00794A16" w:rsidRPr="00D207EA" w:rsidRDefault="00794A16" w:rsidP="00794A16">
      <w:pPr>
        <w:pStyle w:val="Bullet0"/>
        <w:rPr>
          <w:noProof/>
        </w:rPr>
      </w:pPr>
      <w:r w:rsidRPr="00D207EA">
        <w:rPr>
          <w:b/>
          <w:noProof/>
        </w:rPr>
        <w:t>Favoriser l’appropriation à tous les niveaux</w:t>
      </w:r>
      <w:r w:rsidRPr="00D207EA">
        <w:rPr>
          <w:noProof/>
        </w:rPr>
        <w:t>: avec une gouvernance à plusieurs niveaux et une forte dimension régionale, fondée sur une gestion partagée et sur le principe de partenariat, il faut veiller à ce que le soutien soit centré sur les besoins de chaque État membre, de ses régions et de ses secteurs, ainsi que sur la continuité et la prévisibilité, dans l’intérêt des autorités de gestion et les bénéficiaires.</w:t>
      </w:r>
    </w:p>
    <w:p w14:paraId="4CE0CD78" w14:textId="77777777" w:rsidR="00794A16" w:rsidRPr="00D207EA" w:rsidRDefault="00794A16" w:rsidP="00794A16">
      <w:pPr>
        <w:pStyle w:val="Bullet0"/>
        <w:rPr>
          <w:noProof/>
        </w:rPr>
      </w:pPr>
      <w:r w:rsidRPr="00D207EA">
        <w:rPr>
          <w:b/>
          <w:noProof/>
        </w:rPr>
        <w:t>Permettre une utilisation plus rapide et plus rentable des fonds</w:t>
      </w:r>
      <w:r w:rsidRPr="00D207EA">
        <w:rPr>
          <w:noProof/>
        </w:rPr>
        <w:t>: pour ce faire, il faut lier l’octroi de fonds aux États membres aux progrès réalisés dans la mise en œuvre des mesures plutôt qu’au remboursement des coûts éligibles.</w:t>
      </w:r>
    </w:p>
    <w:p w14:paraId="67374DD5" w14:textId="78A39D48" w:rsidR="00794A16" w:rsidRPr="00D207EA" w:rsidRDefault="00794A16" w:rsidP="00794A16">
      <w:pPr>
        <w:pStyle w:val="Bullet0"/>
        <w:rPr>
          <w:noProof/>
        </w:rPr>
      </w:pPr>
      <w:r w:rsidRPr="00D207EA">
        <w:rPr>
          <w:b/>
          <w:noProof/>
        </w:rPr>
        <w:t>Inscrire des garanties solides pour assurer le respect de l’état de droit</w:t>
      </w:r>
      <w:r w:rsidRPr="00D207EA">
        <w:rPr>
          <w:noProof/>
        </w:rPr>
        <w:t xml:space="preserve"> et l’application effective de la charte des droits fondamentaux de l’Union européenne tout au long de la mise en œuvre.</w:t>
      </w:r>
    </w:p>
    <w:p w14:paraId="4FB1CB08" w14:textId="77777777" w:rsidR="00794A16" w:rsidRPr="00D207EA" w:rsidRDefault="00794A16" w:rsidP="00794A16">
      <w:pPr>
        <w:pStyle w:val="Bullet0"/>
        <w:rPr>
          <w:noProof/>
        </w:rPr>
      </w:pPr>
      <w:r w:rsidRPr="00D207EA">
        <w:rPr>
          <w:b/>
          <w:noProof/>
        </w:rPr>
        <w:t>Encourager une plus grande flexibilité et adaptabilité</w:t>
      </w:r>
      <w:r w:rsidRPr="00D207EA">
        <w:rPr>
          <w:noProof/>
        </w:rPr>
        <w:t>, avec l’allocation progressive des fonds tout au long de la période de programmation, une révision simplifiée des plans, et une réserve au niveau de l’Union (Facilité de l’UE) qui offrira une marge de manœuvre supplémentaire pour s’adapter aux nouvelles priorités et aux crises.</w:t>
      </w:r>
    </w:p>
    <w:p w14:paraId="72C6C5E6" w14:textId="37D5CA98" w:rsidR="000C1614" w:rsidRPr="00D207EA" w:rsidRDefault="000C1614" w:rsidP="00C9037A">
      <w:pPr>
        <w:rPr>
          <w:noProof/>
        </w:rPr>
      </w:pPr>
      <w:r w:rsidRPr="00D207EA">
        <w:rPr>
          <w:noProof/>
        </w:rPr>
        <w:t>Une Facilité de l’UE viendra compléter la mise en œuvre aux niveaux national et régional. La Facilité de l’UE soutiendra des projets transnationaux et innovants, à forte valeur ajoutée européenne, qui nécessitent des efforts de coordination supplémentaires au niveau de l’Union. Elle fournira également un soutien technique aux États membres pour la mise en œuvre effective de leurs plans de partenariat national et régional. En outre, la Facilité aidera les États membres à répondre rapidement à des besoins urgents et spécifiques en réaction à une situation de crise telle qu’une catastrophe naturelle nationale ou régionale majeure, et favorisera la remise en état et la relance afin de renforcer la résilience après une crise. Elle permettra également de faire face à l’incertitude en offrant à l’Union une marge de manœuvre supplémentaire pour s’adapter aux priorités qui se dégagent au niveau de l’Union et nécessitent une réponse coordonnée.</w:t>
      </w:r>
    </w:p>
    <w:p w14:paraId="4EA2FA25" w14:textId="1FC9F161" w:rsidR="00794A16" w:rsidRPr="00D207EA" w:rsidRDefault="00794A16" w:rsidP="00C9037A">
      <w:pPr>
        <w:rPr>
          <w:noProof/>
        </w:rPr>
      </w:pPr>
      <w:r w:rsidRPr="00D207EA">
        <w:rPr>
          <w:noProof/>
        </w:rPr>
        <w:t>Cette proposition est accompagnée de propositions de règlements sectoriels, qui fixent des conditions spécifiques pour l’octroi du soutien de l’Union dans les domaines d’action couverts par les plans. Ce soutien de l’Union sera fourni dans le cadre du Fonds, conformément aux règles qui le régissent, telles qu’elles sont proposées dans le présent règlement.</w:t>
      </w:r>
    </w:p>
    <w:p w14:paraId="5D63455E" w14:textId="77777777" w:rsidR="00794A16" w:rsidRPr="00D207EA" w:rsidRDefault="00794A16" w:rsidP="00794A16">
      <w:pPr>
        <w:pStyle w:val="ManualHeading2"/>
        <w:rPr>
          <w:rFonts w:eastAsia="Arial Unicode MS"/>
          <w:noProof/>
          <w:color w:val="000000"/>
          <w:u w:color="000000"/>
          <w:bdr w:val="nil"/>
        </w:rPr>
      </w:pPr>
      <w:r w:rsidRPr="00D207EA">
        <w:rPr>
          <w:noProof/>
          <w:color w:val="000000"/>
          <w:u w:color="000000"/>
          <w:bdr w:val="nil"/>
        </w:rPr>
        <w:t>•</w:t>
      </w:r>
      <w:r w:rsidRPr="00D207EA">
        <w:rPr>
          <w:noProof/>
          <w:color w:val="000000"/>
          <w:u w:color="000000"/>
          <w:bdr w:val="nil"/>
        </w:rPr>
        <w:tab/>
      </w:r>
      <w:r w:rsidRPr="00D207EA">
        <w:rPr>
          <w:noProof/>
        </w:rPr>
        <w:t>Cohérence avec les dispositions existantes dans le domaine d’action</w:t>
      </w:r>
    </w:p>
    <w:p w14:paraId="4468FE84" w14:textId="77777777" w:rsidR="00794A16" w:rsidRPr="00D207EA" w:rsidRDefault="00794A16" w:rsidP="00794A16">
      <w:pPr>
        <w:rPr>
          <w:rFonts w:eastAsia="Times New Roman"/>
          <w:noProof/>
        </w:rPr>
      </w:pPr>
      <w:r w:rsidRPr="00D207EA">
        <w:rPr>
          <w:noProof/>
        </w:rPr>
        <w:t>Le Fonds permettra de mieux tirer profit des synergies entre les politiques couvertes par le champ d’application de cette initiative et donc de soutenir leur mise en œuvre. Par exemple, en regroupant la politique de cohésion, la politique agricole commune et la politique commune de la pêche dans une approche de programmation unique, les États membres disposeront d’une boîte à outils mieux fournie pour relever les défis auxquels sont confrontés les agriculteurs et les communautés des zones rurales et côtières (par exemple, le développement des infrastructures; les services, la transition numérique, l’accès à l’eau et les infrastructures énergétiques; le développement des compétences et le renouvellement des générations). De même, en intégrant la migration et la cohésion dans la même approche de programmation, les États membres et les régions seront mieux équipés pour intégrer les migrants sur le marché du travail tout en protégeant leurs frontières.</w:t>
      </w:r>
    </w:p>
    <w:p w14:paraId="0AF8DFDA" w14:textId="77777777" w:rsidR="00794A16" w:rsidRPr="00D207EA" w:rsidRDefault="00794A16" w:rsidP="00794A16">
      <w:pPr>
        <w:rPr>
          <w:rFonts w:eastAsia="Times New Roman"/>
          <w:noProof/>
        </w:rPr>
      </w:pPr>
      <w:r w:rsidRPr="00D207EA">
        <w:rPr>
          <w:noProof/>
        </w:rPr>
        <w:t>Un cadre simplifié pour les enveloppes préaffectées au niveau national permettra de tirer plus facilement parti des synergies avec d’autres programmes budgétaires de l’Union, le mécanisme directeur garantissant une programmation cohérente sans chevauchements. Des synergies seront particulièrement utiles avec l’instrument InvestEU du Fonds européen pour la compétitivité, le mécanisme pour l’interconnexion en Europe, le programme Erasmus+, le programme relatif au marché unique, les douanes et la coopération entre les autorités nationales, et le Fonds «L’Europe dans le monde».</w:t>
      </w:r>
    </w:p>
    <w:p w14:paraId="08B07621" w14:textId="77777777" w:rsidR="00794A16" w:rsidRPr="00D207EA" w:rsidRDefault="00794A16" w:rsidP="00794A16">
      <w:pPr>
        <w:pStyle w:val="ManualHeading2"/>
        <w:rPr>
          <w:rFonts w:eastAsia="Arial Unicode MS"/>
          <w:noProof/>
        </w:rPr>
      </w:pPr>
      <w:r w:rsidRPr="00D207EA">
        <w:rPr>
          <w:noProof/>
          <w:color w:val="000000"/>
          <w:u w:color="000000"/>
          <w:bdr w:val="nil"/>
        </w:rPr>
        <w:t>•</w:t>
      </w:r>
      <w:r w:rsidRPr="00D207EA">
        <w:rPr>
          <w:noProof/>
          <w:color w:val="000000"/>
          <w:u w:color="000000"/>
          <w:bdr w:val="nil"/>
        </w:rPr>
        <w:tab/>
      </w:r>
      <w:r w:rsidRPr="00D207EA">
        <w:rPr>
          <w:noProof/>
        </w:rPr>
        <w:t>Cohérence avec les autres politiques de l’Union</w:t>
      </w:r>
    </w:p>
    <w:p w14:paraId="74B091D9" w14:textId="77777777" w:rsidR="00794A16" w:rsidRPr="00D207EA" w:rsidRDefault="00794A16" w:rsidP="00794A16">
      <w:pPr>
        <w:rPr>
          <w:rFonts w:eastAsia="Times New Roman"/>
          <w:noProof/>
        </w:rPr>
      </w:pPr>
      <w:r w:rsidRPr="00D207EA">
        <w:rPr>
          <w:noProof/>
        </w:rPr>
        <w:t>Le Fonds soutiendra et, par conséquent, renforcera la cohérence avec d’autres politiques de l’Union, telles que:</w:t>
      </w:r>
    </w:p>
    <w:p w14:paraId="34D82513" w14:textId="77777777" w:rsidR="00794A16" w:rsidRPr="00D207EA" w:rsidRDefault="00794A16" w:rsidP="00794A16">
      <w:pPr>
        <w:pStyle w:val="Bullet0"/>
        <w:rPr>
          <w:noProof/>
        </w:rPr>
      </w:pPr>
      <w:r w:rsidRPr="00D207EA">
        <w:rPr>
          <w:noProof/>
        </w:rPr>
        <w:t>la communication de la Commission intitulée «Une Europe plus simple et plus rapide: Communication sur la mise en œuvre et la simplification»</w:t>
      </w:r>
      <w:r w:rsidRPr="00D207EA">
        <w:rPr>
          <w:rStyle w:val="FootnoteReference"/>
          <w:rFonts w:eastAsia="Times New Roman"/>
          <w:noProof/>
          <w:lang w:eastAsia="en-IE"/>
        </w:rPr>
        <w:footnoteReference w:id="2"/>
      </w:r>
      <w:r w:rsidRPr="00D207EA">
        <w:rPr>
          <w:noProof/>
        </w:rPr>
        <w:t>, qui crée un nouvel élan pour accélérer, simplifier et améliorer les politiques et la législation de l’UE, pour rendre les règles plus claires et plus faciles à comprendre et pour mettre ces dernières en œuvre plus rapidement;</w:t>
      </w:r>
    </w:p>
    <w:p w14:paraId="63130B76" w14:textId="77777777" w:rsidR="00794A16" w:rsidRPr="00D207EA" w:rsidRDefault="00794A16" w:rsidP="00794A16">
      <w:pPr>
        <w:pStyle w:val="Bullet0"/>
        <w:rPr>
          <w:noProof/>
        </w:rPr>
      </w:pPr>
      <w:r w:rsidRPr="00D207EA">
        <w:rPr>
          <w:noProof/>
        </w:rPr>
        <w:t>la boussole pour la compétitivité de l’UE</w:t>
      </w:r>
      <w:r w:rsidRPr="00D207EA">
        <w:rPr>
          <w:rStyle w:val="FootnoteReference"/>
          <w:rFonts w:eastAsia="Times New Roman"/>
          <w:noProof/>
          <w:lang w:eastAsia="en-IE"/>
        </w:rPr>
        <w:footnoteReference w:id="3"/>
      </w:r>
      <w:r w:rsidRPr="00D207EA">
        <w:rPr>
          <w:noProof/>
        </w:rPr>
        <w:t xml:space="preserve">, qui préconise des catalyseurs horizontaux tels que la suppression des obstacles au marché unique, l’approfondissement des marchés de capitaux par la mise en œuvre de réformes étayant l’union de l’épargne et des investissements, ainsi que la simplification de l’environnement réglementaire en recentrant le budget de l’Union. Le fait de disposer d’un cadre simplifié pour les enveloppes préaffectées au niveau national permettra à cet égard de mieux exploiter les synergies avec d’autres instruments du budget de l’Union, notamment le Fonds européen pour la compétitivité et Horizon Europe; </w:t>
      </w:r>
    </w:p>
    <w:p w14:paraId="6CABAB98" w14:textId="77777777" w:rsidR="00794A16" w:rsidRPr="00D207EA" w:rsidRDefault="00794A16" w:rsidP="00794A16">
      <w:pPr>
        <w:pStyle w:val="Bullet0"/>
        <w:rPr>
          <w:noProof/>
        </w:rPr>
      </w:pPr>
      <w:r w:rsidRPr="00D207EA">
        <w:rPr>
          <w:noProof/>
        </w:rPr>
        <w:t>le pacte pour une industrie propre</w:t>
      </w:r>
      <w:r w:rsidRPr="00D207EA">
        <w:rPr>
          <w:rStyle w:val="FootnoteReference"/>
          <w:rFonts w:eastAsia="Times New Roman"/>
          <w:noProof/>
          <w:lang w:eastAsia="en-IE"/>
        </w:rPr>
        <w:footnoteReference w:id="4"/>
      </w:r>
      <w:r w:rsidRPr="00D207EA">
        <w:rPr>
          <w:noProof/>
        </w:rPr>
        <w:t>, qui établit une feuille de route commune pour la compétitivité et la décarbonation et définit le CFP post-2027 comme un catalyseur essentiel de la transition propre. Dans le cadre du pacte pour une industrie propre, la Commission a adopté le plan d’action pour une énergie abordable</w:t>
      </w:r>
      <w:r w:rsidRPr="00D207EA">
        <w:rPr>
          <w:rStyle w:val="FootnoteReference"/>
          <w:noProof/>
        </w:rPr>
        <w:footnoteReference w:id="5"/>
      </w:r>
      <w:r w:rsidRPr="00D207EA">
        <w:rPr>
          <w:noProof/>
        </w:rPr>
        <w:t xml:space="preserve"> qui vise à réduire les coûts énergétiques pour tous, à accélérer le déploiement des énergies renouvelables, et à accroître l’efficacité énergétique ou la préparation aux crises énergétiques; </w:t>
      </w:r>
    </w:p>
    <w:p w14:paraId="10E2DE7B" w14:textId="77777777" w:rsidR="00794A16" w:rsidRPr="00D207EA" w:rsidRDefault="00794A16" w:rsidP="00794A16">
      <w:pPr>
        <w:pStyle w:val="Bullet0"/>
        <w:rPr>
          <w:noProof/>
        </w:rPr>
      </w:pPr>
      <w:r w:rsidRPr="00D207EA">
        <w:rPr>
          <w:noProof/>
        </w:rPr>
        <w:t>la communication de la Commission du 5 mars 2025 sur l’union des compétences</w:t>
      </w:r>
      <w:r w:rsidRPr="00D207EA">
        <w:rPr>
          <w:rStyle w:val="FootnoteReference"/>
          <w:noProof/>
        </w:rPr>
        <w:footnoteReference w:id="6"/>
      </w:r>
      <w:r w:rsidRPr="00D207EA">
        <w:rPr>
          <w:noProof/>
        </w:rPr>
        <w:t>, qui présente les mesures à prendre pour doter les citoyens des compétences adéquates et rendre l’Europe plus compétitive et plus inclusive;</w:t>
      </w:r>
    </w:p>
    <w:p w14:paraId="6A7DDCB0" w14:textId="77777777" w:rsidR="00794A16" w:rsidRPr="00D207EA" w:rsidRDefault="00794A16" w:rsidP="00794A16">
      <w:pPr>
        <w:pStyle w:val="Bullet0"/>
        <w:rPr>
          <w:noProof/>
        </w:rPr>
      </w:pPr>
      <w:r w:rsidRPr="00D207EA">
        <w:rPr>
          <w:noProof/>
        </w:rPr>
        <w:t>la «Vision pour l’agriculture et l’alimentation»</w:t>
      </w:r>
      <w:r w:rsidRPr="00D207EA">
        <w:rPr>
          <w:rStyle w:val="FootnoteReference"/>
          <w:noProof/>
        </w:rPr>
        <w:footnoteReference w:id="7"/>
      </w:r>
      <w:r w:rsidRPr="00D207EA">
        <w:rPr>
          <w:noProof/>
        </w:rPr>
        <w:t xml:space="preserve"> du 19 février 2025, qui propose des mesures visant à garantir la compétitivité, la durabilité et la résilience à long terme du secteur agricole et alimentaire de l’Union;</w:t>
      </w:r>
    </w:p>
    <w:p w14:paraId="79883B21" w14:textId="77777777" w:rsidR="005C41DA" w:rsidRPr="00D207EA" w:rsidRDefault="005C41DA" w:rsidP="005C41DA">
      <w:pPr>
        <w:pStyle w:val="Bullet0"/>
        <w:rPr>
          <w:noProof/>
        </w:rPr>
      </w:pPr>
      <w:r w:rsidRPr="00D207EA">
        <w:rPr>
          <w:noProof/>
        </w:rPr>
        <w:t>la politique de recherche et d’innovation s’appuyant sur la stratégie de l’UE en matière de recherche et d’innovation océaniques; et la stratégie pour la résilience dans le domaine de l’eau, de façon synergique;</w:t>
      </w:r>
    </w:p>
    <w:p w14:paraId="7A51501B" w14:textId="77777777" w:rsidR="00794A16" w:rsidRPr="00D207EA" w:rsidRDefault="00794A16" w:rsidP="00794A16">
      <w:pPr>
        <w:pStyle w:val="Bullet0"/>
        <w:rPr>
          <w:noProof/>
        </w:rPr>
      </w:pPr>
      <w:r w:rsidRPr="00D207EA">
        <w:rPr>
          <w:noProof/>
        </w:rPr>
        <w:t xml:space="preserve">le livre blanc sur l’avenir de la défense européenne – Préparation à l’horizon 2030 du 19 mars 2025 qui prévoit une nouvelle stratégie en matière de défense et définit les besoins d’investissement. Il met en relief les principales lignes d’action visant à préserver la sécurité de l’Europe, notamment en investissant massivement dans la défense et en renforçant l’état de préparation de l’industrie européenne de la défense; </w:t>
      </w:r>
    </w:p>
    <w:p w14:paraId="1C7B0409" w14:textId="77777777" w:rsidR="00004583" w:rsidRPr="00D207EA" w:rsidRDefault="00004583" w:rsidP="00004583">
      <w:pPr>
        <w:pStyle w:val="Bullet0"/>
        <w:rPr>
          <w:noProof/>
        </w:rPr>
      </w:pPr>
      <w:r w:rsidRPr="00D207EA">
        <w:rPr>
          <w:noProof/>
        </w:rPr>
        <w:t>la communication de la Commission du 5 mars 2025 intitulée «Plan d’action industriel en faveur du secteur automobile», qui définit les étapes nécessaires à la transition vers des véhicules à émissions nulles, connectés et de plus en plus automatisés;</w:t>
      </w:r>
    </w:p>
    <w:p w14:paraId="36569A39" w14:textId="77777777" w:rsidR="00004583" w:rsidRPr="00D207EA" w:rsidRDefault="00004583" w:rsidP="00004583">
      <w:pPr>
        <w:pStyle w:val="Bullet0"/>
        <w:rPr>
          <w:noProof/>
        </w:rPr>
      </w:pPr>
      <w:r w:rsidRPr="00D207EA">
        <w:rPr>
          <w:noProof/>
        </w:rPr>
        <w:t>la communication de la Commission du 9 décembre 2020 intitulée «Stratégie de mobilité durable et intelligente – mettre les transports européens sur la voie de l’avenir» définit les étapes nécessaires pour que le système de transport européen parvienne à une mobilité durable, intelligente et résiliente;</w:t>
      </w:r>
    </w:p>
    <w:p w14:paraId="33674517" w14:textId="77777777" w:rsidR="00A65BAB" w:rsidRPr="00D207EA" w:rsidRDefault="00826FE9" w:rsidP="00004583">
      <w:pPr>
        <w:pStyle w:val="Bullet0"/>
        <w:rPr>
          <w:noProof/>
        </w:rPr>
      </w:pPr>
      <w:r w:rsidRPr="00D207EA">
        <w:rPr>
          <w:noProof/>
        </w:rPr>
        <w:t>l’Union de l’égalité et ses stratégies connexes, dont l’objectif est de lutter contre la discrimination fondée sur le sexe, la race ou l’origine ethnique, la religion ou les convictions, le handicap, l’âge ou l’orientation sexuelle. Le pacte européen pour l’Océan du 5 juin 2025, qui définit une stratégie globale visant à mieux protéger l’océan, promeut une économie bleue prospère et soutient le bien-être des personnes vivant dans les zones côtières;</w:t>
      </w:r>
    </w:p>
    <w:p w14:paraId="1BD248AB" w14:textId="77777777" w:rsidR="00DF0DB0" w:rsidRPr="00D207EA" w:rsidRDefault="00DF0DB0" w:rsidP="00004583">
      <w:pPr>
        <w:pStyle w:val="Bullet0"/>
        <w:rPr>
          <w:noProof/>
        </w:rPr>
      </w:pPr>
      <w:r w:rsidRPr="00D207EA">
        <w:rPr>
          <w:noProof/>
        </w:rPr>
        <w:t>la communication sur la stratégie européenne pour une union de la préparation, qui vise à prévenir les menaces et les crises émergentes et à y réagir; </w:t>
      </w:r>
    </w:p>
    <w:p w14:paraId="6D3A7C45" w14:textId="77777777" w:rsidR="006615DC" w:rsidRPr="00D207EA" w:rsidRDefault="000C70BB" w:rsidP="000C70BB">
      <w:pPr>
        <w:pStyle w:val="Bullet0"/>
        <w:rPr>
          <w:noProof/>
        </w:rPr>
      </w:pPr>
      <w:r w:rsidRPr="00D207EA">
        <w:rPr>
          <w:noProof/>
        </w:rPr>
        <w:t>les trains de mesures omnibus adoptés au cours de l’année 2025</w:t>
      </w:r>
      <w:r w:rsidRPr="00D207EA">
        <w:rPr>
          <w:rStyle w:val="FootnoteReference"/>
          <w:noProof/>
          <w:lang w:eastAsia="en-IE"/>
        </w:rPr>
        <w:footnoteReference w:id="8"/>
      </w:r>
      <w:r w:rsidRPr="00D207EA">
        <w:rPr>
          <w:noProof/>
        </w:rPr>
        <w:t>, qui s’attachent, entre autres, à la simplification, à la cohérence avec d’autres textes législatifs et à la réduction du nombre de points de données. Le règlement pour une industrie «zéro net» et le règlement sur les matières premières critiques, également du point de vue des courts délais d’autorisation;</w:t>
      </w:r>
    </w:p>
    <w:p w14:paraId="77BE4D16" w14:textId="77777777" w:rsidR="002962F6" w:rsidRPr="00D207EA" w:rsidRDefault="002962F6" w:rsidP="002962F6">
      <w:pPr>
        <w:pStyle w:val="Bullet0"/>
        <w:rPr>
          <w:noProof/>
        </w:rPr>
      </w:pPr>
      <w:r w:rsidRPr="00D207EA">
        <w:rPr>
          <w:noProof/>
        </w:rPr>
        <w:t>la communication de la Commission du 5 juin 2025 sur une stratégie européenne pour la résilience dans le domaine de l’eau;</w:t>
      </w:r>
    </w:p>
    <w:p w14:paraId="5AA04618" w14:textId="77777777" w:rsidR="002962F6" w:rsidRPr="00D207EA" w:rsidRDefault="002962F6" w:rsidP="002962F6">
      <w:pPr>
        <w:pStyle w:val="Bullet0"/>
        <w:rPr>
          <w:noProof/>
        </w:rPr>
      </w:pPr>
      <w:r w:rsidRPr="00D207EA">
        <w:rPr>
          <w:noProof/>
        </w:rPr>
        <w:t xml:space="preserve">le programme d’action pour la décennie numérique à l’horizon 2030, établi par la décision (UE) 2022/2481 du Parlement européen et du Conseil, qui fixe les objectifs de l’Union en matière de transition numérique pour 2030 et prévoit un mécanisme de suivi et de coopération fondé sur les feuilles de route stratégiques nationales relatives à la décennie numérique; les communications annuelles sur l’état d’avancement de la décennie numérique, qui évaluent les progrès de l’Union vers les objectifs numériques pour 2030 et fournissent des recommandations exploitables pour chaque État membre; </w:t>
      </w:r>
    </w:p>
    <w:p w14:paraId="51ADDF5C" w14:textId="77777777" w:rsidR="002962F6" w:rsidRPr="00D207EA" w:rsidRDefault="002962F6" w:rsidP="002962F6">
      <w:pPr>
        <w:pStyle w:val="Bullet0"/>
        <w:rPr>
          <w:noProof/>
        </w:rPr>
      </w:pPr>
      <w:r w:rsidRPr="00D207EA">
        <w:rPr>
          <w:noProof/>
        </w:rPr>
        <w:t xml:space="preserve">la communication de la Commission sur le plan d’action pour un continent de l’IA; </w:t>
      </w:r>
    </w:p>
    <w:p w14:paraId="165EA1B1" w14:textId="213DC6A5" w:rsidR="002962F6" w:rsidRPr="00D207EA" w:rsidRDefault="002962F6" w:rsidP="002962F6">
      <w:pPr>
        <w:pStyle w:val="Bullet0"/>
        <w:rPr>
          <w:noProof/>
        </w:rPr>
      </w:pPr>
      <w:r w:rsidRPr="00D207EA">
        <w:rPr>
          <w:noProof/>
        </w:rPr>
        <w:t>la communication de la Commission du 19 mars 2025 sur l’Union de l’épargne et de l’investissement</w:t>
      </w:r>
      <w:r w:rsidRPr="00D207EA">
        <w:rPr>
          <w:rStyle w:val="FootnoteReference"/>
          <w:noProof/>
        </w:rPr>
        <w:footnoteReference w:id="9"/>
      </w:r>
      <w:r w:rsidRPr="00D207EA">
        <w:rPr>
          <w:noProof/>
        </w:rPr>
        <w:t>, qui propose des mesures visant à créer de meilleures possibilités d’investissement pour les citoyens de l’Union et des choix de financement pour les entreprises de l’Union, faisant ainsi des marchés financiers un catalyseur horizontal des objectifs stratégiques de l’Union.</w:t>
      </w:r>
    </w:p>
    <w:p w14:paraId="476DD1E7" w14:textId="77777777" w:rsidR="00004583" w:rsidRPr="00D207EA" w:rsidRDefault="0091695F" w:rsidP="00C9037A">
      <w:pPr>
        <w:rPr>
          <w:noProof/>
        </w:rPr>
      </w:pPr>
      <w:r w:rsidRPr="00D207EA">
        <w:rPr>
          <w:noProof/>
        </w:rPr>
        <w:t>Cette initiative assurera également la cohérence avec la loi européenne sur le climat, comme l’exige l’article 6, paragraphe 4, du règlement (UE) 2021/1119.</w:t>
      </w:r>
    </w:p>
    <w:p w14:paraId="5B1A5326" w14:textId="77777777" w:rsidR="00794A16" w:rsidRPr="00D207EA" w:rsidRDefault="00794A16" w:rsidP="00794A16">
      <w:pPr>
        <w:pStyle w:val="ManualHeading1"/>
        <w:rPr>
          <w:noProof/>
        </w:rPr>
      </w:pPr>
      <w:r w:rsidRPr="00D207EA">
        <w:rPr>
          <w:noProof/>
        </w:rPr>
        <w:t>2.</w:t>
      </w:r>
      <w:r w:rsidRPr="00D207EA">
        <w:rPr>
          <w:noProof/>
        </w:rPr>
        <w:tab/>
        <w:t>BASE JURIDIQUE, SUBSIDIARITÉ ET PROPORTIONNALITÉ</w:t>
      </w:r>
    </w:p>
    <w:p w14:paraId="1BF4B68B" w14:textId="77777777" w:rsidR="00794A16" w:rsidRPr="00D207EA" w:rsidRDefault="00794A16" w:rsidP="00794A16">
      <w:pPr>
        <w:pStyle w:val="ManualHeading2"/>
        <w:rPr>
          <w:rFonts w:eastAsia="Arial Unicode MS"/>
          <w:noProof/>
          <w:u w:color="000000"/>
          <w:bdr w:val="nil"/>
        </w:rPr>
      </w:pPr>
      <w:r w:rsidRPr="00D207EA">
        <w:rPr>
          <w:noProof/>
          <w:u w:color="000000"/>
          <w:bdr w:val="nil"/>
        </w:rPr>
        <w:t>•</w:t>
      </w:r>
      <w:r w:rsidRPr="00D207EA">
        <w:rPr>
          <w:noProof/>
          <w:u w:color="000000"/>
          <w:bdr w:val="nil"/>
        </w:rPr>
        <w:tab/>
        <w:t>Base juridique</w:t>
      </w:r>
    </w:p>
    <w:p w14:paraId="160BAEE4" w14:textId="77777777" w:rsidR="00794A16" w:rsidRPr="00D207EA" w:rsidRDefault="00794A16" w:rsidP="00794A16">
      <w:pPr>
        <w:rPr>
          <w:noProof/>
        </w:rPr>
      </w:pPr>
      <w:r w:rsidRPr="00D207EA">
        <w:rPr>
          <w:noProof/>
        </w:rPr>
        <w:t>L’action de l’Union est justifiée par de multiples bases juridiques reflétant les différentes politiques soutenues par le Fonds:</w:t>
      </w:r>
    </w:p>
    <w:p w14:paraId="594123BD" w14:textId="77777777" w:rsidR="00794A16" w:rsidRPr="00D207EA" w:rsidRDefault="00794A16" w:rsidP="00794A16">
      <w:pPr>
        <w:pStyle w:val="Bullet0"/>
        <w:rPr>
          <w:noProof/>
        </w:rPr>
      </w:pPr>
      <w:r w:rsidRPr="00D207EA">
        <w:rPr>
          <w:noProof/>
        </w:rPr>
        <w:t>l’article 174 du traité sur le fonctionnement de l’Union européenne (traité FUE) engage l’Union à promouvoir la cohésion économique, sociale et territoriale;</w:t>
      </w:r>
    </w:p>
    <w:p w14:paraId="3304EB5E" w14:textId="77777777" w:rsidR="00794A16" w:rsidRPr="00D207EA" w:rsidRDefault="00794A16" w:rsidP="00794A16">
      <w:pPr>
        <w:pStyle w:val="Bullet0"/>
        <w:rPr>
          <w:noProof/>
        </w:rPr>
      </w:pPr>
      <w:r w:rsidRPr="00D207EA">
        <w:rPr>
          <w:noProof/>
        </w:rPr>
        <w:t xml:space="preserve">les articles 176, 177 et 162 du traité FUE instituent respectivement le Fonds européen de développement régional, le Fonds de cohésion et le Fonds social européen, et définissent leurs objectifs respectifs; </w:t>
      </w:r>
    </w:p>
    <w:p w14:paraId="5EC64997" w14:textId="77777777" w:rsidR="00A42774" w:rsidRPr="00D207EA" w:rsidRDefault="00794A16" w:rsidP="00052A4D">
      <w:pPr>
        <w:pStyle w:val="Bullet0"/>
        <w:rPr>
          <w:noProof/>
        </w:rPr>
      </w:pPr>
      <w:r w:rsidRPr="00D207EA">
        <w:rPr>
          <w:noProof/>
        </w:rPr>
        <w:t>l’article 38 et l’article 42, paragraphe 3, du traité FUE habilitent l’Union à définir et à mettre en œuvre une politique agricole commune (PAC) et une politique commune de la pêche (PCP). L’article 39 du traité FUE fixe les objectifs de la PAC, qui comprennent l’accroissement de la productivité de l’agriculture, un niveau de vie équitable pour la population agricole, la stabilisation des marchés, la garantie de la sécurité des approvisionnements et la garantie de prix raisonnables dans les livraisons aux consommateurs. L’article 42 du traité FUE permet à l’Union de déterminer dans quelle mesure les règles de l’Union en matière de concurrence et d’aides d’État s’appliquent à la production et au commerce des produits agricoles énumérés à l’annexe I du traité FUE;</w:t>
      </w:r>
    </w:p>
    <w:p w14:paraId="78021AE4" w14:textId="77777777" w:rsidR="00794A16" w:rsidRPr="00D207EA" w:rsidRDefault="00794A16" w:rsidP="00052A4D">
      <w:pPr>
        <w:pStyle w:val="Bullet0"/>
        <w:rPr>
          <w:noProof/>
        </w:rPr>
      </w:pPr>
      <w:r w:rsidRPr="00D207EA">
        <w:rPr>
          <w:noProof/>
        </w:rPr>
        <w:t>l’article 175 du traité FUE énumère les fonds à finalité structurelle, qui soutiennent la réalisation de la cohésion économique, sociale et territoriale: le Fonds européen d’orientation et de garantie agricole, section «orientation»; le Fonds social européen; le Fonds européen de développement régional. L’article 177 du traité FUE prévoit que «</w:t>
      </w:r>
      <w:r w:rsidRPr="00D207EA">
        <w:rPr>
          <w:i/>
          <w:noProof/>
        </w:rPr>
        <w:t xml:space="preserve">le Parlement européen et le Conseil </w:t>
      </w:r>
      <w:r w:rsidRPr="00D207EA">
        <w:rPr>
          <w:noProof/>
        </w:rPr>
        <w:t>[...]</w:t>
      </w:r>
      <w:r w:rsidRPr="00D207EA">
        <w:rPr>
          <w:i/>
          <w:noProof/>
        </w:rPr>
        <w:t xml:space="preserve"> définissent les missions, les objectifs prioritaires et l’organisation des fonds à finalité structurelle, ce qui peut comporter le regroupement des fonds</w:t>
      </w:r>
      <w:r w:rsidRPr="00D207EA">
        <w:rPr>
          <w:noProof/>
        </w:rPr>
        <w:t xml:space="preserve">». </w:t>
      </w:r>
    </w:p>
    <w:p w14:paraId="03CE9265" w14:textId="59FA6874" w:rsidR="00794A16" w:rsidRPr="00D207EA" w:rsidRDefault="00794A16" w:rsidP="00794A16">
      <w:pPr>
        <w:pStyle w:val="ManualHeading2"/>
        <w:rPr>
          <w:rFonts w:eastAsia="Arial Unicode MS"/>
          <w:noProof/>
          <w:u w:color="000000"/>
          <w:bdr w:val="nil"/>
        </w:rPr>
      </w:pPr>
      <w:r w:rsidRPr="00D207EA">
        <w:rPr>
          <w:noProof/>
          <w:u w:color="000000"/>
          <w:bdr w:val="nil"/>
        </w:rPr>
        <w:t>•</w:t>
      </w:r>
      <w:r w:rsidRPr="00D207EA">
        <w:rPr>
          <w:noProof/>
          <w:u w:color="000000"/>
          <w:bdr w:val="nil"/>
        </w:rPr>
        <w:tab/>
        <w:t>Subsidiarité (en cas de compétence non exclusive)</w:t>
      </w:r>
    </w:p>
    <w:p w14:paraId="26D2E005" w14:textId="77777777" w:rsidR="00794A16" w:rsidRPr="00D207EA" w:rsidRDefault="00794A16" w:rsidP="00794A16">
      <w:pPr>
        <w:pBdr>
          <w:top w:val="nil"/>
          <w:left w:val="nil"/>
          <w:bottom w:val="nil"/>
          <w:right w:val="nil"/>
          <w:between w:val="nil"/>
          <w:bar w:val="nil"/>
        </w:pBdr>
        <w:spacing w:before="0" w:after="240"/>
        <w:rPr>
          <w:rFonts w:eastAsia="Times New Roman"/>
          <w:noProof/>
        </w:rPr>
      </w:pPr>
      <w:r w:rsidRPr="00D207EA">
        <w:rPr>
          <w:noProof/>
        </w:rPr>
        <w:t>Les défis étant de nature transfrontière, et non limités à un seul État membre ou sous-ensemble d’États membres, les objectifs de la proposition ne peuvent être atteints par des États membres agissant seuls.</w:t>
      </w:r>
    </w:p>
    <w:p w14:paraId="02E8E38E" w14:textId="7686130A" w:rsidR="00794A16" w:rsidRPr="00D207EA" w:rsidRDefault="00794A16" w:rsidP="00794A16">
      <w:pPr>
        <w:pBdr>
          <w:top w:val="nil"/>
          <w:left w:val="nil"/>
          <w:bottom w:val="nil"/>
          <w:right w:val="nil"/>
          <w:between w:val="nil"/>
          <w:bar w:val="nil"/>
        </w:pBdr>
        <w:rPr>
          <w:rFonts w:eastAsia="Times New Roman"/>
          <w:noProof/>
        </w:rPr>
      </w:pPr>
      <w:r w:rsidRPr="00D207EA">
        <w:rPr>
          <w:noProof/>
        </w:rPr>
        <w:t>Les enveloppes préaffectées au niveau national jouent un rôle essentiel dans la réalisation des priorités de l’Union dans l’ensemble des États membres et des régions. Par exemple, la politique de cohésion favorise l’intégration et la coopération entre les États membres, ce qui permet de réduire les disparités régionales au sein des États membres et entre eux. La politique agricole commune garantit des conditions de concurrence équitables entre les États membres et les agriculteurs sur le marché unique, en assurant la sécurité alimentaire dans l’ensemble de l’Union, grâce au renforcement de l’attrait du secteur, y compris pour les jeunes agriculteurs et les nouveaux arrivants, et en relevant des défis de nature transfrontière et mondiale. La conservation des ressources marines étant une compétence exclusive de l’Union, celle-ci doit assumer la responsabilité de l’élaboration des politiques et du financement en la matière. Dans le domaine des affaires intérieures, le financement de l’Union est nécessaire pour garantir une approche commune et favoriser la coopération dans l’espace de liberté, de sécurité et de justice.</w:t>
      </w:r>
    </w:p>
    <w:p w14:paraId="3B6E79DB" w14:textId="77777777" w:rsidR="00794A16" w:rsidRPr="00D207EA" w:rsidRDefault="00794A16" w:rsidP="00794A16">
      <w:pPr>
        <w:pBdr>
          <w:top w:val="nil"/>
          <w:left w:val="nil"/>
          <w:bottom w:val="nil"/>
          <w:right w:val="nil"/>
          <w:between w:val="nil"/>
          <w:bar w:val="nil"/>
        </w:pBdr>
        <w:rPr>
          <w:rFonts w:eastAsia="Times New Roman"/>
          <w:noProof/>
        </w:rPr>
      </w:pPr>
      <w:r w:rsidRPr="00D207EA">
        <w:rPr>
          <w:noProof/>
        </w:rPr>
        <w:t>Un financement au niveau de l’Union est également nécessaire pour soutenir les biens publics de l’Union sur lesquelles les États membres ne se concentrent pas suffisamment du fait, par exemple, de défaillances du marché, mais qui présentent des avantages importants à l’échelle de l’Union, tels que les projets à caractère transfrontalier ou les projets importants d’intérêt européen commun.</w:t>
      </w:r>
    </w:p>
    <w:p w14:paraId="1845940A" w14:textId="10954BDD" w:rsidR="00794A16" w:rsidRPr="00D207EA" w:rsidRDefault="00794A16" w:rsidP="00794A16">
      <w:pPr>
        <w:pBdr>
          <w:top w:val="nil"/>
          <w:left w:val="nil"/>
          <w:bottom w:val="nil"/>
          <w:right w:val="nil"/>
          <w:between w:val="nil"/>
          <w:bar w:val="nil"/>
        </w:pBdr>
        <w:rPr>
          <w:noProof/>
        </w:rPr>
      </w:pPr>
      <w:r w:rsidRPr="00D207EA">
        <w:rPr>
          <w:noProof/>
        </w:rPr>
        <w:t>Relever ces défis au moyen d’enveloppes préaffectées au niveau national apporterait une valeur ajoutée en créant un sentiment d’appropriation et en garantissant que le soutien tienne compte des besoins spécifiques de chaque État membre et de ses régions. Cela permettrait également à l’Union d’atteindre plus efficacement ses objectifs politiques en liant le financement de l’Union aux réformes, ce qui renforcerait l’influence de l’Union pour encourager et aider les États membres à surmonter les obstacles institutionnels et réglementaires qui entravent la réalisation des priorités politiques de l’Union. Les réformes peuvent également contribuer à accroître les effets positifs des investissements, et donc augmenter la valeur de chaque euro dépensé.</w:t>
      </w:r>
    </w:p>
    <w:p w14:paraId="404D0712" w14:textId="77777777" w:rsidR="00794A16" w:rsidRPr="00D207EA" w:rsidRDefault="00794A16" w:rsidP="00794A16">
      <w:pPr>
        <w:pStyle w:val="ManualHeading2"/>
        <w:rPr>
          <w:rFonts w:eastAsia="Arial Unicode MS"/>
          <w:noProof/>
          <w:u w:color="000000"/>
          <w:bdr w:val="nil"/>
        </w:rPr>
      </w:pPr>
      <w:r w:rsidRPr="00D207EA">
        <w:rPr>
          <w:noProof/>
          <w:u w:color="000000"/>
          <w:bdr w:val="nil"/>
        </w:rPr>
        <w:t>•</w:t>
      </w:r>
      <w:r w:rsidRPr="00D207EA">
        <w:rPr>
          <w:noProof/>
          <w:u w:color="000000"/>
          <w:bdr w:val="nil"/>
        </w:rPr>
        <w:tab/>
        <w:t>Proportionnalité</w:t>
      </w:r>
    </w:p>
    <w:p w14:paraId="6615034C" w14:textId="4A8C200C" w:rsidR="00794A16" w:rsidRPr="00D207EA" w:rsidRDefault="00794A16" w:rsidP="00794A16">
      <w:pPr>
        <w:pBdr>
          <w:top w:val="nil"/>
          <w:left w:val="nil"/>
          <w:bottom w:val="nil"/>
          <w:right w:val="nil"/>
          <w:between w:val="nil"/>
          <w:bar w:val="nil"/>
        </w:pBdr>
        <w:rPr>
          <w:noProof/>
        </w:rPr>
      </w:pPr>
      <w:r w:rsidRPr="00D207EA">
        <w:rPr>
          <w:noProof/>
        </w:rPr>
        <w:t>Conformément au principe de proportionnalité, le règlement proposé n’excède pas ce qui est nécessaire pour atteindre les buts mentionnés à la première section. La proposition vise spécifiquement à soutenir les efforts de simplification antérieurs, en poursuivant l’unification et la consolidation des règles, et en mettant davantage l’accent sur la performance et la flexibilité afin de porter l’efficacité et la réactivité des dépenses de l’Union à leur maximum.</w:t>
      </w:r>
    </w:p>
    <w:p w14:paraId="4F2C5892" w14:textId="77777777" w:rsidR="00794A16" w:rsidRPr="00D207EA" w:rsidRDefault="00794A16" w:rsidP="00794A16">
      <w:pPr>
        <w:pStyle w:val="ManualHeading2"/>
        <w:rPr>
          <w:rFonts w:eastAsia="Arial Unicode MS"/>
          <w:noProof/>
          <w:u w:color="000000"/>
          <w:bdr w:val="nil"/>
        </w:rPr>
      </w:pPr>
      <w:r w:rsidRPr="00D207EA">
        <w:rPr>
          <w:noProof/>
          <w:u w:color="000000"/>
          <w:bdr w:val="nil"/>
        </w:rPr>
        <w:t>•</w:t>
      </w:r>
      <w:r w:rsidRPr="00D207EA">
        <w:rPr>
          <w:noProof/>
          <w:u w:color="000000"/>
          <w:bdr w:val="nil"/>
        </w:rPr>
        <w:tab/>
        <w:t>Choix de l’instrument</w:t>
      </w:r>
    </w:p>
    <w:p w14:paraId="734EAA55" w14:textId="7CB64020" w:rsidR="00794A16" w:rsidRPr="00D207EA" w:rsidRDefault="00794A16" w:rsidP="00794A16">
      <w:pPr>
        <w:pBdr>
          <w:top w:val="nil"/>
          <w:left w:val="nil"/>
          <w:bottom w:val="nil"/>
          <w:right w:val="nil"/>
          <w:between w:val="nil"/>
          <w:bar w:val="nil"/>
        </w:pBdr>
        <w:rPr>
          <w:noProof/>
        </w:rPr>
      </w:pPr>
      <w:r w:rsidRPr="00D207EA">
        <w:rPr>
          <w:noProof/>
        </w:rPr>
        <w:t>L’instrument le plus approprié pour traduire sur le plan opérationnel le cadre proposé est un règlement établissant un Fonds doté d’un large champ d’éligibilité et définissant l’ensemble unique de règles régissant les plans de partenariat national et régional devant être préparés par chaque État membre pour la période postérieure à 2027.</w:t>
      </w:r>
    </w:p>
    <w:p w14:paraId="2BE98228" w14:textId="77777777" w:rsidR="00794A16" w:rsidRPr="00D207EA" w:rsidRDefault="00794A16" w:rsidP="00794A16">
      <w:pPr>
        <w:pStyle w:val="ManualHeading1"/>
        <w:rPr>
          <w:noProof/>
        </w:rPr>
      </w:pPr>
      <w:r w:rsidRPr="00D207EA">
        <w:rPr>
          <w:noProof/>
        </w:rPr>
        <w:t>3.</w:t>
      </w:r>
      <w:r w:rsidRPr="00D207EA">
        <w:rPr>
          <w:noProof/>
        </w:rPr>
        <w:tab/>
        <w:t>RÉSULTATS DES ÉVALUATIONS RÉTROSPECTIVES, DES CONSULTATIONS DES PARTIES INTÉRESSÉES ET DES ANALYSES D’IMPACT</w:t>
      </w:r>
    </w:p>
    <w:p w14:paraId="3832F500" w14:textId="77777777" w:rsidR="00794A16" w:rsidRPr="00D207EA" w:rsidRDefault="00794A16" w:rsidP="00794A16">
      <w:pPr>
        <w:pStyle w:val="ManualHeading2"/>
        <w:rPr>
          <w:rFonts w:eastAsia="Arial Unicode MS"/>
          <w:noProof/>
          <w:u w:color="000000"/>
          <w:bdr w:val="nil"/>
        </w:rPr>
      </w:pPr>
      <w:r w:rsidRPr="00D207EA">
        <w:rPr>
          <w:noProof/>
          <w:u w:color="000000"/>
          <w:bdr w:val="nil"/>
        </w:rPr>
        <w:t>•</w:t>
      </w:r>
      <w:r w:rsidRPr="00D207EA">
        <w:rPr>
          <w:noProof/>
          <w:u w:color="000000"/>
          <w:bdr w:val="nil"/>
        </w:rPr>
        <w:tab/>
        <w:t>Consultation des parties intéressées</w:t>
      </w:r>
    </w:p>
    <w:p w14:paraId="15EDCAE2" w14:textId="77777777" w:rsidR="00794A16" w:rsidRPr="00D207EA" w:rsidRDefault="00794A16" w:rsidP="00794A16">
      <w:pPr>
        <w:pBdr>
          <w:top w:val="nil"/>
          <w:left w:val="nil"/>
          <w:bottom w:val="nil"/>
          <w:right w:val="nil"/>
          <w:between w:val="nil"/>
          <w:bar w:val="nil"/>
        </w:pBdr>
        <w:rPr>
          <w:noProof/>
        </w:rPr>
      </w:pPr>
      <w:r w:rsidRPr="00D207EA">
        <w:rPr>
          <w:noProof/>
        </w:rPr>
        <w:t>La Commission a activement consulté les parties prenantes dans le processus de l’initiative, notamment grâce à:</w:t>
      </w:r>
    </w:p>
    <w:p w14:paraId="5E8CF752" w14:textId="77777777" w:rsidR="00794A16" w:rsidRPr="00D207EA" w:rsidRDefault="00794A16" w:rsidP="00794A16">
      <w:pPr>
        <w:pStyle w:val="Bullet0"/>
        <w:rPr>
          <w:noProof/>
        </w:rPr>
      </w:pPr>
      <w:r w:rsidRPr="00D207EA">
        <w:rPr>
          <w:b/>
          <w:i/>
          <w:noProof/>
        </w:rPr>
        <w:t xml:space="preserve">des événements spécifiques, </w:t>
      </w:r>
      <w:r w:rsidRPr="00D207EA">
        <w:rPr>
          <w:noProof/>
        </w:rPr>
        <w:t>tels que le panel de citoyens sur le nouveau budget européen, la conférence annuelle sur le budget, le Tour d’Europe (une série de consultations menées par le commissaire au budget, à la lutte antifraude et à l’administration publique dans les États membres et les régions), et</w:t>
      </w:r>
    </w:p>
    <w:p w14:paraId="60F8FFF8" w14:textId="77777777" w:rsidR="00794A16" w:rsidRPr="00D207EA" w:rsidRDefault="00794A16" w:rsidP="00794A16">
      <w:pPr>
        <w:pStyle w:val="Bullet0"/>
        <w:rPr>
          <w:noProof/>
        </w:rPr>
      </w:pPr>
      <w:r w:rsidRPr="00D207EA">
        <w:rPr>
          <w:b/>
          <w:bCs/>
          <w:i/>
          <w:iCs/>
          <w:noProof/>
        </w:rPr>
        <w:t>une consultation publique ouverte spécifique</w:t>
      </w:r>
      <w:r w:rsidRPr="00D207EA">
        <w:rPr>
          <w:noProof/>
        </w:rPr>
        <w:t xml:space="preserve"> (du 12 février au 7 mai 2025).</w:t>
      </w:r>
    </w:p>
    <w:p w14:paraId="4B80BE9C" w14:textId="76C70EAC" w:rsidR="00794A16" w:rsidRPr="00D207EA" w:rsidRDefault="00794A16" w:rsidP="00794A16">
      <w:pPr>
        <w:rPr>
          <w:noProof/>
        </w:rPr>
      </w:pPr>
      <w:r w:rsidRPr="00D207EA">
        <w:rPr>
          <w:noProof/>
          <w:color w:val="000000" w:themeColor="text1"/>
        </w:rPr>
        <w:t xml:space="preserve">Les consultations des parties prenantes sont allées dans le même sens que la conclusion de l’analyse d’impact et ont souligné que les caractéristiques essentielles du futur cadre de financement étaient la nécessité d’une simplification et d’une plus grande flexibilité ainsi que l’importance d’un soutien garanti à toutes les régions en fonction de leurs besoins spécifiques plutôt que des dotations uniformes. </w:t>
      </w:r>
      <w:r w:rsidRPr="00D207EA">
        <w:rPr>
          <w:noProof/>
        </w:rPr>
        <w:t>La lutte contre les disparités structurelles, y compris les disparités sociales, économiques, régionales et territoriales persistantes, reste une préoccupation majeure, de même que le nécessaire renforcement de la capacité administrative. Il est aussi apparu clairement qu’il fallait en priorité renforcer la gouvernance à plusieurs niveaux et la participation des parties prenantes.</w:t>
      </w:r>
    </w:p>
    <w:p w14:paraId="251D47A2" w14:textId="77777777" w:rsidR="00794A16" w:rsidRPr="00D207EA" w:rsidRDefault="00794A16" w:rsidP="00794A16">
      <w:pPr>
        <w:rPr>
          <w:rFonts w:eastAsia="Times New Roman"/>
          <w:noProof/>
          <w:color w:val="000000" w:themeColor="text1"/>
        </w:rPr>
      </w:pPr>
      <w:r w:rsidRPr="00D207EA">
        <w:rPr>
          <w:noProof/>
          <w:color w:val="000000" w:themeColor="text1"/>
        </w:rPr>
        <w:t>Les préoccupations soulevées par les parties prenantes sont prises en compte dans les diverses mesures de simplification incluses dans le règlement du Fonds ainsi que dans les diverses règles régissant la conception et la mise en œuvre des plans.</w:t>
      </w:r>
    </w:p>
    <w:p w14:paraId="6F51C6F9" w14:textId="77777777" w:rsidR="00794A16" w:rsidRPr="00D207EA" w:rsidRDefault="00794A16" w:rsidP="00794A16">
      <w:pPr>
        <w:pStyle w:val="ManualHeading2"/>
        <w:rPr>
          <w:rFonts w:eastAsia="Arial Unicode MS"/>
          <w:noProof/>
          <w:u w:color="000000"/>
          <w:bdr w:val="nil"/>
        </w:rPr>
      </w:pPr>
      <w:r w:rsidRPr="00D207EA">
        <w:rPr>
          <w:noProof/>
          <w:u w:color="000000"/>
          <w:bdr w:val="nil"/>
        </w:rPr>
        <w:t>•</w:t>
      </w:r>
      <w:r w:rsidRPr="00D207EA">
        <w:rPr>
          <w:noProof/>
          <w:u w:color="000000"/>
          <w:bdr w:val="nil"/>
        </w:rPr>
        <w:tab/>
        <w:t>Obtention et utilisation d’expertise</w:t>
      </w:r>
    </w:p>
    <w:p w14:paraId="2F4B3658" w14:textId="77777777" w:rsidR="00794A16" w:rsidRPr="00D207EA" w:rsidRDefault="00794A16" w:rsidP="00794A16">
      <w:pPr>
        <w:pBdr>
          <w:top w:val="nil"/>
          <w:left w:val="nil"/>
          <w:bottom w:val="nil"/>
          <w:right w:val="nil"/>
          <w:between w:val="nil"/>
          <w:bar w:val="nil"/>
        </w:pBdr>
        <w:rPr>
          <w:rFonts w:eastAsia="Arial Unicode MS"/>
          <w:noProof/>
          <w:color w:val="000000" w:themeColor="text1"/>
        </w:rPr>
      </w:pPr>
      <w:r w:rsidRPr="00D207EA">
        <w:rPr>
          <w:noProof/>
          <w:color w:val="000000"/>
          <w:bdr w:val="nil"/>
        </w:rPr>
        <w:t>La préparation par la Commission de l’analyse d’impact et du projet de règlement s’est fondée sur un examen de la documentation disponible, comme indiqué dans le rapport d’analyse d’impact, c’est-à-dire sur les évaluations des programmes budgétaires de l’Union (à mi-parcours et ex post), l’exercice d’examen des dépenses, les rapports et les documents d’autres institutions de l’Union telles que le Parlement européen et la Cour des comptes européenne.</w:t>
      </w:r>
    </w:p>
    <w:p w14:paraId="7370996B" w14:textId="77777777" w:rsidR="00794A16" w:rsidRPr="00D207EA" w:rsidRDefault="00794A16" w:rsidP="00794A16">
      <w:pPr>
        <w:pBdr>
          <w:top w:val="nil"/>
          <w:left w:val="nil"/>
          <w:bottom w:val="nil"/>
          <w:right w:val="nil"/>
          <w:between w:val="nil"/>
          <w:bar w:val="nil"/>
        </w:pBdr>
        <w:rPr>
          <w:rFonts w:eastAsia="Arial Unicode MS"/>
          <w:noProof/>
          <w:color w:val="000000" w:themeColor="text1"/>
        </w:rPr>
      </w:pPr>
      <w:r w:rsidRPr="00D207EA">
        <w:rPr>
          <w:noProof/>
          <w:color w:val="000000"/>
          <w:bdr w:val="nil"/>
        </w:rPr>
        <w:t xml:space="preserve">En particulier, l’analyse s’est appuyée sur les réflexions du </w:t>
      </w:r>
      <w:r w:rsidRPr="00D207EA">
        <w:rPr>
          <w:noProof/>
          <w:color w:val="000000" w:themeColor="text1"/>
        </w:rPr>
        <w:t>groupe d’experts de haut niveau sur l’avenir de la politique de cohésion, qui s’est réuni en 2024 et a constaté que la politique de cohésion</w:t>
      </w:r>
      <w:r w:rsidRPr="00D207EA">
        <w:rPr>
          <w:noProof/>
        </w:rPr>
        <w:t xml:space="preserve"> devrait aller de pair avec d’autres politiques européennes et nationales, car elles sont mutuellement dépendantes et doivent se compléter pour atteindre leurs objectifs collectifs. Elle a également recueilli des données probantes du </w:t>
      </w:r>
      <w:r w:rsidRPr="00D207EA">
        <w:rPr>
          <w:noProof/>
          <w:color w:val="000000" w:themeColor="text1"/>
        </w:rPr>
        <w:t>rapport 2024 du dialogue stratégique sur l’avenir de l’agriculture dans l’UE, qui préconise une PAC qui 1) apporte un soutien socio-économique ciblé aux agriculteurs qui en ont le plus besoin</w:t>
      </w:r>
      <w:r w:rsidRPr="00D207EA">
        <w:rPr>
          <w:noProof/>
        </w:rPr>
        <w:t>,</w:t>
      </w:r>
      <w:r w:rsidRPr="00D207EA">
        <w:rPr>
          <w:noProof/>
          <w:color w:val="000000" w:themeColor="text1"/>
        </w:rPr>
        <w:t xml:space="preserve"> 2) promeut des résultats positifs pour la société en matière environnementale, sociale et de bien-être animal, et 3) instaure des conditions favorisantes dans les zones rurales. L’analyse a également préconisé un rôle plus actif de la politique de cohésion pour soutenir l’attractivité des zones rurales et la PAC. Des contributions supplémentaires sur l’avenir de la PAC ont été recueillies lors de réunions spécifiques organisées dans le cadre des plateformes existantes des parties prenantes de l’Union et lors d’ateliers techniques </w:t>
      </w:r>
      <w:r w:rsidRPr="00D207EA">
        <w:rPr>
          <w:i/>
          <w:noProof/>
          <w:color w:val="000000" w:themeColor="text1"/>
        </w:rPr>
        <w:t>ad hoc</w:t>
      </w:r>
      <w:r w:rsidRPr="00D207EA">
        <w:rPr>
          <w:noProof/>
          <w:color w:val="000000" w:themeColor="text1"/>
        </w:rPr>
        <w:t xml:space="preserve"> réunissant les parties prenantes de l’Union et les États membres.</w:t>
      </w:r>
    </w:p>
    <w:p w14:paraId="41BA9AB4" w14:textId="77777777" w:rsidR="00794A16" w:rsidRPr="00D207EA" w:rsidRDefault="00794A16" w:rsidP="00794A16">
      <w:pPr>
        <w:pStyle w:val="ManualHeading2"/>
        <w:pBdr>
          <w:top w:val="nil"/>
          <w:left w:val="nil"/>
          <w:bottom w:val="nil"/>
          <w:right w:val="nil"/>
          <w:between w:val="nil"/>
          <w:bar w:val="nil"/>
        </w:pBdr>
        <w:rPr>
          <w:rFonts w:eastAsia="Arial Unicode MS"/>
          <w:noProof/>
          <w:bdr w:val="nil"/>
        </w:rPr>
      </w:pPr>
      <w:r w:rsidRPr="00D207EA">
        <w:rPr>
          <w:noProof/>
          <w:bdr w:val="nil"/>
        </w:rPr>
        <w:t>•</w:t>
      </w:r>
      <w:r w:rsidRPr="00D207EA">
        <w:rPr>
          <w:noProof/>
          <w:u w:color="000000"/>
          <w:bdr w:val="nil"/>
        </w:rPr>
        <w:tab/>
      </w:r>
      <w:r w:rsidRPr="00D207EA">
        <w:rPr>
          <w:noProof/>
          <w:bdr w:val="nil"/>
        </w:rPr>
        <w:t>Analyse d’impact</w:t>
      </w:r>
    </w:p>
    <w:p w14:paraId="2ECDB68C" w14:textId="4D8AD0D9" w:rsidR="00794A16" w:rsidRPr="00D207EA" w:rsidRDefault="00794A16" w:rsidP="00794A16">
      <w:pPr>
        <w:rPr>
          <w:noProof/>
        </w:rPr>
      </w:pPr>
      <w:bookmarkStart w:id="1" w:name="_Hlk201843775"/>
      <w:r w:rsidRPr="00D207EA">
        <w:rPr>
          <w:noProof/>
          <w:color w:val="000000"/>
          <w:bdr w:val="nil"/>
        </w:rPr>
        <w:t xml:space="preserve">La proposition a été étayée par une analyse d’impact, qui a </w:t>
      </w:r>
      <w:r w:rsidRPr="00D207EA">
        <w:rPr>
          <w:noProof/>
        </w:rPr>
        <w:t>examiné les différentes possibilités de conception du plan, en se concentrant sur le modèle de mise en œuvre (comment les paiements sont-ils effectués?) et sur le mode de gestion (comment les dépenses de l’Union sont-elles mises en œuvre et supervisées?). Les caractéristiques de conception ont une incidence sur le champ d’application des plans, qui a été examiné dans un second temps.</w:t>
      </w:r>
    </w:p>
    <w:bookmarkEnd w:id="1"/>
    <w:p w14:paraId="24E0D375" w14:textId="76B78865" w:rsidR="00794A16" w:rsidRPr="00D207EA" w:rsidRDefault="0003351C" w:rsidP="00794A16">
      <w:pPr>
        <w:pBdr>
          <w:top w:val="nil"/>
          <w:left w:val="nil"/>
          <w:bottom w:val="nil"/>
          <w:right w:val="nil"/>
          <w:between w:val="nil"/>
          <w:bar w:val="nil"/>
        </w:pBdr>
        <w:spacing w:before="0" w:after="240"/>
        <w:rPr>
          <w:rFonts w:eastAsia="Arial Unicode MS"/>
          <w:noProof/>
        </w:rPr>
      </w:pPr>
      <w:r w:rsidRPr="0003351C">
        <w:rPr>
          <w:rFonts w:eastAsia="Arial Unicode MS"/>
          <w:noProof/>
          <w:lang w:val="en-GB" w:eastAsia="en-GB"/>
        </w:rPr>
        <w:drawing>
          <wp:inline distT="0" distB="0" distL="0" distR="0" wp14:anchorId="79F8923C" wp14:editId="1C2D7B6A">
            <wp:extent cx="5761355" cy="3281680"/>
            <wp:effectExtent l="0" t="0" r="0" b="0"/>
            <wp:docPr id="1889691500" name="Picture 1" descr="A screen sho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691500" name="Picture 1" descr="A screen shot of a diagram&#10;&#10;AI-generated content may be incorrect."/>
                    <pic:cNvPicPr/>
                  </pic:nvPicPr>
                  <pic:blipFill>
                    <a:blip r:embed="rId14"/>
                    <a:stretch>
                      <a:fillRect/>
                    </a:stretch>
                  </pic:blipFill>
                  <pic:spPr>
                    <a:xfrm>
                      <a:off x="0" y="0"/>
                      <a:ext cx="5761355" cy="3281680"/>
                    </a:xfrm>
                    <a:prstGeom prst="rect">
                      <a:avLst/>
                    </a:prstGeom>
                  </pic:spPr>
                </pic:pic>
              </a:graphicData>
            </a:graphic>
          </wp:inline>
        </w:drawing>
      </w:r>
    </w:p>
    <w:p w14:paraId="601CE4A0" w14:textId="617AF21E" w:rsidR="00794A16" w:rsidRPr="00D207EA" w:rsidRDefault="00794A16" w:rsidP="00794A16">
      <w:pPr>
        <w:rPr>
          <w:noProof/>
        </w:rPr>
      </w:pPr>
      <w:r w:rsidRPr="00D207EA">
        <w:rPr>
          <w:noProof/>
        </w:rPr>
        <w:t>L’analyse d’impact a conclu que l’option privilégiée pour la conception des plans est un modèle de mise en œuvre évaluée par rapport à des objectifs convenus à l’avance (option B), dans le cadre d’une gestion partagée (option D). D’une part, la réalisation d’objectifs convenus à l’avance garantit une plus grande cohérence, un meilleur rapport qualité/prix et une plus grande responsabilité par rapport à un modèle de mise en œuvre fondé sur les coûts, puisque les résultats spécifiques à atteindre sont définis à l’avance. L’octroi d’un soutien financier à la condition du respect de valeurs intermédiaires et de valeurs cibles constitue une incitation supplémentaire à la mise en œuvre des mesures convenues. Un tel modèle de mise en œuvre fournit également un cadre plus simple pour mener des réformes au niveau des États membres et permet de renforcer la cohérence entre les activités de l’Union et les activités nationales, régionales et locales. D’autre part, la gestion partagée répondra mieux à la gouvernance à plusieurs niveaux et à la forte dimension régionale des plans. Elle garantira également la simplicité pour les États membres et les régions, qui pourront s’appuyer sur les structures déjà en place pour la gestion des fonds de l’Union avec des enveloppes préaffectées au niveau national, ce qui permettra de réduire les coûts d’ajustement pour les autorités des États membres par rapport à la gestion directe (à l’exception du Fonds social pour le climat).</w:t>
      </w:r>
    </w:p>
    <w:p w14:paraId="4F7BC602" w14:textId="77777777" w:rsidR="00794A16" w:rsidRPr="00D207EA" w:rsidRDefault="00794A16" w:rsidP="00794A16">
      <w:pPr>
        <w:rPr>
          <w:noProof/>
        </w:rPr>
      </w:pPr>
      <w:r w:rsidRPr="00D207EA">
        <w:rPr>
          <w:noProof/>
        </w:rPr>
        <w:t>En ce qui concerne le champ d’application des plans, l’analyse d’impact a montré qu’un plan par État membre garantirait une programmation plus cohérente et coordonnée des enveloppes préaffectées et refléterait les différents besoins au niveau national et régional tout en assurant un soutien aux priorités de l’Union définies dans le mécanisme directeur. L’analyse d’impact a conclu qu’un champ d’application plus large des plans, comme le prévoit l’option 3b, apporterait la plus grande cohérence politique aux plans, en permettant de tirer parti des synergies qui existent entre les politiques et en supprimant les chevauchements existants.</w:t>
      </w:r>
    </w:p>
    <w:p w14:paraId="5A682C8B" w14:textId="103A73AB" w:rsidR="00794A16" w:rsidRPr="00D207EA" w:rsidRDefault="00794A16" w:rsidP="00794A16">
      <w:pPr>
        <w:rPr>
          <w:noProof/>
        </w:rPr>
      </w:pPr>
      <w:r w:rsidRPr="00D207EA">
        <w:rPr>
          <w:noProof/>
        </w:rPr>
        <w:t>Toutes les options devraient réduire les coûts administratifs pour les États membres et les régions, bien qu’à des degrés différents. L’option 1 réduirait le nombre de programmes de plus de 400 à un plan pour chaque État membre, tandis que l’abandon de la programmation en deux étapes de la politique de cohésion au profit d’une programmation unique fondée sur un seul ensemble de règles devrait également réduire les retards de mise en œuvre, sans que cela nuise à une gouvernance à plusieurs niveaux et à une dimension régionale fortes. L’option 2a permettrait en partie de mieux exploiter les synergies avec d’autres politiques de l’Union, telles que la politique de cohésion, mais inverserait l’approche de planification stratégique de l’ensemble de la PAC qui a été introduite avec les plans stratégiques relevant de la PAC pour la période 2023-2027. Cette option devrait apporter une simplification supplémentaire compte tenu des similitudes entre la PAC et le règlement portant dispositions communes, mais cela entraînera des coûts d’ajustement pour les autorités des États membres qui devront travailler dans le cadre de deux systèmes différents pour les deux fonds relatifs à la PAC. L’intégration complète de la PAC (option 2b) permettrait de remédier à cette situation, mais l’introduction de règles spécifiques pour l’intégration des interventions basées sur la surface et les animaux dont les agriculteurs dépendent directement pour leur subsistance resterait néanmoins nécessaire pour préserver l’intégrité du marché unique et une concurrence loyale entre les agriculteurs. Dans l’ensemble, les options 2b et 3 se sont révélées porteuses de gains de simplification plus importants et de meilleures synergies politiques que les options 1 et 2a.</w:t>
      </w:r>
    </w:p>
    <w:p w14:paraId="6981A6F6" w14:textId="44A74835" w:rsidR="00794A16" w:rsidRPr="00D207EA" w:rsidRDefault="00794A16" w:rsidP="00794A16">
      <w:pPr>
        <w:rPr>
          <w:noProof/>
        </w:rPr>
      </w:pPr>
      <w:r w:rsidRPr="00D207EA">
        <w:rPr>
          <w:noProof/>
        </w:rPr>
        <w:t>L’existence d’une enveloppe unique par État membre garantirait une répartition efficace et souple des fonds entre les différents domaines d’action, ce qui permettrait aux États membres de s’attaquer à de nouvelles priorités telles que les capacités de défense ou la préparation. Il serait également plus facile de réaffecter les ressources pour répondre à des défis imprévus ou à des besoins politiques changeants sans avoir à rouvrir le cadre législatif. L’analyse d’impact a conclu qu’un élargissement du champ d’application des plans, comme le prévoit l’option 3b, apporterait la plus grande flexibilité par rapport aux deux autres options.</w:t>
      </w:r>
    </w:p>
    <w:p w14:paraId="2DEF1CBC" w14:textId="77777777" w:rsidR="00794A16" w:rsidRPr="00D207EA" w:rsidRDefault="00794A16" w:rsidP="00794A16">
      <w:pPr>
        <w:pStyle w:val="ManualHeading2"/>
        <w:rPr>
          <w:rFonts w:eastAsia="Arial Unicode MS"/>
          <w:noProof/>
          <w:u w:color="000000"/>
          <w:bdr w:val="nil"/>
        </w:rPr>
      </w:pPr>
      <w:r w:rsidRPr="00D207EA">
        <w:rPr>
          <w:noProof/>
          <w:u w:color="000000"/>
          <w:bdr w:val="nil"/>
        </w:rPr>
        <w:t>•</w:t>
      </w:r>
      <w:r w:rsidRPr="00D207EA">
        <w:rPr>
          <w:noProof/>
          <w:u w:color="000000"/>
          <w:bdr w:val="nil"/>
        </w:rPr>
        <w:tab/>
        <w:t>Réglementation affûtée et simplification</w:t>
      </w:r>
    </w:p>
    <w:p w14:paraId="492E2B51" w14:textId="6089F4E4" w:rsidR="00794A16" w:rsidRPr="00D207EA" w:rsidRDefault="00794A16" w:rsidP="00794A16">
      <w:pPr>
        <w:pBdr>
          <w:top w:val="nil"/>
          <w:left w:val="nil"/>
          <w:bottom w:val="nil"/>
          <w:right w:val="nil"/>
          <w:between w:val="nil"/>
          <w:bar w:val="nil"/>
        </w:pBdr>
        <w:rPr>
          <w:rFonts w:eastAsia="Times New Roman"/>
          <w:noProof/>
        </w:rPr>
      </w:pPr>
      <w:r w:rsidRPr="00D207EA">
        <w:rPr>
          <w:noProof/>
        </w:rPr>
        <w:t>Bien que le règlement proposé ne corresponde pas à une révision de la législation existante liée au programme pour une réglementation affûtée et performante (REFIT), l’initiative proposée est pleinement conforme aux objectifs de simplification et de réduction des excès de formalités administratives de REFIT. Par rapport au statu quo (dans lequel les fonds de l’Union dotés d’enveloppes préaffectées au niveau national sont régis par des règlements spécifiques à chaque fonds et mis en œuvre au moyen de différents programmes), cette initiative créerait un règlement unique pour la mise en œuvre desdites enveloppes grâce à un unique document de programmation par État membre: les plans de partenariat national et régional.</w:t>
      </w:r>
    </w:p>
    <w:p w14:paraId="0B40A629" w14:textId="2D741654" w:rsidR="00794A16" w:rsidRPr="00D207EA" w:rsidRDefault="00794A16" w:rsidP="00794A16">
      <w:pPr>
        <w:rPr>
          <w:noProof/>
        </w:rPr>
      </w:pPr>
      <w:r w:rsidRPr="00D207EA">
        <w:rPr>
          <w:noProof/>
        </w:rPr>
        <w:t>Cette initiative devrait permettre de réduire considérablement la charge administrative et d’améliorer l’efficacité. L’existence d’un ensemble commun de règles devrait, à court et à moyen terme, réduire les coûts pour les administrations nationales, régionales et locales ainsi que pour les parties prenantes. Le regroupement de différents fonds de l’Union permet également d’accroître les synergies et la flexibilité dans l’utilisation des ressources de l’Union, ce qui favorise une meilleure allocation des ressources et un budget de l’Union plus efficace, avec des avantages macroéconomiques et sociétaux à long terme. L’accent mis sur les priorités de l’Union, tout en tenant compte des besoins nationaux et régionaux, devrait également contribuer à une utilisation plus efficace des ressources de l’Union.</w:t>
      </w:r>
    </w:p>
    <w:p w14:paraId="4A331D4E" w14:textId="77777777" w:rsidR="00794A16" w:rsidRPr="00D207EA" w:rsidRDefault="00794A16" w:rsidP="00794A16">
      <w:pPr>
        <w:rPr>
          <w:noProof/>
        </w:rPr>
      </w:pPr>
      <w:r w:rsidRPr="00D207EA">
        <w:rPr>
          <w:noProof/>
        </w:rPr>
        <w:t>Alors que les autorités nationales et régionales et les bénéficiaires (y compris les entreprises) devraient supporter des coûts d’ajustement ponctuels pour s’adapter à la nouvelle structure, les efforts de simplification permettraient de réduire les coûts administratifs et de mise en œuvre récurrents par rapport au statu quo.</w:t>
      </w:r>
    </w:p>
    <w:p w14:paraId="25F80BD5" w14:textId="77777777" w:rsidR="00794A16" w:rsidRPr="00D207EA" w:rsidRDefault="00794A16" w:rsidP="00794A16">
      <w:pPr>
        <w:pStyle w:val="ManualHeading2"/>
        <w:rPr>
          <w:rFonts w:eastAsia="Arial Unicode MS"/>
          <w:noProof/>
          <w:u w:color="000000"/>
          <w:bdr w:val="nil"/>
        </w:rPr>
      </w:pPr>
      <w:r w:rsidRPr="00D207EA">
        <w:rPr>
          <w:noProof/>
          <w:u w:color="000000"/>
          <w:bdr w:val="nil"/>
        </w:rPr>
        <w:t>•</w:t>
      </w:r>
      <w:r w:rsidRPr="00D207EA">
        <w:rPr>
          <w:noProof/>
          <w:u w:color="000000"/>
          <w:bdr w:val="nil"/>
        </w:rPr>
        <w:tab/>
        <w:t>Droits fondamentaux</w:t>
      </w:r>
    </w:p>
    <w:p w14:paraId="37EAC3B2" w14:textId="77777777" w:rsidR="00794A16" w:rsidRPr="00D207EA" w:rsidRDefault="00794A16" w:rsidP="00794A16">
      <w:pPr>
        <w:pBdr>
          <w:top w:val="nil"/>
          <w:left w:val="nil"/>
          <w:bottom w:val="nil"/>
          <w:right w:val="nil"/>
          <w:between w:val="nil"/>
          <w:bar w:val="nil"/>
        </w:pBdr>
        <w:rPr>
          <w:rFonts w:eastAsia="Arial Unicode MS"/>
          <w:noProof/>
        </w:rPr>
      </w:pPr>
      <w:r w:rsidRPr="00D207EA">
        <w:rPr>
          <w:noProof/>
        </w:rPr>
        <w:t>Parallèlement au règlement (UE, Euratom) 2020/2092 (règlement relatif à la conditionnalité) qui continuera à s’appliquer à l’ensemble du budget de l’Union, le présent règlement comprend des garanties solides visant à faire en sorte que les fonds soient mis en œuvre dans le respect de la charte des droits fondamentaux de l’Union européenne et des principes de l’état de droit, comme indiqué à l’article 2, point a), du règlement relatif à la conditionnalité. L’inclusion dans les futurs plans de réformes liées, entre autres, aux recommandations du rapport sur l’état de droit devrait également améliorer la protection des droits fondamentaux et renforcer le respect de la charte.</w:t>
      </w:r>
    </w:p>
    <w:p w14:paraId="44624AEC" w14:textId="77777777" w:rsidR="00794A16" w:rsidRPr="00D207EA" w:rsidRDefault="00794A16" w:rsidP="00794A16">
      <w:pPr>
        <w:pStyle w:val="ManualHeading1"/>
        <w:rPr>
          <w:noProof/>
        </w:rPr>
      </w:pPr>
      <w:r w:rsidRPr="00D207EA">
        <w:rPr>
          <w:noProof/>
        </w:rPr>
        <w:t>4.</w:t>
      </w:r>
      <w:r w:rsidRPr="00D207EA">
        <w:rPr>
          <w:noProof/>
        </w:rPr>
        <w:tab/>
        <w:t>INCIDENCE BUDGÉTAIRE</w:t>
      </w:r>
    </w:p>
    <w:p w14:paraId="09E10F9D" w14:textId="77777777" w:rsidR="00794A16" w:rsidRPr="00D207EA" w:rsidRDefault="00794A16" w:rsidP="00794A16">
      <w:pPr>
        <w:pBdr>
          <w:top w:val="nil"/>
          <w:left w:val="nil"/>
          <w:bottom w:val="nil"/>
          <w:right w:val="nil"/>
          <w:between w:val="nil"/>
        </w:pBdr>
        <w:rPr>
          <w:noProof/>
        </w:rPr>
      </w:pPr>
      <w:r w:rsidRPr="00D207EA">
        <w:rPr>
          <w:noProof/>
        </w:rPr>
        <w:t>La proposition de cadre financier pluriannuel présentée par la Commission affecte au Fonds une enveloppe de 865 076 000 000 EUR pour la période 2028-2034.</w:t>
      </w:r>
    </w:p>
    <w:p w14:paraId="1A209F47" w14:textId="77777777" w:rsidR="00794A16" w:rsidRPr="00D207EA" w:rsidRDefault="00794A16" w:rsidP="00794A16">
      <w:pPr>
        <w:pBdr>
          <w:top w:val="nil"/>
          <w:left w:val="nil"/>
          <w:bottom w:val="nil"/>
          <w:right w:val="nil"/>
          <w:between w:val="nil"/>
        </w:pBdr>
        <w:rPr>
          <w:noProof/>
        </w:rPr>
      </w:pPr>
      <w:r w:rsidRPr="00D207EA">
        <w:rPr>
          <w:noProof/>
        </w:rPr>
        <w:t>Le Fonds met également à la disposition des États membres, pour la mise en œuvre de leurs plans, un montant total de 150 000 000 000 EUR de soutien sous forme de prêt. La Commission devrait pouvoir contracter des emprunts sur les marchés financiers conformément à la stratégie de financement diversifiée.</w:t>
      </w:r>
    </w:p>
    <w:p w14:paraId="708B24D5" w14:textId="77777777" w:rsidR="00794A16" w:rsidRPr="00D207EA" w:rsidRDefault="00794A16" w:rsidP="00794A16">
      <w:pPr>
        <w:pBdr>
          <w:top w:val="nil"/>
          <w:left w:val="nil"/>
          <w:bottom w:val="nil"/>
          <w:right w:val="nil"/>
          <w:between w:val="nil"/>
        </w:pBdr>
        <w:rPr>
          <w:noProof/>
        </w:rPr>
      </w:pPr>
      <w:r w:rsidRPr="00D207EA">
        <w:rPr>
          <w:noProof/>
        </w:rPr>
        <w:t>Des précisions sur les besoins financiers et en personnel figurent dans la fiche financière et numérique législative.</w:t>
      </w:r>
    </w:p>
    <w:p w14:paraId="2510E881" w14:textId="77777777" w:rsidR="00794A16" w:rsidRPr="00D207EA" w:rsidRDefault="00794A16" w:rsidP="00794A16">
      <w:pPr>
        <w:pStyle w:val="ManualHeading1"/>
        <w:rPr>
          <w:noProof/>
        </w:rPr>
      </w:pPr>
      <w:r w:rsidRPr="00D207EA">
        <w:rPr>
          <w:noProof/>
        </w:rPr>
        <w:t>5.</w:t>
      </w:r>
      <w:r w:rsidRPr="00D207EA">
        <w:rPr>
          <w:noProof/>
        </w:rPr>
        <w:tab/>
        <w:t>AUTRES ÉLÉMENTS</w:t>
      </w:r>
    </w:p>
    <w:p w14:paraId="14B470B6" w14:textId="77777777" w:rsidR="00794A16" w:rsidRPr="00D207EA" w:rsidRDefault="00794A16" w:rsidP="00794A16">
      <w:pPr>
        <w:pStyle w:val="ManualHeading2"/>
        <w:rPr>
          <w:rFonts w:eastAsia="Arial Unicode MS"/>
          <w:noProof/>
          <w:u w:color="000000"/>
          <w:bdr w:val="nil"/>
        </w:rPr>
      </w:pPr>
      <w:r w:rsidRPr="00D207EA">
        <w:rPr>
          <w:noProof/>
          <w:u w:color="000000"/>
          <w:bdr w:val="nil"/>
        </w:rPr>
        <w:t>•</w:t>
      </w:r>
      <w:r w:rsidRPr="00D207EA">
        <w:rPr>
          <w:noProof/>
          <w:u w:color="000000"/>
          <w:bdr w:val="nil"/>
        </w:rPr>
        <w:tab/>
        <w:t>Plans de mise en œuvre et modalités de suivi, d’évaluation et d’information</w:t>
      </w:r>
    </w:p>
    <w:p w14:paraId="6954B368" w14:textId="77777777" w:rsidR="00794A16" w:rsidRPr="00D207EA" w:rsidRDefault="00794A16" w:rsidP="00794A16">
      <w:pPr>
        <w:pBdr>
          <w:top w:val="nil"/>
          <w:left w:val="nil"/>
          <w:bottom w:val="nil"/>
          <w:right w:val="nil"/>
          <w:between w:val="nil"/>
          <w:bar w:val="nil"/>
        </w:pBdr>
        <w:rPr>
          <w:noProof/>
        </w:rPr>
      </w:pPr>
      <w:r w:rsidRPr="00D207EA">
        <w:rPr>
          <w:noProof/>
        </w:rPr>
        <w:t>Cette initiative fera l’objet d’un suivi au moyen du cadre de performance applicable au cadre financier pluriannuel 2028-2034, qui est présenté dans la proposition de règlement XX [règlement relatif à la performance]. Le cadre de performance prévoit un rapport d’exécution pendant la phase de mise en œuvre du programme, ainsi qu’une évaluation rétrospective à effectuer conformément à l’article 34, paragraphe 3, du règlement (UE, Euratom) 2024/2509. L’évaluation est réalisée conformément aux lignes directrices de la Commission pour une meilleure réglementation et se fondera sur des indicateurs pertinents pour les objectifs du Fonds.</w:t>
      </w:r>
    </w:p>
    <w:p w14:paraId="71738CF2" w14:textId="77777777" w:rsidR="00794A16" w:rsidRPr="00D207EA" w:rsidRDefault="00794A16" w:rsidP="00794A16">
      <w:pPr>
        <w:pStyle w:val="ManualHeading2"/>
        <w:rPr>
          <w:rFonts w:eastAsia="Arial Unicode MS"/>
          <w:noProof/>
          <w:bdr w:val="nil"/>
        </w:rPr>
      </w:pPr>
      <w:r w:rsidRPr="00D207EA">
        <w:rPr>
          <w:noProof/>
          <w:bdr w:val="nil"/>
        </w:rPr>
        <w:t>•</w:t>
      </w:r>
      <w:r w:rsidRPr="00D207EA">
        <w:rPr>
          <w:noProof/>
          <w:u w:color="000000"/>
          <w:bdr w:val="nil"/>
        </w:rPr>
        <w:tab/>
      </w:r>
      <w:r w:rsidRPr="00D207EA">
        <w:rPr>
          <w:noProof/>
          <w:bdr w:val="nil"/>
        </w:rPr>
        <w:t>Explication détaillée des différentes dispositions de la proposition</w:t>
      </w:r>
    </w:p>
    <w:p w14:paraId="78F31CE4" w14:textId="77777777" w:rsidR="00794A16" w:rsidRPr="00D207EA" w:rsidRDefault="00794A16" w:rsidP="00BE7913">
      <w:pPr>
        <w:pBdr>
          <w:top w:val="nil"/>
          <w:left w:val="nil"/>
          <w:bottom w:val="nil"/>
          <w:right w:val="nil"/>
          <w:between w:val="nil"/>
          <w:bar w:val="nil"/>
        </w:pBdr>
        <w:spacing w:before="0" w:after="240"/>
        <w:rPr>
          <w:b/>
          <w:noProof/>
          <w:szCs w:val="24"/>
        </w:rPr>
      </w:pPr>
      <w:r w:rsidRPr="00D207EA">
        <w:rPr>
          <w:b/>
          <w:noProof/>
        </w:rPr>
        <w:t>Titre I - Dispositions générales [articles 1 à 9]</w:t>
      </w:r>
    </w:p>
    <w:p w14:paraId="21A85622" w14:textId="77777777" w:rsidR="00794A16" w:rsidRPr="00D207EA" w:rsidRDefault="00794A16" w:rsidP="00BE7913">
      <w:pPr>
        <w:pBdr>
          <w:top w:val="nil"/>
          <w:left w:val="nil"/>
          <w:bottom w:val="nil"/>
          <w:right w:val="nil"/>
          <w:between w:val="nil"/>
          <w:bar w:val="nil"/>
        </w:pBdr>
        <w:spacing w:before="0" w:after="240"/>
        <w:rPr>
          <w:noProof/>
          <w:szCs w:val="24"/>
        </w:rPr>
      </w:pPr>
      <w:r w:rsidRPr="00D207EA">
        <w:rPr>
          <w:noProof/>
        </w:rPr>
        <w:t>Le Fonds rassemble les fonds européens avec des enveloppes préaffectées au niveau national et est établi pour la période 2028-2034. L’article 2 définit les objectifs généraux qui devraient être poursuivis au moyen d’objectifs spécifiques regroupés autour de cinq piliers (article 3).</w:t>
      </w:r>
    </w:p>
    <w:p w14:paraId="51FD2134" w14:textId="281F1018" w:rsidR="00794A16" w:rsidRPr="00D207EA" w:rsidRDefault="00794A16" w:rsidP="00BE7913">
      <w:pPr>
        <w:pBdr>
          <w:top w:val="nil"/>
          <w:left w:val="nil"/>
          <w:bottom w:val="nil"/>
          <w:right w:val="nil"/>
          <w:between w:val="nil"/>
          <w:bar w:val="nil"/>
        </w:pBdr>
        <w:spacing w:before="0" w:after="240"/>
        <w:rPr>
          <w:noProof/>
          <w:szCs w:val="24"/>
        </w:rPr>
      </w:pPr>
      <w:r w:rsidRPr="00D207EA">
        <w:rPr>
          <w:noProof/>
        </w:rPr>
        <w:t>La Commission et les États membres devraient mettre en œuvre les plans de partenariat national et régional et le plan Interreg dans le cadre d’une gestion partagée, tandis que la Commission peut recourir à une gestion directe, partagée ou indirecte lors de la mise en œuvre de la Facilité de l’UE (article 5) et que les contributions de l’instrument de voisinage, de coopération au développement et de coopération internationale (IVCDCI) — Europe dans le monde incluses dans les chapitres soutenant la coopération concernant les régions ultrapériphériques peuvent être mises en œuvre dans le cadre d’une gestion partagée ou indirecte.</w:t>
      </w:r>
    </w:p>
    <w:p w14:paraId="76EFB356" w14:textId="4AB93FEF" w:rsidR="00C30DE4" w:rsidRPr="00D207EA" w:rsidRDefault="00C30DE4" w:rsidP="00BE7913">
      <w:pPr>
        <w:pBdr>
          <w:top w:val="nil"/>
          <w:left w:val="nil"/>
          <w:bottom w:val="nil"/>
          <w:right w:val="nil"/>
          <w:between w:val="nil"/>
          <w:bar w:val="nil"/>
        </w:pBdr>
        <w:spacing w:before="0" w:after="240"/>
        <w:rPr>
          <w:noProof/>
          <w:szCs w:val="24"/>
        </w:rPr>
      </w:pPr>
      <w:r w:rsidRPr="00D207EA">
        <w:rPr>
          <w:noProof/>
        </w:rPr>
        <w:t>Chaque État membre devrait organiser et mettre en œuvre un partenariat global pour le plan de partenariat national et régional et chaque chapitre, conformément au principe de la gouvernance à plusieurs niveaux et de l’approche ascendante, afin de garantir une représentation équilibrée des différents partenaires (article 6).</w:t>
      </w:r>
    </w:p>
    <w:p w14:paraId="64BFD636" w14:textId="21FCFC91" w:rsidR="00794A16" w:rsidRPr="00D207EA" w:rsidRDefault="00794A16" w:rsidP="00BE7913">
      <w:pPr>
        <w:pBdr>
          <w:top w:val="nil"/>
          <w:left w:val="nil"/>
          <w:bottom w:val="nil"/>
          <w:right w:val="nil"/>
          <w:between w:val="nil"/>
          <w:bar w:val="nil"/>
        </w:pBdr>
        <w:spacing w:before="0" w:after="240"/>
        <w:rPr>
          <w:noProof/>
          <w:szCs w:val="24"/>
        </w:rPr>
      </w:pPr>
      <w:r w:rsidRPr="00D207EA">
        <w:rPr>
          <w:noProof/>
        </w:rPr>
        <w:t>L’article 7 définit les principes horizontaux applicables au règlement, y compris l’obligation pour les États membres de respecter, dans la mise en œuvre du Fonds, les principes de l’état de droit et la charte des droits fondamentaux de l’Union européenne, ainsi que les principes de non-discrimination et d’égalité de genre, conformément au règlement (UE) 202X/XXXX [règlement relatif à la performance]. Ces principes horizontaux devraient également favoriser les synergies et assurer une coordination efficace entre le Fonds et les autres programmes et instruments de l’Union.</w:t>
      </w:r>
    </w:p>
    <w:p w14:paraId="2E89CC15" w14:textId="77777777" w:rsidR="00794A16" w:rsidRPr="00D207EA" w:rsidRDefault="00794A16" w:rsidP="00BE7913">
      <w:pPr>
        <w:pBdr>
          <w:top w:val="nil"/>
          <w:left w:val="nil"/>
          <w:bottom w:val="nil"/>
          <w:right w:val="nil"/>
          <w:between w:val="nil"/>
          <w:bar w:val="nil"/>
        </w:pBdr>
        <w:spacing w:before="0" w:after="240"/>
        <w:rPr>
          <w:noProof/>
          <w:szCs w:val="24"/>
        </w:rPr>
      </w:pPr>
      <w:r w:rsidRPr="00D207EA">
        <w:rPr>
          <w:noProof/>
        </w:rPr>
        <w:t>Ce titre établit des conditions horizontales relatives au respect de l’état de droit et de la charte des droits fondamentaux de l’Union européenne et fixe les modalités de leur application (articles 8 et 9).</w:t>
      </w:r>
    </w:p>
    <w:p w14:paraId="7766FBC5" w14:textId="77777777" w:rsidR="00794A16" w:rsidRPr="00D207EA" w:rsidRDefault="00794A16" w:rsidP="00BE7913">
      <w:pPr>
        <w:pBdr>
          <w:top w:val="nil"/>
          <w:left w:val="nil"/>
          <w:bottom w:val="nil"/>
          <w:right w:val="nil"/>
          <w:between w:val="nil"/>
          <w:bar w:val="nil"/>
        </w:pBdr>
        <w:spacing w:before="0" w:after="240"/>
        <w:rPr>
          <w:b/>
          <w:noProof/>
          <w:szCs w:val="24"/>
        </w:rPr>
      </w:pPr>
      <w:r w:rsidRPr="00D207EA">
        <w:rPr>
          <w:b/>
          <w:noProof/>
        </w:rPr>
        <w:t>Titre II - Cadre financier [articles 10 à 20]</w:t>
      </w:r>
    </w:p>
    <w:p w14:paraId="44D5B2F8" w14:textId="3FD69E26" w:rsidR="00794A16" w:rsidRPr="00D207EA" w:rsidRDefault="00794A16" w:rsidP="00BE7913">
      <w:pPr>
        <w:pBdr>
          <w:top w:val="nil"/>
          <w:left w:val="nil"/>
          <w:bottom w:val="nil"/>
          <w:right w:val="nil"/>
          <w:between w:val="nil"/>
          <w:bar w:val="nil"/>
        </w:pBdr>
        <w:spacing w:before="0" w:after="240"/>
        <w:rPr>
          <w:noProof/>
          <w:szCs w:val="24"/>
        </w:rPr>
      </w:pPr>
      <w:r w:rsidRPr="00D207EA">
        <w:rPr>
          <w:noProof/>
        </w:rPr>
        <w:t>L’enveloppe financière du Fonds s’élève à [xx] EUR pour la période 2028-2034, dont [xx] EUR devraient être alloués aux plans, [xx] EUR à la Facilité de l’UE et [xx] EUR au plan Interreg (article 10).</w:t>
      </w:r>
    </w:p>
    <w:p w14:paraId="553FBE6B" w14:textId="77777777" w:rsidR="00794A16" w:rsidRPr="00D207EA" w:rsidRDefault="00794A16" w:rsidP="00BE7913">
      <w:pPr>
        <w:pBdr>
          <w:top w:val="nil"/>
          <w:left w:val="nil"/>
          <w:bottom w:val="nil"/>
          <w:right w:val="nil"/>
          <w:between w:val="nil"/>
          <w:bar w:val="nil"/>
        </w:pBdr>
        <w:spacing w:before="0" w:after="240"/>
        <w:rPr>
          <w:noProof/>
          <w:szCs w:val="24"/>
        </w:rPr>
      </w:pPr>
      <w:r w:rsidRPr="00D207EA">
        <w:rPr>
          <w:noProof/>
        </w:rPr>
        <w:t>Les règles relatives aux ressources complémentaires et à leur utilisation par un État membre pour le provisionnement de la garantie budgétaire, pour le financement de l’instrument financier ou pour tout montant de soutien non remboursable combiné à la garantie budgétaire ou à l’instrument financier dans le cadre d’une opération de mixage sont définies à l’article 11.</w:t>
      </w:r>
    </w:p>
    <w:p w14:paraId="0978DF0C" w14:textId="277DE7FB" w:rsidR="00794A16" w:rsidRPr="00D207EA" w:rsidRDefault="00794A16" w:rsidP="00BE7913">
      <w:pPr>
        <w:pBdr>
          <w:top w:val="nil"/>
          <w:left w:val="nil"/>
          <w:bottom w:val="nil"/>
          <w:right w:val="nil"/>
          <w:between w:val="nil"/>
          <w:bar w:val="nil"/>
        </w:pBdr>
        <w:spacing w:before="0" w:after="240"/>
        <w:rPr>
          <w:noProof/>
          <w:szCs w:val="24"/>
        </w:rPr>
      </w:pPr>
      <w:r w:rsidRPr="00D207EA">
        <w:rPr>
          <w:noProof/>
        </w:rPr>
        <w:t>Le Fonds peut soutenir l’assistance technique et administrative à l’initiative de la Commission pour la mise en œuvre du plan et du plan Interreg (article 12). À l’initiative d’un État membre, le Fonds peut soutenir des actions nécessaires à la mise en œuvre effective du Fonds (article 13).</w:t>
      </w:r>
    </w:p>
    <w:p w14:paraId="7D119078" w14:textId="2439494C" w:rsidR="00794A16" w:rsidRPr="00D207EA" w:rsidRDefault="00794A16" w:rsidP="00BE7913">
      <w:pPr>
        <w:pBdr>
          <w:top w:val="nil"/>
          <w:left w:val="nil"/>
          <w:bottom w:val="nil"/>
          <w:right w:val="nil"/>
          <w:between w:val="nil"/>
          <w:bar w:val="nil"/>
        </w:pBdr>
        <w:spacing w:before="0" w:after="240"/>
        <w:rPr>
          <w:noProof/>
          <w:szCs w:val="24"/>
        </w:rPr>
      </w:pPr>
      <w:r w:rsidRPr="00D207EA">
        <w:rPr>
          <w:noProof/>
        </w:rPr>
        <w:t>La répartition des fonds entre les États membres au sein du Fonds sera effectuée conformément à l’annexe I. Les États membres disposeront d’une certaine flexibilité tout au long de la phase de mise en œuvre afin de pouvoir répondre aux crises et aux circonstances imprévues (article 14).</w:t>
      </w:r>
    </w:p>
    <w:p w14:paraId="25E045E1" w14:textId="44BDBC87" w:rsidR="00794A16" w:rsidRPr="00D207EA" w:rsidRDefault="00794A16" w:rsidP="00BE7913">
      <w:pPr>
        <w:pBdr>
          <w:top w:val="nil"/>
          <w:left w:val="nil"/>
          <w:bottom w:val="nil"/>
          <w:right w:val="nil"/>
          <w:between w:val="nil"/>
          <w:bar w:val="nil"/>
        </w:pBdr>
        <w:spacing w:before="0" w:after="240"/>
        <w:rPr>
          <w:noProof/>
          <w:szCs w:val="24"/>
        </w:rPr>
      </w:pPr>
      <w:r w:rsidRPr="00D207EA">
        <w:rPr>
          <w:noProof/>
        </w:rPr>
        <w:t>L’article 14 définit les règles relatives aux engagements budgétaires. Les articles 15 et 16 décrivent les cas où la Commission devrait dégager un montant dans un plan et dans le plan Interreg, ainsi que les étapes de la procédure en cas de dégagement. Les États membres devraient pouvoir bénéficier d’un préfinancement sous réserve de l’adoption d’une décision d’exécution du Conseil approuvant un plan (article 17).</w:t>
      </w:r>
    </w:p>
    <w:p w14:paraId="27E58D00" w14:textId="3DF671AB" w:rsidR="00794A16" w:rsidRPr="00D207EA" w:rsidRDefault="00794A16" w:rsidP="00BE7913">
      <w:pPr>
        <w:pBdr>
          <w:top w:val="nil"/>
          <w:left w:val="nil"/>
          <w:bottom w:val="nil"/>
          <w:right w:val="nil"/>
          <w:between w:val="nil"/>
          <w:bar w:val="nil"/>
        </w:pBdr>
        <w:spacing w:before="0" w:after="240"/>
        <w:rPr>
          <w:noProof/>
          <w:szCs w:val="24"/>
        </w:rPr>
      </w:pPr>
      <w:r w:rsidRPr="00D207EA">
        <w:rPr>
          <w:noProof/>
        </w:rPr>
        <w:t>À la demande d’un État membre, la Commission peut accorder à celui-ci un prêt pour la mise en œuvre de son plan (article 18). L’article 19 précise les modalités du contrat de prêt et les règles régissant l’habilitation de la Commission à emprunter les fonds nécessaires sur les marchés financiers ou auprès des institutions financières.</w:t>
      </w:r>
    </w:p>
    <w:p w14:paraId="2C5EFEAF" w14:textId="327372CE" w:rsidR="00794A16" w:rsidRPr="00D207EA" w:rsidRDefault="00794A16" w:rsidP="00BE7913">
      <w:pPr>
        <w:pBdr>
          <w:top w:val="nil"/>
          <w:left w:val="nil"/>
          <w:bottom w:val="nil"/>
          <w:right w:val="nil"/>
          <w:between w:val="nil"/>
          <w:bar w:val="nil"/>
        </w:pBdr>
        <w:spacing w:before="0" w:after="240"/>
        <w:rPr>
          <w:noProof/>
          <w:szCs w:val="24"/>
        </w:rPr>
      </w:pPr>
      <w:r w:rsidRPr="00D207EA">
        <w:rPr>
          <w:noProof/>
        </w:rPr>
        <w:t>Le taux minimal de contribution nationale aux coûts estimés des mesures du plan devrait être calculé sur la base de l’article 20.</w:t>
      </w:r>
    </w:p>
    <w:p w14:paraId="535D5691" w14:textId="77777777" w:rsidR="00794A16" w:rsidRPr="00D207EA" w:rsidRDefault="00794A16" w:rsidP="00BE7913">
      <w:pPr>
        <w:pBdr>
          <w:top w:val="nil"/>
          <w:left w:val="nil"/>
          <w:bottom w:val="nil"/>
          <w:right w:val="nil"/>
          <w:between w:val="nil"/>
          <w:bar w:val="nil"/>
        </w:pBdr>
        <w:spacing w:before="0" w:after="240"/>
        <w:rPr>
          <w:b/>
          <w:noProof/>
          <w:szCs w:val="24"/>
        </w:rPr>
      </w:pPr>
      <w:r w:rsidRPr="00D207EA">
        <w:rPr>
          <w:b/>
          <w:noProof/>
        </w:rPr>
        <w:t>Titre III – Plans de partenariat national et régional [articles 21 à 25]</w:t>
      </w:r>
    </w:p>
    <w:p w14:paraId="3ECECE18" w14:textId="77777777" w:rsidR="00794A16" w:rsidRPr="00D207EA" w:rsidRDefault="00794A16" w:rsidP="00BE7913">
      <w:pPr>
        <w:pBdr>
          <w:top w:val="nil"/>
          <w:left w:val="nil"/>
          <w:bottom w:val="nil"/>
          <w:right w:val="nil"/>
          <w:between w:val="nil"/>
          <w:bar w:val="nil"/>
        </w:pBdr>
        <w:spacing w:before="0" w:after="240"/>
        <w:rPr>
          <w:noProof/>
          <w:szCs w:val="24"/>
        </w:rPr>
      </w:pPr>
      <w:r w:rsidRPr="00D207EA">
        <w:rPr>
          <w:noProof/>
        </w:rPr>
        <w:t>Chaque État membre devrait présenter à la Commission un plan de partenariat national et régional qui devrait être préparé et mis en œuvre en coopération avec les partenaires (article 21). Le plan devrait comprendre les éléments énoncés à l’article 22 et à l’annexe V. En cas d’évaluation positive, la Commission devrait présenter une proposition de décision d’exécution du Conseil (article 23).</w:t>
      </w:r>
    </w:p>
    <w:p w14:paraId="1EC54B42" w14:textId="77777777" w:rsidR="00794A16" w:rsidRPr="00D207EA" w:rsidRDefault="00794A16" w:rsidP="00BE7913">
      <w:pPr>
        <w:pBdr>
          <w:top w:val="nil"/>
          <w:left w:val="nil"/>
          <w:bottom w:val="nil"/>
          <w:right w:val="nil"/>
          <w:between w:val="nil"/>
          <w:bar w:val="nil"/>
        </w:pBdr>
        <w:spacing w:before="0" w:after="240"/>
        <w:rPr>
          <w:noProof/>
          <w:szCs w:val="24"/>
        </w:rPr>
      </w:pPr>
      <w:r w:rsidRPr="00D207EA">
        <w:rPr>
          <w:noProof/>
        </w:rPr>
        <w:t>Au cours de la phase de mise en œuvre, les États membres peuvent demander une modification motivée de leur plan de partenariat national et régional, en précisant l’incidence prévue sur la réalisation des objectifs (article 24). Les États membres devront également présenter, pour le 31 mars 2031, des plans modifiés dans le cadre de l’examen à mi-parcours (article 25).</w:t>
      </w:r>
    </w:p>
    <w:p w14:paraId="11E4E2F8" w14:textId="77777777" w:rsidR="00794A16" w:rsidRPr="00D207EA" w:rsidRDefault="00794A16" w:rsidP="00BE7913">
      <w:pPr>
        <w:pBdr>
          <w:top w:val="nil"/>
          <w:left w:val="nil"/>
          <w:bottom w:val="nil"/>
          <w:right w:val="nil"/>
          <w:between w:val="nil"/>
          <w:bar w:val="nil"/>
        </w:pBdr>
        <w:spacing w:before="0" w:after="240"/>
        <w:rPr>
          <w:b/>
          <w:noProof/>
          <w:szCs w:val="24"/>
        </w:rPr>
      </w:pPr>
      <w:r w:rsidRPr="00D207EA">
        <w:rPr>
          <w:b/>
          <w:noProof/>
        </w:rPr>
        <w:t>Titre IV - Facilité de l’UE [articles 26 à 34]</w:t>
      </w:r>
    </w:p>
    <w:p w14:paraId="14E3FC38" w14:textId="12081FD5" w:rsidR="00794A16" w:rsidRPr="00D207EA" w:rsidRDefault="00794A16" w:rsidP="00BE7913">
      <w:pPr>
        <w:pBdr>
          <w:top w:val="nil"/>
          <w:left w:val="nil"/>
          <w:bottom w:val="nil"/>
          <w:right w:val="nil"/>
          <w:between w:val="nil"/>
          <w:bar w:val="nil"/>
        </w:pBdr>
        <w:spacing w:before="0" w:after="240"/>
        <w:rPr>
          <w:noProof/>
          <w:szCs w:val="24"/>
        </w:rPr>
      </w:pPr>
      <w:r w:rsidRPr="00D207EA">
        <w:rPr>
          <w:noProof/>
        </w:rPr>
        <w:t>Le règlement établit la Facilité de l’UE afin d’accroître la flexibilité et de faire face aux crises imprévues. La Facilité couvrira les actions de l’Union, la réserve pour les défis et priorités émergents (la «réserve budgétaire») (article 26). La Facilité de l’UE peut être mise en œuvre sous la forme de garanties budgétaires, d’instruments financiers et d’opérations de mixage (article 27) ou avec la participation de pays tiers (article 28), d’un soutien à des activités dans des pays tiers ou en relation avec eux (article 29) et d’un soutien à d’autres entités en gestion directe et indirecte (article 30). L’article 31 définit les objectifs et les actions à soutenir ainsi que les étapes procédurales respectives pour les actions de l’Union. L’article 32 fixe les règles relatives aux dépenses liées à l’intervention publique dans le cadre du filet de sécurité unitaire et l’article 33 précise les cas dans lesquels le montant alloué à la réserve budgétaire devrait être utilisé. Les États membres peuvent demander à modifier leur plan en cas de situation de crise (article 34).</w:t>
      </w:r>
    </w:p>
    <w:p w14:paraId="094FA5B2" w14:textId="5CB9DD6F" w:rsidR="00794A16" w:rsidRPr="00D207EA" w:rsidRDefault="00794A16" w:rsidP="00BE7913">
      <w:pPr>
        <w:pBdr>
          <w:top w:val="nil"/>
          <w:left w:val="nil"/>
          <w:bottom w:val="nil"/>
          <w:right w:val="nil"/>
          <w:between w:val="nil"/>
          <w:bar w:val="nil"/>
        </w:pBdr>
        <w:spacing w:before="0" w:after="240"/>
        <w:rPr>
          <w:b/>
          <w:noProof/>
          <w:szCs w:val="24"/>
        </w:rPr>
      </w:pPr>
      <w:r w:rsidRPr="00D207EA">
        <w:rPr>
          <w:b/>
          <w:noProof/>
        </w:rPr>
        <w:t>Titre V - Politique agricole commune [articles 35 à 45]</w:t>
      </w:r>
    </w:p>
    <w:p w14:paraId="4F945DBA" w14:textId="6170C7DC" w:rsidR="00794A16" w:rsidRPr="00D207EA" w:rsidRDefault="00A266F4" w:rsidP="00BE7913">
      <w:pPr>
        <w:pBdr>
          <w:top w:val="nil"/>
          <w:left w:val="nil"/>
          <w:bottom w:val="nil"/>
          <w:right w:val="nil"/>
          <w:between w:val="nil"/>
          <w:bar w:val="nil"/>
        </w:pBdr>
        <w:spacing w:before="0" w:after="240"/>
        <w:rPr>
          <w:noProof/>
        </w:rPr>
      </w:pPr>
      <w:r w:rsidRPr="00D207EA">
        <w:rPr>
          <w:noProof/>
        </w:rPr>
        <w:t>L’article 35 énumère les types d’interventions pour lesquelles un soutien de l’Union est accordé afin de poursuivre les objectifs de la politique agricole commune. Les exigences spécifiques pour les interventions au titre de la PAC sont précisées à l’article 36 et les règles relatives au contrôle des ressources agricoles à l’article 37. L’article 38 établit les règles sur les paiements de crise versés aux agriculteurs à la suite de catastrophes naturelles, de phénomènes climatiques défavorables et d’événements catastrophiques. Les aides spécifiques au coton sont fixées à l’article 39.</w:t>
      </w:r>
    </w:p>
    <w:p w14:paraId="09DC8E07" w14:textId="3EB02946" w:rsidR="00243E34" w:rsidRPr="00D207EA" w:rsidRDefault="00243E34" w:rsidP="00BE7913">
      <w:pPr>
        <w:pBdr>
          <w:top w:val="nil"/>
          <w:left w:val="nil"/>
          <w:bottom w:val="nil"/>
          <w:right w:val="nil"/>
          <w:between w:val="nil"/>
          <w:bar w:val="nil"/>
        </w:pBdr>
        <w:spacing w:before="0" w:after="240"/>
        <w:rPr>
          <w:noProof/>
          <w:szCs w:val="24"/>
        </w:rPr>
      </w:pPr>
      <w:r w:rsidRPr="00D207EA">
        <w:rPr>
          <w:noProof/>
        </w:rPr>
        <w:t>Les États membres devraient concevoir les interventions au titre de la PAC prévues par le présent règlement, le règlement (UE) 202X/XXXX [règlement relatif à la PAC] et le règlement (UE) nº 1308/2013 conformément à l’article 40 [OMC] et à l’annexe XVII [annexe relative à l’OMC] (article 40). L’article 41 énonce les règles relatives à la mise en œuvre du protocole d’accord concernant les graines oléagineuses conclu entre la Communauté économique européenne et les États-Unis d’Amérique.</w:t>
      </w:r>
    </w:p>
    <w:p w14:paraId="6D4153C5" w14:textId="072C40EB" w:rsidR="002A362F" w:rsidRPr="00D207EA" w:rsidRDefault="002A362F" w:rsidP="00BE7913">
      <w:pPr>
        <w:pBdr>
          <w:top w:val="nil"/>
          <w:left w:val="nil"/>
          <w:bottom w:val="nil"/>
          <w:right w:val="nil"/>
          <w:between w:val="nil"/>
          <w:bar w:val="nil"/>
        </w:pBdr>
        <w:spacing w:before="0" w:after="240"/>
        <w:rPr>
          <w:noProof/>
          <w:szCs w:val="24"/>
        </w:rPr>
      </w:pPr>
      <w:r w:rsidRPr="00D207EA">
        <w:rPr>
          <w:noProof/>
        </w:rPr>
        <w:t>Les articles 42 à 45 définissent les règles relatives au soutien des îles mineures de la mer Égée, y compris le champ d’application et les exigences communes, les régimes d’approvisionnement, le soutien aux produits agricoles locaux, ainsi que les contrôles et les sanctions qui s’y rapportent.</w:t>
      </w:r>
    </w:p>
    <w:p w14:paraId="7E37935D" w14:textId="77777777" w:rsidR="00794A16" w:rsidRPr="00D207EA" w:rsidRDefault="00794A16" w:rsidP="00BE7913">
      <w:pPr>
        <w:pBdr>
          <w:top w:val="nil"/>
          <w:left w:val="nil"/>
          <w:bottom w:val="nil"/>
          <w:right w:val="nil"/>
          <w:between w:val="nil"/>
          <w:bar w:val="nil"/>
        </w:pBdr>
        <w:spacing w:before="0" w:after="240"/>
        <w:rPr>
          <w:b/>
          <w:bCs/>
          <w:noProof/>
        </w:rPr>
      </w:pPr>
      <w:r w:rsidRPr="00D207EA">
        <w:rPr>
          <w:b/>
          <w:noProof/>
        </w:rPr>
        <w:t>Titre VI - Régions ultrapériphériques [articles 46 à 48]</w:t>
      </w:r>
    </w:p>
    <w:p w14:paraId="351D5F15" w14:textId="77777777" w:rsidR="00794A16" w:rsidRPr="00D207EA" w:rsidRDefault="00794A16" w:rsidP="00BE7913">
      <w:pPr>
        <w:pBdr>
          <w:top w:val="nil"/>
          <w:left w:val="nil"/>
          <w:bottom w:val="nil"/>
          <w:right w:val="nil"/>
          <w:between w:val="nil"/>
          <w:bar w:val="nil"/>
        </w:pBdr>
        <w:spacing w:before="0" w:after="240"/>
        <w:rPr>
          <w:noProof/>
        </w:rPr>
      </w:pPr>
      <w:r w:rsidRPr="00D207EA">
        <w:rPr>
          <w:noProof/>
        </w:rPr>
        <w:t>Le règlement prévoit que les États membres concernés mettent en œuvre des mesures pour relever les défis qui se posent à chacune de leurs régions ultrapériphériques, en réalisant les objectifs fixés à l’article 46. Le règlement établit des règles concernant le régime spécifique d’approvisionnement pour les produits agricoles énumérés à l’annexe I du traité FUE (article 47) et le soutien aux produits agricoles locaux (article 48).</w:t>
      </w:r>
    </w:p>
    <w:p w14:paraId="42D56BB1" w14:textId="77777777" w:rsidR="00794A16" w:rsidRPr="00D207EA" w:rsidRDefault="00794A16" w:rsidP="00FA3FDF">
      <w:pPr>
        <w:keepNext/>
        <w:pBdr>
          <w:top w:val="nil"/>
          <w:left w:val="nil"/>
          <w:bottom w:val="nil"/>
          <w:right w:val="nil"/>
          <w:between w:val="nil"/>
          <w:bar w:val="nil"/>
        </w:pBdr>
        <w:spacing w:before="0" w:after="240"/>
        <w:rPr>
          <w:b/>
          <w:bCs/>
          <w:noProof/>
        </w:rPr>
      </w:pPr>
      <w:r w:rsidRPr="00D207EA">
        <w:rPr>
          <w:b/>
          <w:noProof/>
        </w:rPr>
        <w:t>Titre VII - Gouvernance du plan [articles 49 à 57]</w:t>
      </w:r>
    </w:p>
    <w:p w14:paraId="10912E95" w14:textId="77777777" w:rsidR="00794A16" w:rsidRPr="00D207EA" w:rsidRDefault="00794A16" w:rsidP="00BE7913">
      <w:pPr>
        <w:pBdr>
          <w:top w:val="nil"/>
          <w:left w:val="nil"/>
          <w:bottom w:val="nil"/>
          <w:right w:val="nil"/>
          <w:between w:val="nil"/>
          <w:bar w:val="nil"/>
        </w:pBdr>
        <w:spacing w:before="0" w:after="240"/>
        <w:rPr>
          <w:noProof/>
          <w:szCs w:val="24"/>
        </w:rPr>
      </w:pPr>
      <w:r w:rsidRPr="00D207EA">
        <w:rPr>
          <w:noProof/>
        </w:rPr>
        <w:t>Les États membres devraient nommer pour le plan une ou plusieurs autorités de gestion, un ou plusieurs organismes payeurs et une ou plusieurs autorités d’audit (article 49), qui devraient satisfaire aux exigences clés énoncées à l’annexe IV. Si l’État membre nomme plus d’une autorité de gestion, il devrait mettre en place une autorité de coordination. Le règlement définit les fonctions de l’autorité de coordination (article 50), de l’autorité de gestion (article 51), de l’organisme payeur (article 52) et de l’autorité d’audit (article 53).</w:t>
      </w:r>
    </w:p>
    <w:p w14:paraId="2CB4D655" w14:textId="77777777" w:rsidR="00794A16" w:rsidRPr="00D207EA" w:rsidRDefault="00794A16" w:rsidP="00BE7913">
      <w:pPr>
        <w:pBdr>
          <w:top w:val="nil"/>
          <w:left w:val="nil"/>
          <w:bottom w:val="nil"/>
          <w:right w:val="nil"/>
          <w:between w:val="nil"/>
          <w:bar w:val="nil"/>
        </w:pBdr>
        <w:spacing w:before="0" w:after="240"/>
        <w:rPr>
          <w:noProof/>
          <w:szCs w:val="24"/>
        </w:rPr>
      </w:pPr>
      <w:r w:rsidRPr="00D207EA">
        <w:rPr>
          <w:noProof/>
        </w:rPr>
        <w:t>Les États membres devraient créer un ou plusieurs comités de suivi pour un ou plusieurs chapitres du plan. Si plus d’un comité de suivi est créé, l’État membre devrait également mettre en place un comité de coordination pour assurer la supervision et le suivi de la mise en œuvre (article 54). L’article 55 définit la composition et l’article 56 les fonctions du comité de suivi. L’article 57 définit les objectifs des réseaux européen et national de la PAC.</w:t>
      </w:r>
    </w:p>
    <w:p w14:paraId="308F4A4E" w14:textId="77777777" w:rsidR="00794A16" w:rsidRPr="00D207EA" w:rsidRDefault="00794A16" w:rsidP="00BE7913">
      <w:pPr>
        <w:pBdr>
          <w:top w:val="nil"/>
          <w:left w:val="nil"/>
          <w:bottom w:val="nil"/>
          <w:right w:val="nil"/>
          <w:between w:val="nil"/>
          <w:bar w:val="nil"/>
        </w:pBdr>
        <w:spacing w:before="0" w:after="240"/>
        <w:rPr>
          <w:b/>
          <w:bCs/>
          <w:noProof/>
        </w:rPr>
      </w:pPr>
      <w:r w:rsidRPr="00D207EA">
        <w:rPr>
          <w:b/>
          <w:noProof/>
        </w:rPr>
        <w:t>Titre VIII - Règles financières et de gestion [articles 58 à 70]</w:t>
      </w:r>
    </w:p>
    <w:p w14:paraId="04225A7F" w14:textId="47C32CB8" w:rsidR="00794A16" w:rsidRPr="00D207EA" w:rsidRDefault="00794A16" w:rsidP="00BE7913">
      <w:pPr>
        <w:pBdr>
          <w:top w:val="nil"/>
          <w:left w:val="nil"/>
          <w:bottom w:val="nil"/>
          <w:right w:val="nil"/>
          <w:between w:val="nil"/>
          <w:bar w:val="nil"/>
        </w:pBdr>
        <w:spacing w:before="0" w:after="240"/>
        <w:rPr>
          <w:noProof/>
          <w:szCs w:val="24"/>
        </w:rPr>
      </w:pPr>
      <w:r w:rsidRPr="00D207EA">
        <w:rPr>
          <w:noProof/>
        </w:rPr>
        <w:t>Le règlement précise les mesures appropriées pour protéger les intérêts financiers de l’Union et garantir le respect de la législation applicable (article 58). Les États membres devraient présenter à la Commission le dossier «assurance», au plus tard le 15 février de chaque année postérieure à 2028 (article 59). Le règlement précise également les responsabilités de la Commission (article 60) et définit le modèle de contrôle unique (article 61). L’article 62 établit le système de contrôle de la gérance des exploitations agricoles et de la politique commune de la pêche. Le règlement définit les responsabilités de la Commission et des États membres en ce qui concerne la collecte et l’enregistrement des données (article 63) et la transparence (article 64).</w:t>
      </w:r>
    </w:p>
    <w:p w14:paraId="34F66A8B" w14:textId="25977546" w:rsidR="00794A16" w:rsidRPr="00D207EA" w:rsidRDefault="00794A16" w:rsidP="00BE7913">
      <w:pPr>
        <w:pBdr>
          <w:top w:val="nil"/>
          <w:left w:val="nil"/>
          <w:bottom w:val="nil"/>
          <w:right w:val="nil"/>
          <w:between w:val="nil"/>
          <w:bar w:val="nil"/>
        </w:pBdr>
        <w:spacing w:before="0" w:after="240"/>
        <w:rPr>
          <w:noProof/>
          <w:szCs w:val="24"/>
        </w:rPr>
      </w:pPr>
      <w:r w:rsidRPr="00D207EA">
        <w:rPr>
          <w:noProof/>
        </w:rPr>
        <w:t>Il fixe également les règles relatives aux paiements, notamment la présentation et l’évaluation des demandes de paiement (article 65), les délais et l’interruption du délai de paiement (article 66), la suspension des paiements (article 67), les corrections financières effectuées par la Commission (article 68), la durabilité et l’annulation (article 69) et le système intégré de gestion et de contrôle (SIGC) (article 70).</w:t>
      </w:r>
    </w:p>
    <w:p w14:paraId="6C621702" w14:textId="77777777" w:rsidR="00794A16" w:rsidRPr="00D207EA" w:rsidRDefault="00794A16" w:rsidP="00BE7913">
      <w:pPr>
        <w:pBdr>
          <w:top w:val="nil"/>
          <w:left w:val="nil"/>
          <w:bottom w:val="nil"/>
          <w:right w:val="nil"/>
          <w:between w:val="nil"/>
          <w:bar w:val="nil"/>
        </w:pBdr>
        <w:spacing w:before="0" w:after="240"/>
        <w:rPr>
          <w:b/>
          <w:bCs/>
          <w:noProof/>
        </w:rPr>
      </w:pPr>
      <w:r w:rsidRPr="00D207EA">
        <w:rPr>
          <w:b/>
          <w:noProof/>
        </w:rPr>
        <w:t>Titre IX - Type spécifique de soutien [articles 71 à 79]</w:t>
      </w:r>
    </w:p>
    <w:p w14:paraId="0A1990A1" w14:textId="3E7ABD85" w:rsidR="00794A16" w:rsidRPr="00D207EA" w:rsidRDefault="00794A16" w:rsidP="00BE7913">
      <w:pPr>
        <w:pBdr>
          <w:top w:val="nil"/>
          <w:left w:val="nil"/>
          <w:bottom w:val="nil"/>
          <w:right w:val="nil"/>
          <w:between w:val="nil"/>
          <w:bar w:val="nil"/>
        </w:pBdr>
        <w:spacing w:before="0" w:after="240"/>
        <w:rPr>
          <w:noProof/>
          <w:szCs w:val="24"/>
        </w:rPr>
      </w:pPr>
      <w:r w:rsidRPr="00D207EA">
        <w:rPr>
          <w:noProof/>
        </w:rPr>
        <w:t>Le règlement stipule les règles à suivre lorsque les États membres souhaitent inclure dans leurs plans des instruments financiers existants ou nouvellement créés, mis en œuvre directement par l’autorité de gestion ou sous sa responsabilité (article 71). Il précise également les tâches liées aux vérifications de gestion et aux audits des instruments financiers (article 72). L’article 73 définit les règles relatives aux vérifications de gestion et aux audits pour les entités ayant fait l’objet d’une évaluation ex ante en tant que bénéficiaires.</w:t>
      </w:r>
    </w:p>
    <w:p w14:paraId="11CE2F5B" w14:textId="05C56EE9" w:rsidR="00794A16" w:rsidRPr="00D207EA" w:rsidRDefault="00794A16" w:rsidP="00BE7913">
      <w:pPr>
        <w:pBdr>
          <w:top w:val="nil"/>
          <w:left w:val="nil"/>
          <w:bottom w:val="nil"/>
          <w:right w:val="nil"/>
          <w:between w:val="nil"/>
          <w:bar w:val="nil"/>
        </w:pBdr>
        <w:spacing w:before="0" w:after="240"/>
        <w:rPr>
          <w:noProof/>
          <w:szCs w:val="24"/>
        </w:rPr>
      </w:pPr>
      <w:r w:rsidRPr="00D207EA">
        <w:rPr>
          <w:noProof/>
        </w:rPr>
        <w:t>Les États membres devraient soutenir les initiatives de coopération locale (article 74), y compris le développement territorial et urbain intégré dans leurs plans (article 75), le développement local mené par les acteurs locaux (article 76) et le soutien au titre de l’initiative communautaire concernant le développement rural (LEADER) (article 77).</w:t>
      </w:r>
    </w:p>
    <w:p w14:paraId="2DFB78BF" w14:textId="77777777" w:rsidR="00703644" w:rsidRPr="00D207EA" w:rsidRDefault="00703644" w:rsidP="00BE7913">
      <w:pPr>
        <w:pBdr>
          <w:top w:val="nil"/>
          <w:left w:val="nil"/>
          <w:bottom w:val="nil"/>
          <w:right w:val="nil"/>
          <w:between w:val="nil"/>
          <w:bar w:val="nil"/>
        </w:pBdr>
        <w:spacing w:before="0" w:after="240"/>
        <w:rPr>
          <w:noProof/>
          <w:szCs w:val="24"/>
        </w:rPr>
      </w:pPr>
      <w:r w:rsidRPr="00D207EA">
        <w:rPr>
          <w:noProof/>
        </w:rPr>
        <w:t>L’article 78 fixe les règles relatives à l’utilisation de la forme simplifiée de soutien aux bénéficiaires.</w:t>
      </w:r>
    </w:p>
    <w:p w14:paraId="23540431" w14:textId="023CA116" w:rsidR="00794A16" w:rsidRPr="00D207EA" w:rsidRDefault="00794A16" w:rsidP="00BE7913">
      <w:pPr>
        <w:pBdr>
          <w:top w:val="nil"/>
          <w:left w:val="nil"/>
          <w:bottom w:val="nil"/>
          <w:right w:val="nil"/>
          <w:between w:val="nil"/>
          <w:bar w:val="nil"/>
        </w:pBdr>
        <w:spacing w:before="0" w:after="240"/>
        <w:rPr>
          <w:noProof/>
          <w:szCs w:val="24"/>
        </w:rPr>
      </w:pPr>
      <w:r w:rsidRPr="00D207EA">
        <w:rPr>
          <w:noProof/>
        </w:rPr>
        <w:t>Les États membres peuvent soutenir des mesures lorsque l’opération ou les opérations sous-jacentes consistent en la seconde phase d’une opération déjà retenue et entamée au titre du règlement (UE) 2021/1060, si les conditions pertinentes sont remplies (article 79).</w:t>
      </w:r>
    </w:p>
    <w:p w14:paraId="6931863E" w14:textId="77777777" w:rsidR="00794A16" w:rsidRPr="00D207EA" w:rsidRDefault="00794A16" w:rsidP="00FA3FDF">
      <w:pPr>
        <w:keepNext/>
        <w:pBdr>
          <w:top w:val="nil"/>
          <w:left w:val="nil"/>
          <w:bottom w:val="nil"/>
          <w:right w:val="nil"/>
          <w:between w:val="nil"/>
          <w:bar w:val="nil"/>
        </w:pBdr>
        <w:spacing w:before="0" w:after="240"/>
        <w:rPr>
          <w:b/>
          <w:bCs/>
          <w:noProof/>
        </w:rPr>
      </w:pPr>
      <w:r w:rsidRPr="00D207EA">
        <w:rPr>
          <w:b/>
          <w:noProof/>
        </w:rPr>
        <w:t>Titre X - Fonds social pour le climat et Fonds pour la modernisation [articles 80 à 83]</w:t>
      </w:r>
    </w:p>
    <w:p w14:paraId="2BF7EC70" w14:textId="77777777" w:rsidR="00794A16" w:rsidRPr="00D207EA" w:rsidRDefault="00794A16" w:rsidP="00BE7913">
      <w:pPr>
        <w:pBdr>
          <w:top w:val="nil"/>
          <w:left w:val="nil"/>
          <w:bottom w:val="nil"/>
          <w:right w:val="nil"/>
          <w:between w:val="nil"/>
          <w:bar w:val="nil"/>
        </w:pBdr>
        <w:spacing w:before="0" w:after="240"/>
        <w:rPr>
          <w:noProof/>
        </w:rPr>
      </w:pPr>
      <w:r w:rsidRPr="00D207EA">
        <w:rPr>
          <w:noProof/>
        </w:rPr>
        <w:t>Compte tenu des chevauchements importants concernant, notamment, les objectifs politiques et le calendrier de mise en œuvre, les plans sociaux pour le climat devraient être intégrés en tant que chapitres distincts des plans à partir de 2028. Les articles 80 et 81 énoncent les règles de procédure, accompagnées des modifications du règlement (UE) 2023/955. Afin de renforcer les synergies et la cohérence, les États membres bénéficiant d’un soutien au titre du Fonds pour la modernisation s’efforceront d’assurer la cohérence entre les investissements financés dans le cadre de leur plan PNR et ceux présentés au comité d’investissement du Fonds pour la modernisation (article 82). L’article 83 énonce les modifications à apporter au règlement (UE) 2023/955.</w:t>
      </w:r>
    </w:p>
    <w:p w14:paraId="61365E73" w14:textId="77777777" w:rsidR="00794A16" w:rsidRPr="00D207EA" w:rsidRDefault="00794A16" w:rsidP="00BE7913">
      <w:pPr>
        <w:pBdr>
          <w:top w:val="nil"/>
          <w:left w:val="nil"/>
          <w:bottom w:val="nil"/>
          <w:right w:val="nil"/>
          <w:between w:val="nil"/>
          <w:bar w:val="nil"/>
        </w:pBdr>
        <w:spacing w:before="0" w:after="240"/>
        <w:rPr>
          <w:b/>
          <w:bCs/>
          <w:noProof/>
        </w:rPr>
      </w:pPr>
      <w:r w:rsidRPr="00D207EA">
        <w:rPr>
          <w:b/>
          <w:noProof/>
        </w:rPr>
        <w:t>Titre XI - Dispositions institutionnelles et finales [articles 84 à 90]</w:t>
      </w:r>
    </w:p>
    <w:p w14:paraId="7DD252D7" w14:textId="6AFC848F" w:rsidR="00794A16" w:rsidRPr="00D207EA" w:rsidRDefault="00794A16" w:rsidP="00BE7913">
      <w:pPr>
        <w:pBdr>
          <w:top w:val="nil"/>
          <w:left w:val="nil"/>
          <w:bottom w:val="nil"/>
          <w:right w:val="nil"/>
          <w:between w:val="nil"/>
          <w:bar w:val="nil"/>
        </w:pBdr>
        <w:spacing w:before="0" w:after="240"/>
        <w:rPr>
          <w:noProof/>
          <w:szCs w:val="24"/>
        </w:rPr>
      </w:pPr>
      <w:r w:rsidRPr="00D207EA">
        <w:rPr>
          <w:noProof/>
        </w:rPr>
        <w:t>Le règlement contient des dispositions relatives aux règles applicables aux entreprises, aux règles en matière d’aides d’État et aux dérogations potentielles à ces règles (articles 84 et 85).</w:t>
      </w:r>
    </w:p>
    <w:p w14:paraId="08C105FC" w14:textId="74764B4C" w:rsidR="00794A16" w:rsidRPr="00D207EA" w:rsidRDefault="00794A16" w:rsidP="00BE7913">
      <w:pPr>
        <w:pBdr>
          <w:top w:val="nil"/>
          <w:left w:val="nil"/>
          <w:bottom w:val="nil"/>
          <w:right w:val="nil"/>
          <w:between w:val="nil"/>
          <w:bar w:val="nil"/>
        </w:pBdr>
        <w:spacing w:before="0" w:after="240"/>
        <w:rPr>
          <w:noProof/>
          <w:szCs w:val="24"/>
        </w:rPr>
      </w:pPr>
      <w:r w:rsidRPr="00D207EA">
        <w:rPr>
          <w:noProof/>
        </w:rPr>
        <w:t>Le présent règlement confère à la Commission le pouvoir d’adopter des actes délégués pour une période indéterminée à compter de son entrée en vigueur (articles 86 et 87).</w:t>
      </w:r>
    </w:p>
    <w:p w14:paraId="700F3C08" w14:textId="77777777" w:rsidR="0005552B" w:rsidRPr="00D207EA" w:rsidRDefault="00794A16" w:rsidP="00BE7913">
      <w:pPr>
        <w:pBdr>
          <w:top w:val="nil"/>
          <w:left w:val="nil"/>
          <w:bottom w:val="nil"/>
          <w:right w:val="nil"/>
          <w:between w:val="nil"/>
          <w:bar w:val="nil"/>
        </w:pBdr>
        <w:spacing w:before="0" w:after="240"/>
        <w:rPr>
          <w:noProof/>
        </w:rPr>
      </w:pPr>
      <w:r w:rsidRPr="00D207EA">
        <w:rPr>
          <w:noProof/>
        </w:rPr>
        <w:t>Les règles relatives à la procédure de comité sont établies à l’article 88.</w:t>
      </w:r>
    </w:p>
    <w:p w14:paraId="137EF48C" w14:textId="77777777" w:rsidR="00794A16" w:rsidRPr="00D207EA" w:rsidRDefault="00794A16" w:rsidP="00BE7913">
      <w:pPr>
        <w:pBdr>
          <w:top w:val="nil"/>
          <w:left w:val="nil"/>
          <w:bottom w:val="nil"/>
          <w:right w:val="nil"/>
          <w:between w:val="nil"/>
          <w:bar w:val="nil"/>
        </w:pBdr>
        <w:spacing w:before="0" w:after="240"/>
        <w:rPr>
          <w:noProof/>
        </w:rPr>
      </w:pPr>
      <w:r w:rsidRPr="00D207EA">
        <w:rPr>
          <w:noProof/>
        </w:rPr>
        <w:t>Les dispositions relatives à la gestion partagée du règlement financier sont modifiées de manière à les adapter au modèle de mise en œuvre du présent règlement (article 89).</w:t>
      </w:r>
    </w:p>
    <w:p w14:paraId="0878593B" w14:textId="77777777" w:rsidR="00186A9E" w:rsidRPr="00D207EA" w:rsidRDefault="00186A9E">
      <w:pPr>
        <w:rPr>
          <w:noProof/>
        </w:rPr>
        <w:sectPr w:rsidR="00186A9E" w:rsidRPr="00D207EA" w:rsidSect="00972E68">
          <w:headerReference w:type="even" r:id="rId15"/>
          <w:footerReference w:type="even" r:id="rId16"/>
          <w:footerReference w:type="default" r:id="rId17"/>
          <w:headerReference w:type="first" r:id="rId18"/>
          <w:footerReference w:type="first" r:id="rId19"/>
          <w:pgSz w:w="11907" w:h="16839"/>
          <w:pgMar w:top="1134" w:right="1417" w:bottom="1134" w:left="1417" w:header="709" w:footer="709" w:gutter="0"/>
          <w:cols w:space="708"/>
          <w:docGrid w:linePitch="360"/>
        </w:sectPr>
      </w:pPr>
    </w:p>
    <w:p w14:paraId="0C03F305" w14:textId="3DDBC338" w:rsidR="00991318" w:rsidRPr="00D207EA" w:rsidRDefault="009F585D" w:rsidP="009F585D">
      <w:pPr>
        <w:pStyle w:val="Rfrenceinterinstitutionnelle"/>
        <w:rPr>
          <w:noProof/>
        </w:rPr>
      </w:pPr>
      <w:r>
        <w:rPr>
          <w:noProof/>
        </w:rPr>
        <w:t>2025/0240 (COD)</w:t>
      </w:r>
    </w:p>
    <w:p w14:paraId="0E8EBE57" w14:textId="67C18F64" w:rsidR="00186A9E" w:rsidRPr="00D207EA" w:rsidRDefault="009F585D" w:rsidP="009F585D">
      <w:pPr>
        <w:pStyle w:val="Statut"/>
        <w:rPr>
          <w:noProof/>
        </w:rPr>
      </w:pPr>
      <w:r w:rsidRPr="009F585D">
        <w:rPr>
          <w:noProof/>
        </w:rPr>
        <w:t>Proposition de</w:t>
      </w:r>
    </w:p>
    <w:p w14:paraId="1528D9F0" w14:textId="24DF2407" w:rsidR="00186A9E" w:rsidRPr="00D207EA" w:rsidRDefault="009F585D" w:rsidP="009F585D">
      <w:pPr>
        <w:pStyle w:val="Typedudocument"/>
        <w:rPr>
          <w:noProof/>
        </w:rPr>
      </w:pPr>
      <w:r w:rsidRPr="009F585D">
        <w:rPr>
          <w:noProof/>
        </w:rPr>
        <w:t>RÈGLEMENT DU PARLEMENT EUROPÉEN ET DU CONSEIL</w:t>
      </w:r>
    </w:p>
    <w:p w14:paraId="5B3D86DB" w14:textId="180A9AFC" w:rsidR="00AF6A2B" w:rsidRPr="00D207EA" w:rsidRDefault="009F585D" w:rsidP="009F585D">
      <w:pPr>
        <w:pStyle w:val="Titreobjet"/>
        <w:rPr>
          <w:noProof/>
        </w:rPr>
      </w:pPr>
      <w:r w:rsidRPr="009F585D">
        <w:rPr>
          <w:noProof/>
        </w:rPr>
        <w:t>établissant le Fonds européen pour la cohésion économique, sociale et territoriale, l’agriculture et les zones rurales, la pêche et les affaires maritimes ainsi que la prospérité et la sécurité pour la période 2028–2034 et modifiant le règlement (UE) 2023/955 ainsi que le règlement (UE, Euratom) 2024/2509</w:t>
      </w:r>
    </w:p>
    <w:p w14:paraId="626B6203" w14:textId="77777777" w:rsidR="00186A9E" w:rsidRPr="00D207EA" w:rsidRDefault="00186A9E">
      <w:pPr>
        <w:pStyle w:val="Institutionquiagit"/>
        <w:rPr>
          <w:noProof/>
        </w:rPr>
      </w:pPr>
      <w:r w:rsidRPr="00D207EA">
        <w:rPr>
          <w:noProof/>
        </w:rPr>
        <w:t>LE PARLEMENT EUROPÉEN ET LE CONSEIL DE L’UNION EUROPÉENNE,</w:t>
      </w:r>
    </w:p>
    <w:p w14:paraId="4C9C00DB" w14:textId="77777777" w:rsidR="00186A9E" w:rsidRPr="00D207EA" w:rsidRDefault="00186A9E">
      <w:pPr>
        <w:rPr>
          <w:noProof/>
        </w:rPr>
      </w:pPr>
      <w:r w:rsidRPr="00D207EA">
        <w:rPr>
          <w:noProof/>
        </w:rPr>
        <w:t>Vu le traité sur le fonctionnement de l’Union européenne, et notamment son article 42, son article 43, paragraphe 3, son article 46, point d), son article 91, paragraphe 1, point d), son article 149, son article 153, paragraphe 2, point a), ses articles 164, 175, 177 et 178, son article 192, paragraphe 1, son article 194, paragraphe 2, son article 209, paragraphe 1, son article 212, paragraphe 2, son article 322, paragraphe 1, point a), et son article 349,</w:t>
      </w:r>
    </w:p>
    <w:p w14:paraId="17D99D64" w14:textId="77777777" w:rsidR="00EA21E6" w:rsidRPr="00D207EA" w:rsidRDefault="006E2F61">
      <w:pPr>
        <w:rPr>
          <w:noProof/>
        </w:rPr>
      </w:pPr>
      <w:r w:rsidRPr="00D207EA">
        <w:rPr>
          <w:noProof/>
        </w:rPr>
        <w:t>vu l’acte d’adhésion de 1979, et notamment le protocole nº 4 relatif au coton, paragraphe 6,</w:t>
      </w:r>
    </w:p>
    <w:p w14:paraId="1277B1EA" w14:textId="77777777" w:rsidR="006E2F61" w:rsidRPr="00D207EA" w:rsidRDefault="006E2F61">
      <w:pPr>
        <w:rPr>
          <w:noProof/>
        </w:rPr>
      </w:pPr>
      <w:r w:rsidRPr="00D207EA">
        <w:rPr>
          <w:noProof/>
        </w:rPr>
        <w:t>vu la proposition de la Commission européenne,</w:t>
      </w:r>
    </w:p>
    <w:p w14:paraId="14F11469" w14:textId="77777777" w:rsidR="006E2F61" w:rsidRPr="00D207EA" w:rsidRDefault="006E2F61">
      <w:pPr>
        <w:rPr>
          <w:noProof/>
        </w:rPr>
      </w:pPr>
      <w:r w:rsidRPr="00D207EA">
        <w:rPr>
          <w:noProof/>
        </w:rPr>
        <w:t>vu l’avis de la Cour des comptes,</w:t>
      </w:r>
    </w:p>
    <w:p w14:paraId="7FA8AEAC" w14:textId="77777777" w:rsidR="006E2F61" w:rsidRPr="00D207EA" w:rsidRDefault="006E2F61">
      <w:pPr>
        <w:rPr>
          <w:noProof/>
        </w:rPr>
      </w:pPr>
      <w:r w:rsidRPr="00D207EA">
        <w:rPr>
          <w:noProof/>
        </w:rPr>
        <w:t>après transmission du projet d’acte législatif aux parlements nationaux,</w:t>
      </w:r>
    </w:p>
    <w:p w14:paraId="0541F4F9" w14:textId="77777777" w:rsidR="006E2F61" w:rsidRPr="00D207EA" w:rsidRDefault="006E2F61">
      <w:pPr>
        <w:rPr>
          <w:noProof/>
        </w:rPr>
      </w:pPr>
      <w:r w:rsidRPr="00D207EA">
        <w:rPr>
          <w:noProof/>
        </w:rPr>
        <w:t>vu l’avis du Comité économique et social européen,</w:t>
      </w:r>
    </w:p>
    <w:p w14:paraId="4E5FAAEE" w14:textId="77777777" w:rsidR="006E2F61" w:rsidRPr="00D207EA" w:rsidRDefault="006E2F61">
      <w:pPr>
        <w:rPr>
          <w:noProof/>
        </w:rPr>
      </w:pPr>
      <w:r w:rsidRPr="00D207EA">
        <w:rPr>
          <w:noProof/>
        </w:rPr>
        <w:t>vu l’avis du Comité des régions,</w:t>
      </w:r>
    </w:p>
    <w:p w14:paraId="472D4853" w14:textId="77777777" w:rsidR="006E2F61" w:rsidRPr="00D207EA" w:rsidRDefault="006E2F61">
      <w:pPr>
        <w:rPr>
          <w:noProof/>
        </w:rPr>
      </w:pPr>
      <w:r w:rsidRPr="00D207EA">
        <w:rPr>
          <w:noProof/>
        </w:rPr>
        <w:t>statuant conformément à la procédure législative ordinaire,</w:t>
      </w:r>
    </w:p>
    <w:p w14:paraId="2F3C6627" w14:textId="77777777" w:rsidR="00186A9E" w:rsidRPr="00D207EA" w:rsidRDefault="00186A9E">
      <w:pPr>
        <w:rPr>
          <w:noProof/>
        </w:rPr>
      </w:pPr>
      <w:r w:rsidRPr="00D207EA">
        <w:rPr>
          <w:noProof/>
        </w:rPr>
        <w:t>considérant ce qui suit:</w:t>
      </w:r>
    </w:p>
    <w:p w14:paraId="3B27C361" w14:textId="67D8B7C6" w:rsidR="00C63D0B" w:rsidRPr="00D207EA" w:rsidRDefault="008D666E" w:rsidP="008D666E">
      <w:pPr>
        <w:pStyle w:val="ManualConsidrant"/>
        <w:rPr>
          <w:noProof/>
        </w:rPr>
      </w:pPr>
      <w:r w:rsidRPr="008D666E">
        <w:rPr>
          <w:noProof/>
        </w:rPr>
        <w:t>(1)</w:t>
      </w:r>
      <w:r w:rsidRPr="008D666E">
        <w:rPr>
          <w:noProof/>
        </w:rPr>
        <w:tab/>
      </w:r>
      <w:r w:rsidR="00C63D0B" w:rsidRPr="00D207EA">
        <w:rPr>
          <w:noProof/>
        </w:rPr>
        <w:t>L’article 174 du traité sur le fonctionnement de l’Union européenne (traité FUE) prévoit que, afin de promouvoir un développement harmonieux de l’ensemble de l’Union, celle-ci doit développer et poursuivre son action tendant au renforcement de sa cohésion économique, sociale et territoriale. Il établit en outre que l’Union vise en particulier à réduire l’écart entre les niveaux de développement des diverses régions et le retard des régions les moins favorisées.</w:t>
      </w:r>
    </w:p>
    <w:p w14:paraId="7F7F3893" w14:textId="212A1E4A" w:rsidR="0003368C" w:rsidRPr="00D207EA" w:rsidRDefault="008D666E" w:rsidP="008D666E">
      <w:pPr>
        <w:pStyle w:val="ManualConsidrant"/>
        <w:rPr>
          <w:noProof/>
        </w:rPr>
      </w:pPr>
      <w:r w:rsidRPr="008D666E">
        <w:rPr>
          <w:noProof/>
        </w:rPr>
        <w:t>(2)</w:t>
      </w:r>
      <w:r w:rsidRPr="008D666E">
        <w:rPr>
          <w:noProof/>
        </w:rPr>
        <w:tab/>
      </w:r>
      <w:r w:rsidR="0003368C" w:rsidRPr="00D207EA">
        <w:rPr>
          <w:noProof/>
        </w:rPr>
        <w:t>L’article 175 du traité FUE exige que les États membres coordonnent leurs politiques économiques de manière à atteindre les objectifs fixés à son article 174. L’Union soutient aussi cette réalisation par l’action qu’elle mène au travers des fonds à finalité structurelle, y compris le Fonds européen d’orientation et de garantie agricole, section «orientation», le Fonds social européen et le Fonds européen de développement régional. La communication de la Commission intitulée «La voie vers le prochain cadre financier pluriannuel» souligne que l’efficacité du financement de l’Union est entravée par la fragmentation de l’architecture financière, associée à une complexité et à des rigidités qui augmentent le risque de chevauchements. Le financement des objectifs politiques de l’Union est dispersé dans des programmes qui se chevauchent, chacun doté de son propre ensemble de règles. Ces éléments génèrent une charge administrative pour les destinataires et les États membres et limitent la flexibilité du budget de l’Union.</w:t>
      </w:r>
    </w:p>
    <w:p w14:paraId="4EAA6586" w14:textId="4E5EAD45" w:rsidR="00C63D0B" w:rsidRPr="00D207EA" w:rsidRDefault="008D666E" w:rsidP="008D666E">
      <w:pPr>
        <w:pStyle w:val="ManualConsidrant"/>
        <w:rPr>
          <w:noProof/>
        </w:rPr>
      </w:pPr>
      <w:r w:rsidRPr="008D666E">
        <w:rPr>
          <w:noProof/>
        </w:rPr>
        <w:t>(3)</w:t>
      </w:r>
      <w:r w:rsidRPr="008D666E">
        <w:rPr>
          <w:noProof/>
        </w:rPr>
        <w:tab/>
      </w:r>
      <w:r w:rsidR="00E91760" w:rsidRPr="00D207EA">
        <w:rPr>
          <w:noProof/>
        </w:rPr>
        <w:t>L’article 38 et l’article 43, paragraphe 2, du traité FUE prévoient que l’Union définit et met en œuvre une politique agricole commune (PAC) et une politique commune de la pêche (PCP). L’article 39 du traité FUE prévoit les objectifs de la politique agricole commune (PAC), qui comprennent l’accroissement de la productivité de l’agriculture, un niveau de vie équitable pour la population agricole, la stabilisation des marchés, la garantie de la sécurité des approvisionnements et la garantie de prix raisonnables dans les livraisons aux consommateurs. L’article 42 du traité FUE permet à l’Union de déterminer dans quelle mesure les règles de l’Union en matière de concurrence et d’aides d’État s’appliquent à la production et au commerce des produits agricoles énumérés à son annexe I.</w:t>
      </w:r>
    </w:p>
    <w:p w14:paraId="7A05A4E9" w14:textId="70C4F101" w:rsidR="00C63D0B" w:rsidRPr="00D207EA" w:rsidRDefault="008D666E" w:rsidP="008D666E">
      <w:pPr>
        <w:pStyle w:val="ManualConsidrant"/>
        <w:rPr>
          <w:noProof/>
        </w:rPr>
      </w:pPr>
      <w:r w:rsidRPr="008D666E">
        <w:rPr>
          <w:noProof/>
        </w:rPr>
        <w:t>(4)</w:t>
      </w:r>
      <w:r w:rsidRPr="008D666E">
        <w:rPr>
          <w:noProof/>
        </w:rPr>
        <w:tab/>
      </w:r>
      <w:r w:rsidR="00C63D0B" w:rsidRPr="00D207EA">
        <w:rPr>
          <w:noProof/>
        </w:rPr>
        <w:t>L’article 162 du traité FUE souligne les objectifs à poursuivre pour améliorer les possibilités d’emploi des travailleurs dans le marché intérieur et contribuer au relèvement du niveau de vie.</w:t>
      </w:r>
    </w:p>
    <w:p w14:paraId="459479AD" w14:textId="6BBDF09F" w:rsidR="00FA6640" w:rsidRPr="00D207EA" w:rsidRDefault="008D666E" w:rsidP="008D666E">
      <w:pPr>
        <w:pStyle w:val="ManualConsidrant"/>
        <w:rPr>
          <w:noProof/>
        </w:rPr>
      </w:pPr>
      <w:r w:rsidRPr="008D666E">
        <w:rPr>
          <w:noProof/>
        </w:rPr>
        <w:t>(5)</w:t>
      </w:r>
      <w:r w:rsidRPr="008D666E">
        <w:rPr>
          <w:noProof/>
        </w:rPr>
        <w:tab/>
      </w:r>
      <w:r w:rsidR="00FA6640" w:rsidRPr="00D207EA">
        <w:rPr>
          <w:noProof/>
        </w:rPr>
        <w:t>L’article 152 du traité FUE reconnaît le dialogue social comme un élément clé du modèle social européen et un objectif commun de l’Union et de ses États membres.</w:t>
      </w:r>
    </w:p>
    <w:p w14:paraId="6C0CC593" w14:textId="0437CCF1" w:rsidR="006E7CC8" w:rsidRPr="00D207EA" w:rsidRDefault="008D666E" w:rsidP="008D666E">
      <w:pPr>
        <w:pStyle w:val="ManualConsidrant"/>
        <w:rPr>
          <w:noProof/>
        </w:rPr>
      </w:pPr>
      <w:r w:rsidRPr="008D666E">
        <w:rPr>
          <w:noProof/>
        </w:rPr>
        <w:t>(6)</w:t>
      </w:r>
      <w:r w:rsidRPr="008D666E">
        <w:rPr>
          <w:noProof/>
        </w:rPr>
        <w:tab/>
      </w:r>
      <w:r w:rsidR="006E7CC8" w:rsidRPr="00D207EA">
        <w:rPr>
          <w:noProof/>
        </w:rPr>
        <w:t>Les articles 9, 19 et 153 du traité FUE prévoient un cadre global pour l’inclusion sociale, y compris la lutte contre la pauvreté et la discrimination, en tant qu’objectif central de l’Union. Il s’agit de veiller à ce que tous les citoyens aient les possibilités et les ressources nécessaires pour participer pleinement à la vie économique, sociale et culturelle. Cela comprend l’accès au marché du travail, l’égalité d’accès aux équipements, aux services et aux prestations, ainsi que la promotion d’un niveau de vie et de bien-être conforme aux valeurs de l’Union.</w:t>
      </w:r>
    </w:p>
    <w:p w14:paraId="41048F8A" w14:textId="6B7F0D8D" w:rsidR="00C63D0B" w:rsidRPr="00D207EA" w:rsidRDefault="008D666E" w:rsidP="008D666E">
      <w:pPr>
        <w:pStyle w:val="ManualConsidrant"/>
        <w:rPr>
          <w:noProof/>
        </w:rPr>
      </w:pPr>
      <w:r w:rsidRPr="008D666E">
        <w:rPr>
          <w:noProof/>
        </w:rPr>
        <w:t>(7)</w:t>
      </w:r>
      <w:r w:rsidRPr="008D666E">
        <w:rPr>
          <w:noProof/>
        </w:rPr>
        <w:tab/>
      </w:r>
      <w:r w:rsidR="00C63D0B" w:rsidRPr="00D207EA">
        <w:rPr>
          <w:noProof/>
        </w:rPr>
        <w:t>L’Union doit atteindre ses objectifs dans un contexte économique, social et démographique difficile, notamment en raison de la persistance des disparités régionales et territoriales, des effets du changement climatique et des défis liés à la sécurité alimentaire et à la protection de la nature, de l’insuffisance et de l’inégalité des progrès réalisés dans la transition numérique de l’Union, ce qui sape les efforts visant à renforcer la souveraineté numérique de l’Union, ainsi que des conséquences économiques et sociales importantes. À cela s’ajoute un contexte géopolitique et géoéconomique difficile qui influence les politiques de l’Union en matière de défense, de sécurité (y compris la sécurité économique) et de migration. Pour relever efficacement ces défis, il faut un budget de l’Union plus ciblé, plus simple et plus efficace pour garantir la valeur ajoutée de l’Union et une harmonisation claire entre le soutien financier de l’Union et ses priorités politiques dans tous les domaines d’action et modes de gestion, et [poursuivre les efforts pour] simplifier les règles relatives au soutien financier de l’Union.</w:t>
      </w:r>
    </w:p>
    <w:p w14:paraId="670373C7" w14:textId="1C25A6DC" w:rsidR="00CA0916" w:rsidRPr="00D207EA" w:rsidRDefault="008D666E" w:rsidP="008D666E">
      <w:pPr>
        <w:pStyle w:val="ManualConsidrant"/>
        <w:rPr>
          <w:noProof/>
        </w:rPr>
      </w:pPr>
      <w:r w:rsidRPr="008D666E">
        <w:rPr>
          <w:noProof/>
        </w:rPr>
        <w:t>(8)</w:t>
      </w:r>
      <w:r w:rsidRPr="008D666E">
        <w:rPr>
          <w:noProof/>
        </w:rPr>
        <w:tab/>
      </w:r>
      <w:r w:rsidR="00CA0916" w:rsidRPr="00D207EA">
        <w:rPr>
          <w:noProof/>
        </w:rPr>
        <w:t>Il convient que le présent règlement fixe les règles relatives aux missions, aux objectifs prioritaires et à l’organisation du Fonds. Afin de développer davantage une mise en œuvre coordonnée et harmonisée du soutien de l’Union dans le cadre de la gestion partagée, à savoir le Fonds européen de développement régional (FEDER), le Fonds social européen (FSE) et le Fonds de cohésion, les mesures financées dans le cadre de la gestion partagée des politiques communes de l’agriculture et de la pêche, et le soutien prévu au titre V, partie III, du traité FUE, il convient également d’établir des règles horizontales fondées sur l’article 322 du traité FUE. Des règlements sectoriels peuvent fixer des conditions spécifiques pour compléter le présent règlement. Il convient que ces conditions n’entrent pas en contradiction avec le présent règlement. En cas de doute, le présent règlement prévaut.</w:t>
      </w:r>
    </w:p>
    <w:p w14:paraId="0A7D808C" w14:textId="5E2A69B1" w:rsidR="00C63D0B" w:rsidRPr="00D207EA" w:rsidRDefault="008D666E" w:rsidP="008D666E">
      <w:pPr>
        <w:pStyle w:val="ManualConsidrant"/>
        <w:rPr>
          <w:noProof/>
        </w:rPr>
      </w:pPr>
      <w:r w:rsidRPr="008D666E">
        <w:rPr>
          <w:noProof/>
        </w:rPr>
        <w:t>(9)</w:t>
      </w:r>
      <w:r w:rsidRPr="008D666E">
        <w:rPr>
          <w:noProof/>
        </w:rPr>
        <w:tab/>
      </w:r>
      <w:r w:rsidR="00C63D0B" w:rsidRPr="00D207EA">
        <w:rPr>
          <w:noProof/>
        </w:rPr>
        <w:t>Il convient que le budget de l’Union, mis en œuvre avec les États membres, prévoie notamment une politique de cohésion et de croissance inclusive renforcée et modernisée qui contribue à réduire les disparités régionales dans l’Union, à promouvoir le développement durable et la compétitivité de l’Union, sa souveraineté technologique, sa transition numérique et sa sécurité. Il convient que cette politique soit élaborée en partenariat avec les autorités nationales, régionales et locales, et renforce la résilience et la préparation au changement climatique et dans le domaine de l’eau, au profit d’un objectif global pour l’action de l’Union: se préparer à l’amplification des risques climatiques. Le budget de l’Union devrait continuer à soutenir une PAC plus simple et plus ciblée, qui présente un juste équilibre entre les incitations, les investissements et la réglementation et qui garantisse aux agriculteurs un revenu équitable et suffisant, attractif pour les jeunes agriculteurs. Le budget de l’Union devrait assurer la prévisibilité nécessaire à une politique commune d’aide au revenu.</w:t>
      </w:r>
    </w:p>
    <w:p w14:paraId="0BB939E1" w14:textId="25A8F777" w:rsidR="006030C9" w:rsidRPr="00D207EA" w:rsidRDefault="008D666E" w:rsidP="008D666E">
      <w:pPr>
        <w:pStyle w:val="ManualConsidrant"/>
        <w:rPr>
          <w:noProof/>
        </w:rPr>
      </w:pPr>
      <w:r w:rsidRPr="008D666E">
        <w:rPr>
          <w:noProof/>
        </w:rPr>
        <w:t>(10)</w:t>
      </w:r>
      <w:r w:rsidRPr="008D666E">
        <w:rPr>
          <w:noProof/>
        </w:rPr>
        <w:tab/>
      </w:r>
      <w:r w:rsidR="008A3C8A" w:rsidRPr="00D207EA">
        <w:rPr>
          <w:noProof/>
        </w:rPr>
        <w:t>Dans ce contexte, il est essentiel de poursuivre les efforts de simplification des règles et d’amélioration des modèles de mise en œuvre actuels afin de maximiser l’efficacité et la réactivité des dépenses de l’Union et de proposer une simplification aux États membres, aux autorités régionales et locales ainsi qu’aux bénéficiaires. Les fonds alloués aux États membres devraient donc être davantage axés sur les résultats, la simplification et la maximisation des investissements publics à forte valeur ajoutée pour l’Union, notamment en utilisant de façon stratégique la passation de marchés publics pour promouvoir des objectifs politiques clés, et en tirant parti des capitaux privés. En conséquence, l’Union devrait fixer les objectifs et les types d’interventions, tandis que les États membres devraient assumer une plus grande part de responsabilité dans la réalisation de ces objectifs et en rendre compte. Il est dès lors nécessaire d’assurer une plus grande subsidiarité et une meilleure flexibilité afin de mieux tenir compte des conditions et des besoins aux niveaux local et régional.</w:t>
      </w:r>
    </w:p>
    <w:p w14:paraId="5BEE16FF" w14:textId="1FA55B36" w:rsidR="00C63D0B" w:rsidRPr="00D207EA" w:rsidRDefault="008D666E" w:rsidP="008D666E">
      <w:pPr>
        <w:pStyle w:val="ManualConsidrant"/>
        <w:rPr>
          <w:noProof/>
        </w:rPr>
      </w:pPr>
      <w:r w:rsidRPr="008D666E">
        <w:rPr>
          <w:noProof/>
        </w:rPr>
        <w:t>(11)</w:t>
      </w:r>
      <w:r w:rsidRPr="008D666E">
        <w:rPr>
          <w:noProof/>
        </w:rPr>
        <w:tab/>
      </w:r>
      <w:r w:rsidR="00443D4C" w:rsidRPr="00D207EA">
        <w:rPr>
          <w:noProof/>
        </w:rPr>
        <w:t>Conformément à l’article 177 du traité FUE, le Parlement européen et le Conseil définissent les missions, les objectifs prioritaires et l’organisation des fonds à finalité structurelle, ce qui peut comporter le regroupement des fonds. Afin d’assurer une mise en œuvre plus coordonnée, harmonisée et efficace des fonds de l’Union, le présent règlement devrait prévoir le regroupement des fonds préaffectés au niveau national au sein du Fonds européen pour la cohésion économique, sociale et territoriale, l’agriculture et la prospérité et la sécurité dans le secteur rural, maritime et de la pêche (ci-après dénommé «le Fonds»). Le Fonds devrait être mis en œuvre par l’intermédiaire des plans de partenariat national et régional (les «plans PNR») et de la Facilité de l’UE (la «Facilité»), qui visent à accroître la flexibilité, à faire face à des crises imprévues et à financer des interventions complétant et renforçant les plans qui nécessitent un pilotage ou une coordination au niveau de l’Union, ainsi qu’un soutien politique fondé sur des données probantes et une additionnalité pour la mobilisation des investissements privés.</w:t>
      </w:r>
    </w:p>
    <w:p w14:paraId="57F51F8F" w14:textId="0C5478A7" w:rsidR="00D457A7" w:rsidRPr="00D207EA" w:rsidRDefault="008D666E" w:rsidP="008D666E">
      <w:pPr>
        <w:pStyle w:val="ManualConsidrant"/>
        <w:rPr>
          <w:noProof/>
        </w:rPr>
      </w:pPr>
      <w:r w:rsidRPr="008D666E">
        <w:rPr>
          <w:noProof/>
        </w:rPr>
        <w:t>(12)</w:t>
      </w:r>
      <w:r w:rsidRPr="008D666E">
        <w:rPr>
          <w:noProof/>
        </w:rPr>
        <w:tab/>
      </w:r>
      <w:r w:rsidR="00D457A7" w:rsidRPr="00D207EA">
        <w:rPr>
          <w:noProof/>
        </w:rPr>
        <w:t>Les régions frontalières orientales de l’Union sont confrontées à un double défi: renforcer leur sécurité tout en apportant un soutien à leur économie, à leurs entreprises et à leurs citoyens qui ont été touchés, directement ou indirectement, par la guerre d’agression menée par la Russie contre l’Ukraine. Les plans de partenariat national et régional apporteront un soutien complet et cohérent aux États membres et aux régions confrontés à ces défis.</w:t>
      </w:r>
    </w:p>
    <w:p w14:paraId="71C89281" w14:textId="064125D1" w:rsidR="00C63D0B" w:rsidRPr="00D207EA" w:rsidRDefault="008D666E" w:rsidP="008D666E">
      <w:pPr>
        <w:pStyle w:val="ManualConsidrant"/>
        <w:rPr>
          <w:noProof/>
        </w:rPr>
      </w:pPr>
      <w:r w:rsidRPr="008D666E">
        <w:rPr>
          <w:noProof/>
        </w:rPr>
        <w:t>(13)</w:t>
      </w:r>
      <w:r w:rsidRPr="008D666E">
        <w:rPr>
          <w:noProof/>
        </w:rPr>
        <w:tab/>
      </w:r>
      <w:r w:rsidR="00C63D0B" w:rsidRPr="00D207EA">
        <w:rPr>
          <w:noProof/>
        </w:rPr>
        <w:t>Afin de garantir une utilisation plus efficace des fonds de l’Union, le Fonds devrait relever les défis décrits d’une manière globale, coordonnée et cohérente, en reflétant les différents besoins nationaux et régionaux de chaque État membre tout en garantissant un soutien à toutes les priorités pertinentes de l’Union et un bon rapport qualité/prix. En outre, le Fonds devrait contribuer à un cadre rationalisé et bien coordonné tout en s’appuyant sur une gouvernance à plusieurs niveaux et un partenariat solides. Il devrait servir de base pour garantir une répartition plus efficace et plus souple des fonds entre les différents domaines d’action, tout en permettant aux États membres de répondre à de nouvelles priorités politiques et de réaffecter les ressources pour réagir à des défis et à des crises imprévus.</w:t>
      </w:r>
    </w:p>
    <w:p w14:paraId="36A94BBC" w14:textId="57417C0F" w:rsidR="00430EFD" w:rsidRPr="00D207EA" w:rsidRDefault="008D666E" w:rsidP="008D666E">
      <w:pPr>
        <w:pStyle w:val="ManualConsidrant"/>
        <w:rPr>
          <w:noProof/>
        </w:rPr>
      </w:pPr>
      <w:r w:rsidRPr="008D666E">
        <w:rPr>
          <w:noProof/>
        </w:rPr>
        <w:t>(14)</w:t>
      </w:r>
      <w:r w:rsidRPr="008D666E">
        <w:rPr>
          <w:noProof/>
        </w:rPr>
        <w:tab/>
      </w:r>
      <w:r w:rsidR="00CD4D9C" w:rsidRPr="00D207EA">
        <w:rPr>
          <w:noProof/>
        </w:rPr>
        <w:t>Il convient d’aider les États membres, les régions et les communautés locales à mettre en œuvre les priorités politiques de l’Union et à maximiser l’efficacité de son financement, en soutenant des mesures présentant un grand intérêt pour l’Union du point de vue des défis les plus urgents auxquels l’Europe est confrontée. Il y a lieu de relever ces défis en poursuivant cinq objectifs de haut niveau: la prospérité durable de l’Europe dans toutes les régions; les capacités de défense et la sécurité de l’Europe; le soutien aux personnes, et le renforcement des sociétés européennes et du modèle social européen; le maintien de la qualité de vie en Europe; la protection et le renforcement de la démocratie, de l’état de droit et des valeurs de l’Union.</w:t>
      </w:r>
    </w:p>
    <w:p w14:paraId="17CB424B" w14:textId="38A2C3E2" w:rsidR="00C63D0B" w:rsidRPr="00D207EA" w:rsidRDefault="008D666E" w:rsidP="008D666E">
      <w:pPr>
        <w:pStyle w:val="ManualConsidrant"/>
        <w:rPr>
          <w:noProof/>
        </w:rPr>
      </w:pPr>
      <w:r w:rsidRPr="008D666E">
        <w:rPr>
          <w:noProof/>
        </w:rPr>
        <w:t>(15)</w:t>
      </w:r>
      <w:r w:rsidRPr="008D666E">
        <w:rPr>
          <w:noProof/>
        </w:rPr>
        <w:tab/>
      </w:r>
      <w:r w:rsidR="00D94A66" w:rsidRPr="00D207EA">
        <w:rPr>
          <w:noProof/>
        </w:rPr>
        <w:t>La prospérité durable de l’Union devrait être favorisée par le renforcement de sa base industrielle et la promotion de l’attractivité des territoires pour soutenir le «droit de rester», y compris par des stratégies de développement intégré des zones urbaines, rurales et côtières et par la promotion de la coopération territoriale européenne. Les mesures devraient se concentrer sur l’achèvement des réseaux transeuropéens de transport et d’énergie, qui sont essentiels pour une véritable union de l’énergie, et sur les projets de décarbonation, y compris la promotion de la production d’énergie renouvelable, l’efficacité énergétique, le stockage et le développement de systèmes énergétiques intelligents, les réseaux nationaux de transport et de distribution, tout en permettant aux régions, aux secteurs et aux personnes de faire face aux conséquences de la transition vers l’objectif climatique de l’Union. Les réseaux transeuropéens de transport doivent être achevés d’ici à 2030 pour le réseau central et d’ici à 2040 pour le réseau central étendu afin de soutenir la transition verte et numérique des transports et de la mobilité. Ces mesures devraient également chercher à promouvoir une transformation économique innovante, et à contribuer à la réalisation de l’objectif de 3 % du PIB pour la recherche et développement, ainsi qu’au développement et à l’utilisation de technologies avancées, à l’adoption de solutions numériques avancées, y compris l’intelligence artificielle (IA), à une connectivité des technologies de l’information et de la communication (TIC) sécurisée et fiable, tout en comblant la fracture numérique et la fracture en matière d’innovation. Elles devraient aider à mettre en œuvre les recommandations formulées à l’article 6 du programme d’action à l’horizon 2030 «La voie à suivre pour la décennie numérique» et soutenir la transition numérique. Elles devraient également concourir à renforcer la résilience des systèmes de soins de santé et des services de soins de longue durée, et soutenir le logement abordable. Les mesures devraient en outre soutenir un secteur du tourisme compétitif et durable dans l’Union, en visant un tourisme équilibré, en gérant les flux touristiques et en faisant de l’Europe la première destination touristique au monde.</w:t>
      </w:r>
    </w:p>
    <w:p w14:paraId="6BBAE64C" w14:textId="5BC1E609" w:rsidR="00C63D0B" w:rsidRPr="00D207EA" w:rsidRDefault="008D666E" w:rsidP="008D666E">
      <w:pPr>
        <w:pStyle w:val="ManualConsidrant"/>
        <w:rPr>
          <w:noProof/>
        </w:rPr>
      </w:pPr>
      <w:r w:rsidRPr="008D666E">
        <w:rPr>
          <w:noProof/>
        </w:rPr>
        <w:t>(16)</w:t>
      </w:r>
      <w:r w:rsidRPr="008D666E">
        <w:rPr>
          <w:noProof/>
        </w:rPr>
        <w:tab/>
      </w:r>
      <w:r w:rsidR="00C63D0B" w:rsidRPr="00D207EA">
        <w:rPr>
          <w:noProof/>
        </w:rPr>
        <w:t>Dans le domaine des capacités de défense et de la sécurité de l’Union, les mesures devraient renforcer la base industrielle de défense et la mobilité militaire de l’Union, ainsi que la préparation, la détection des menaces, la protection et la résilience des infrastructures critiques dans les domaines de l’énergie et des transports, et la réaction aux crises, notamment en renforçant la cybersécurité. Il peut s’agir de mesures destinées à développer l’infrastructure du réseau transeuropéen de transport (RTE-T) à double usage afin de favoriser les mouvements à grande échelle de troupes, d’équipements lourds et de matériel dans des délais très courts. Il s’agirait également de mesures visant à assurer un niveau élevé de sécurité dans l’Union, y compris des mesures d’intégration conformes aux objectifs énoncés dans le règlement (UE) [...] relatif au soutien de l’Union à l’asile, y compris la protection subsidiaire, la protection temporaire, la migration et l’intégration, le règlement (UE) [...] relatif au soutien de l’Union à la gestion européenne [intégrée] des frontières, y compris le fonctionnement de l’espace Schengen, et à la politique européenne des visas, et le règlement (UE) [...] relatif au soutien de l’Union à la sécurité intérieure.</w:t>
      </w:r>
    </w:p>
    <w:p w14:paraId="7C21F481" w14:textId="34A93E25" w:rsidR="00C63D0B" w:rsidRPr="00D207EA" w:rsidRDefault="008D666E" w:rsidP="008D666E">
      <w:pPr>
        <w:pStyle w:val="ManualConsidrant"/>
        <w:rPr>
          <w:noProof/>
        </w:rPr>
      </w:pPr>
      <w:r w:rsidRPr="008D666E">
        <w:rPr>
          <w:noProof/>
        </w:rPr>
        <w:t>(17)</w:t>
      </w:r>
      <w:r w:rsidRPr="008D666E">
        <w:rPr>
          <w:noProof/>
        </w:rPr>
        <w:tab/>
      </w:r>
      <w:r w:rsidR="00C63D0B" w:rsidRPr="00D207EA">
        <w:rPr>
          <w:noProof/>
        </w:rPr>
        <w:t>Les mesures de soutien aux personnes et de renforcement des sociétés et du modèle social de l’Union devraient contribuer à la mise en œuvre du socle européen des droits sociaux et à la réalisation de ses grands objectifs, conformément aux lignes directrices pour l’emploi visées à l’article 148, paragraphe 4, du traité FUE, en soutenant des projets dans les domaines d’action de l’emploi et de la mobilité de la main-d’œuvre, du développement des compétences, de l’éducation, de l’inclusion sociale et de la réduction de la pauvreté, ce qui renforcera la résilience et la compétitivité de l’Union. Ces mesures devraient viser à garantir l’égalité des chances, l’égalité d’accès au marché du travail, des conditions de travail équitables et de qualité, la protection et l’inclusion sociales, en se concentrant en particulier sur l’amélioration de l’offre de travail, la garantie d’une éducation et d’une formation inclusives et de qualité, l’apprentissage tout au long de la vie et le soutien matériel aux plus démunis, et la réduction des écarts existants, y compris les inégalités entre les hommes et les femmes. Elles devraient soutenir les investissements en faveur des enfants et des jeunes, des communautés marginalisées et défavorisées et des ressortissants de pays tiers, et garantir l’égalité d’accès aux services. Elles devraient également contribuer à renforcer la résilience des systèmes de santé et des services de soins de longue durée, soutenir le logement social et abordable et se concentrer sur la réalisation d’une transition socialement équitable vers la neutralité climatique, en abordant les conséquences sociales de l’inclusion des émissions de gaz à effet de serre provenant des bâtiments et du transport routier dans le champ d’application de la directive 2003/87/CE du Parlement européen et du Conseil.</w:t>
      </w:r>
    </w:p>
    <w:p w14:paraId="3DAE05A7" w14:textId="5335090E" w:rsidR="00C63D0B" w:rsidRPr="00D207EA" w:rsidRDefault="008D666E" w:rsidP="008D666E">
      <w:pPr>
        <w:pStyle w:val="ManualConsidrant"/>
        <w:rPr>
          <w:noProof/>
        </w:rPr>
      </w:pPr>
      <w:r w:rsidRPr="008D666E">
        <w:rPr>
          <w:noProof/>
        </w:rPr>
        <w:t>(18)</w:t>
      </w:r>
      <w:r w:rsidRPr="008D666E">
        <w:rPr>
          <w:noProof/>
        </w:rPr>
        <w:tab/>
      </w:r>
      <w:r w:rsidR="003425AD" w:rsidRPr="00D207EA">
        <w:rPr>
          <w:noProof/>
        </w:rPr>
        <w:t>Il convient de soutenir la qualité de vie durable de l’Union en garantissant un revenu plus équitable et suffisant aux agriculteurs ainsi que leur compétitivité à long terme et en contribuant à la sécurité alimentaire à long terme. En ce qui concerne la PAC, les objectifs généraux du Fonds devraient être définis au niveau de l’Union et mis en œuvre par les États membres dans le cadre de leurs plans. Les mesures devraient également améliorer l’attractivité des zones rurales</w:t>
      </w:r>
      <w:r w:rsidR="00C30B95" w:rsidRPr="00D207EA">
        <w:rPr>
          <w:noProof/>
        </w:rPr>
        <w:t xml:space="preserve"> </w:t>
      </w:r>
      <w:r w:rsidR="003425AD" w:rsidRPr="00D207EA">
        <w:rPr>
          <w:noProof/>
        </w:rPr>
        <w:t>et le niveau de vie dans ces zones, mettre en place des conditions de travail équitables et favoriser le renouvellement des générations; améliorer la préparation des agriculteurs et leur capacité à faire face aux crises et aux risques, renforcer l’accès aux connaissances et à l’innovation, et accélérer la transition verte et numérique pour un secteur agroalimentaire prospère. Elles devraient favoriser la durabilité, la compétitivité et la résilience du secteur de la pêche et du secteur de l’aquaculture de l’Union, stimuler l’économie bleue durable et compétitive dans les zones côtières, insulaires et intérieures, améliorer les perspectives socio-économiques et la résilience des communautés locales et garantir une gouvernance des océans forte dans toutes les dimensions, avec des océans sûrs, sécurisés, propres et gérés de manière durable. Elles devraient renforcer activement l’action climatique en encourageant la réduction des émissions de gaz à effet de serre, en soutenant les efforts d’atténuation et en facilitant l’adaptation aux effets du changement climatique. Elles devraient favoriser l’action climatique, la fourniture de services écosystémiques, la gestion efficace de l’eau et la résilience dans ce domaine, le renforcement du développement durable, la protection de l’environnement, la conservation et la restauration de la biodiversité et des ressources naturelles, y compris les sols, et l’amélioration du bien-être des animaux. Afin de reconnaître l’effet positif des agriculteurs sur le climat et de faciliter leur accès aux incitations volontaires fondées sur le marché, la Commission et les États membres continuent de travailler à l’élaboration d’une méthode d’élimination du dioxyde de carbone et à l’estimation des réductions d’émissions de gaz à effet de serre obtenues grâce à la PAC.</w:t>
      </w:r>
    </w:p>
    <w:p w14:paraId="581BBD32" w14:textId="23035DDF" w:rsidR="00467DF7" w:rsidRPr="00D207EA" w:rsidRDefault="008D666E" w:rsidP="008D666E">
      <w:pPr>
        <w:pStyle w:val="ManualConsidrant"/>
        <w:rPr>
          <w:noProof/>
        </w:rPr>
      </w:pPr>
      <w:r w:rsidRPr="008D666E">
        <w:rPr>
          <w:noProof/>
        </w:rPr>
        <w:t>(19)</w:t>
      </w:r>
      <w:r w:rsidRPr="008D666E">
        <w:rPr>
          <w:noProof/>
        </w:rPr>
        <w:tab/>
      </w:r>
      <w:r w:rsidR="00467DF7" w:rsidRPr="00D207EA">
        <w:rPr>
          <w:noProof/>
        </w:rPr>
        <w:t>Les plans PNR devraient continuer à soutenir le développement de projets innovants, menés par les parties prenantes, qui contribuent aux priorités stratégiques de l’Union, renforçant ainsi la résilience et le rôle moteur de l’Union en matière d’environnement et de climat, tout en préservant les ressources naturelles et la biodiversité de l’Union à l’origine de notre bien-être et de notre prospérité, grâce à l’expérience tirée du programme LIFE.</w:t>
      </w:r>
    </w:p>
    <w:p w14:paraId="3B3605B9" w14:textId="79FABBCB" w:rsidR="00056EEF" w:rsidRPr="00D207EA" w:rsidRDefault="008D666E" w:rsidP="008D666E">
      <w:pPr>
        <w:pStyle w:val="ManualConsidrant"/>
        <w:rPr>
          <w:noProof/>
          <w:sz w:val="22"/>
        </w:rPr>
      </w:pPr>
      <w:r w:rsidRPr="008D666E">
        <w:rPr>
          <w:noProof/>
        </w:rPr>
        <w:t>(20)</w:t>
      </w:r>
      <w:r w:rsidRPr="008D666E">
        <w:rPr>
          <w:noProof/>
        </w:rPr>
        <w:tab/>
      </w:r>
      <w:r w:rsidR="00A87E57" w:rsidRPr="00D207EA">
        <w:rPr>
          <w:noProof/>
        </w:rPr>
        <w:t>Afin de protéger et de renforcer la démocratie, l’état de droit et les valeurs de l’Union, le soutien devrait être consacré au maintien et au développement de sociétés ouvertes, fondées sur les droits, démocratiques, égalitaires et inclusives, ainsi qu’au renforcement des systèmes judiciaires, des cadres de lutte contre la corruption, du pluralisme des médias et d’un système efficace de contre-pouvoirs. Les mesures devraient également contribuer à améliorer la gouvernance en renforçant l’efficacité de l’administration publique, y compris des autorités judiciaires, et la capacité institutionnelle des autorités publiques et des parties prenantes dans les États membres, les régions et les communautés locales. Cela devrait permettre d’améliorer l’efficacité et l’efficience des mesures soutenues. Pour garantir que l’accent porte bien sur la dimension sociale de l’Europe, telle qu’elle est définie dans le socle européen des droits sociaux, et qu’un montant suffisant de ressources est consacré aux plus démunis,</w:t>
      </w:r>
      <w:r w:rsidR="00C30B95" w:rsidRPr="00D207EA">
        <w:rPr>
          <w:noProof/>
        </w:rPr>
        <w:t xml:space="preserve"> </w:t>
      </w:r>
      <w:r w:rsidR="00A87E57" w:rsidRPr="00D207EA">
        <w:rPr>
          <w:noProof/>
        </w:rPr>
        <w:t>il convient que les États membres consacrent des ressources à la promotion de l’inclusion sociale. Comme il est particulièrement important de soutenir les enfants en situation de pauvreté, les États membres devraient également prévoir des ressources pour mettre en œuvre les mesures prévues dans le cadre de la garantie pour l’enfance. Compte tenu de la persistance de taux élevés de chômage et d’inactivité des jeunes dans un certain nombre d’États membres et de régions, touchant en particulier les jeunes sans emploi qui ne suivent ni études ni formation, il est nécessaire que ces États membres continuent à investir un montant suffisant de leurs ressources dans des mesures destinées à promouvoir l’emploi des jeunes, y compris par la mise en œuvre de la garantie pour la jeunesse. Il convient dès lors que les États membres allouent un montant approprié de ressources à cette problématique. Les États membres gravement touchés par le chômage des jeunes devraient allouer des ressources du FSE pour soutenir l’employabilité des jeunes.</w:t>
      </w:r>
    </w:p>
    <w:p w14:paraId="22866CE4" w14:textId="114E0AA3" w:rsidR="00467DF7" w:rsidRPr="00D207EA" w:rsidRDefault="008D666E" w:rsidP="008D666E">
      <w:pPr>
        <w:pStyle w:val="ManualConsidrant"/>
        <w:rPr>
          <w:noProof/>
          <w:sz w:val="22"/>
        </w:rPr>
      </w:pPr>
      <w:r w:rsidRPr="008D666E">
        <w:rPr>
          <w:noProof/>
        </w:rPr>
        <w:t>(21)</w:t>
      </w:r>
      <w:r w:rsidRPr="008D666E">
        <w:rPr>
          <w:noProof/>
        </w:rPr>
        <w:tab/>
      </w:r>
      <w:r w:rsidR="00467DF7" w:rsidRPr="00D207EA">
        <w:rPr>
          <w:noProof/>
        </w:rPr>
        <w:t>Le développement accru du financement de marché dans tous les États membres, et en particulier dans ceux où les marchés de capitaux sont actuellement moins développés, apportera une contribution importante à la prospérité durable et à la compétitivité de l’Union. Pour atteindre ces objectifs, l’union européenne de l’épargne et des investissements nécessite une approche ascendante dans le cadre d’une responsabilité partagée entre les États membres et les institutions de l’Union. Si des mesures au niveau de l’Union sont justifiées dans des domaines clés où tous les États membres devraient agir de concert pour remédier aux lacunes à l’échelle de l’Union, d’autres mesures nécessiteront également une approche coordonnée, mais reposeront davantage sur l’action individuelle des États membres.</w:t>
      </w:r>
    </w:p>
    <w:p w14:paraId="1A0C22C6" w14:textId="7CB6F125" w:rsidR="00C63D0B" w:rsidRPr="00D207EA" w:rsidRDefault="008D666E" w:rsidP="008D666E">
      <w:pPr>
        <w:pStyle w:val="ManualConsidrant"/>
        <w:rPr>
          <w:noProof/>
        </w:rPr>
      </w:pPr>
      <w:r w:rsidRPr="008D666E">
        <w:rPr>
          <w:noProof/>
        </w:rPr>
        <w:t>(22)</w:t>
      </w:r>
      <w:r w:rsidRPr="008D666E">
        <w:rPr>
          <w:noProof/>
        </w:rPr>
        <w:tab/>
      </w:r>
      <w:r w:rsidR="00C63D0B" w:rsidRPr="00D207EA">
        <w:rPr>
          <w:noProof/>
        </w:rPr>
        <w:t>Étant donné que les objectifs du présent règlement ne peuvent pas être atteints de manière suffisante par les États membres, mais que – en raison de l’étendue et des spécificités des défis susmentionnés – ces objectifs peuvent l’être plus efficacement au niveau de l’Union, celle-ci peut adopter des mesures, conformément au principe de subsidiarité consacré à l’article 5 du traité sur l’Union européenne (traité UE). Conformément au principe de proportionnalité énoncé audit article, le présent règlement n’excède pas ce qui est nécessaire pour atteindre ces objectifs. Les régions resteront au cœur du Fonds, avec le principe de partenariat et la gouvernance à plusieurs niveaux comme éléments sous-jacents. Pour assurer la continuité, le Fonds s’appuiera autant que possible sur les structures existantes, les autorités régionales et locales, les partenaires sociaux et les autres parties prenantes concernées jouant un rôle clé dans la conception, la gestion, la mise en œuvre et le suivi des mesures soutenues dans le cadre du Fonds.</w:t>
      </w:r>
    </w:p>
    <w:p w14:paraId="5E9EC564" w14:textId="308F18CB" w:rsidR="001A0813" w:rsidRPr="00D207EA" w:rsidRDefault="008D666E" w:rsidP="008D666E">
      <w:pPr>
        <w:pStyle w:val="ManualConsidrant"/>
        <w:rPr>
          <w:noProof/>
        </w:rPr>
      </w:pPr>
      <w:r w:rsidRPr="008D666E">
        <w:rPr>
          <w:noProof/>
        </w:rPr>
        <w:t>(23)</w:t>
      </w:r>
      <w:r w:rsidRPr="008D666E">
        <w:rPr>
          <w:noProof/>
        </w:rPr>
        <w:tab/>
      </w:r>
      <w:r w:rsidR="001A0813" w:rsidRPr="00D207EA">
        <w:rPr>
          <w:noProof/>
        </w:rPr>
        <w:t>En complément des mesures soutenues par le règlement (UE) [...] [Europe dans le monde], le Fonds peut soutenir des actions dans des pays tiers ou en relation avec ceux-ci. Ces mesures devraient assurer une cohérence totale avec les principes et les objectifs généraux de la politique extérieure de l’Union, avec ses engagements internationaux et avec les droits et les principes consacrés dans son acquis.</w:t>
      </w:r>
    </w:p>
    <w:p w14:paraId="0C0787C4" w14:textId="221C3E4F" w:rsidR="00C63D0B" w:rsidRPr="00D207EA" w:rsidRDefault="008D666E" w:rsidP="008D666E">
      <w:pPr>
        <w:pStyle w:val="ManualConsidrant"/>
        <w:rPr>
          <w:noProof/>
        </w:rPr>
      </w:pPr>
      <w:r w:rsidRPr="008D666E">
        <w:rPr>
          <w:noProof/>
        </w:rPr>
        <w:t>(24)</w:t>
      </w:r>
      <w:r w:rsidRPr="008D666E">
        <w:rPr>
          <w:noProof/>
        </w:rPr>
        <w:tab/>
      </w:r>
      <w:r w:rsidR="00C63D0B" w:rsidRPr="00D207EA">
        <w:rPr>
          <w:noProof/>
        </w:rPr>
        <w:t>Le principe de partenariat est un élément clé dans la mise en œuvre des plans PNR; il s’appuie sur le modèle de gouvernance à plusieurs niveaux et garantit la participation des autorités régionales, locales, urbaines et autres autorités publiques, des organisations de la société civile et des partenaires sociaux. Afin d’assurer la continuité dans l’organisation du partenariat, il convient que le code de conduite européen sur le partenariat pour les accords de partenariat et les programmes soutenus par les Fonds structurels et d’investissement européens établis par le règlement délégué (UE) nº 240/2014 de la Commission</w:t>
      </w:r>
      <w:r w:rsidR="00950B10" w:rsidRPr="00D207EA">
        <w:rPr>
          <w:rStyle w:val="FootnoteReference"/>
          <w:noProof/>
        </w:rPr>
        <w:footnoteReference w:id="10"/>
      </w:r>
      <w:r w:rsidR="00C63D0B" w:rsidRPr="00D207EA">
        <w:rPr>
          <w:noProof/>
        </w:rPr>
        <w:t xml:space="preserve"> (ci-après dénommé «code de conduite européen sur le partenariat») continue de s’appliquer aux plans.</w:t>
      </w:r>
    </w:p>
    <w:p w14:paraId="17F0160A" w14:textId="31BFB1FE" w:rsidR="00C63D0B" w:rsidRPr="00D207EA" w:rsidRDefault="008D666E" w:rsidP="008D666E">
      <w:pPr>
        <w:pStyle w:val="ManualConsidrant"/>
        <w:rPr>
          <w:noProof/>
        </w:rPr>
      </w:pPr>
      <w:r w:rsidRPr="008D666E">
        <w:rPr>
          <w:noProof/>
        </w:rPr>
        <w:t>(25)</w:t>
      </w:r>
      <w:r w:rsidRPr="008D666E">
        <w:rPr>
          <w:noProof/>
        </w:rPr>
        <w:tab/>
      </w:r>
      <w:r w:rsidR="00C63D0B" w:rsidRPr="00D207EA">
        <w:rPr>
          <w:noProof/>
        </w:rPr>
        <w:t>Les plans PNR visent à garantir un rapport qualité/prix élevé en subordonnant les paiements de la Commission aux États membres à la réalisation des objectifs et au respect des conditions convenues, quelle que soit la forme du remboursement des États membres aux bénéficiaires. Le fait de lier les décaissements à des valeurs intermédiaires, des valeurs cibles et des réalisations convenues et préétablies couvrant toute la durée de vie de la mesure soutenue contribuera à la régularité des paiements aux États membres. Pour faciliter ce processus, les États membres devraient pouvoir présenter des demandes de paiement jusqu’à six fois par an. Afin de simplifier le financement et de réduire la charge administrative pour les bénéficiaires, les États membres sont encouragés à utiliser la même forme de remboursement que celle appliquée pour les paiements de la Commission aux États membres ou des barèmes standards de coûts unitaires, des montants forfaitaires ou des taux forfaitaires.</w:t>
      </w:r>
    </w:p>
    <w:p w14:paraId="708A3B12" w14:textId="659F77B1" w:rsidR="00C63D0B" w:rsidRPr="00D207EA" w:rsidRDefault="008D666E" w:rsidP="008D666E">
      <w:pPr>
        <w:pStyle w:val="ManualConsidrant"/>
        <w:rPr>
          <w:noProof/>
        </w:rPr>
      </w:pPr>
      <w:r w:rsidRPr="008D666E">
        <w:rPr>
          <w:noProof/>
        </w:rPr>
        <w:t>(26)</w:t>
      </w:r>
      <w:r w:rsidRPr="008D666E">
        <w:rPr>
          <w:noProof/>
        </w:rPr>
        <w:tab/>
      </w:r>
      <w:r w:rsidR="00C63D0B" w:rsidRPr="00D207EA">
        <w:rPr>
          <w:noProof/>
        </w:rPr>
        <w:t>Le Fonds devrait être mis en œuvre conformément au règlement (UE, Euratom) 202X/XXXX [règlement relatif à la performance], qui établit les règles relatives au suivi des dépenses et au cadre de performance du budget, y compris les règles visant à garantir une application uniforme du principe consistant à «ne pas causer de préjudice important» et du principe d’égalité des genres, visés à l’article 33, paragraphe 2, point d) et point f), respectivement, du règlement (UE, Euratom) 2024/2509, les règles relatives au suivi et au compte rendu de la performance des programmes et activités de l’Union, les règles relatives à la création d’un portail relatif aux financements de l’Union, les règles relatives à l’évaluation des programmes, ainsi que d’autres dispositions horizontales applicables à tous les programmes de l’Union, telles que les règles relatives à l’information, à la communication et à la visibilité. Le Fonds devrait garantir l’accessibilité, en tenant compte de la charte des droits fondamentaux de l’Union européenne, y compris la convention relative aux droits des personnes handicapées des Nations unies. Le Fonds ne devrait pas soutenir d’actions qui encouragent toute forme de ségrégation, de discrimination ou d’exclusion, y compris à l’encontre des communautés racisées telles que les Roms, et, lorsqu’il finance des infrastructures, il devrait veiller à ce que celles-ci soient accessibles aux personnes handicapées.</w:t>
      </w:r>
    </w:p>
    <w:p w14:paraId="02091FA6" w14:textId="3903E61B" w:rsidR="002711E3" w:rsidRPr="00D207EA" w:rsidRDefault="008D666E" w:rsidP="008D666E">
      <w:pPr>
        <w:pStyle w:val="ManualConsidrant"/>
        <w:rPr>
          <w:noProof/>
        </w:rPr>
      </w:pPr>
      <w:r w:rsidRPr="008D666E">
        <w:rPr>
          <w:noProof/>
        </w:rPr>
        <w:t>(27)</w:t>
      </w:r>
      <w:r w:rsidRPr="008D666E">
        <w:rPr>
          <w:noProof/>
        </w:rPr>
        <w:tab/>
      </w:r>
      <w:r w:rsidR="002711E3" w:rsidRPr="00D207EA">
        <w:rPr>
          <w:noProof/>
        </w:rPr>
        <w:t>Le présent règlement devrait prévoir des garanties solides pour que le Fonds soit mis en œuvre d’une manière qui assure le respect des droits, des libertés et des principes énoncés dans la charte des droits fondamentaux de l’Union européenne ainsi que des principes de l’état de droit énoncés à l’article 2, point a), du règlement (UE, Euratom) 2020/2092 du Parlement européen et du Conseil</w:t>
      </w:r>
      <w:r w:rsidR="00FD14FB" w:rsidRPr="00D207EA">
        <w:rPr>
          <w:rStyle w:val="FootnoteReference"/>
          <w:noProof/>
        </w:rPr>
        <w:footnoteReference w:id="11"/>
      </w:r>
      <w:r w:rsidR="002711E3" w:rsidRPr="00D207EA">
        <w:rPr>
          <w:noProof/>
        </w:rPr>
        <w:t>. Par conséquent, dans le cadre du processus de validation de leurs plans PNR, les États membres devraient fournir des assurances sur le respect de ces deux conditions horizontales, en mettant en relief les lacunes potentielles et les mesures correctives prises, en particulier, pour répondre aux défis spécifiques à chaque pays définis dans le cadre du rapport sur l’état de droit et du Semestre européen, ainsi qu’aux procédures d’infraction et aux arrêts de la Cour de justice de l’Union européenne. Tous les États membres devraient être tenus de revoir à mi-chemin leur plan PNR, dans le cadre de l’examen à mi-parcours, afin de remédier à toute nouvelle déficience détectée, en particulier dans le contexte du dernier rapport sur l’état de droit. À tout moment de la mise en œuvre et à la suite d’échanges avec l’État membre concerné, il devrait être possible de bloquer tout ou partie des paiements effectués en sa faveur si une ou plusieurs des conditions horizontales relatives à l’état de droit et à la charte ne sont pas remplies. Compte tenu comme il se doit du principe de proportionnalité, la détermination du manquement et la désignation des mesures spécifiques concernées devraient prendre en considération l’incidence réelle ou potentielle du manquement sur la bonne gestion financière du budget de l’Union ou sur ses intérêts financiers, ainsi que la nature, la durée, la gravité et l’étendue de la violation.</w:t>
      </w:r>
    </w:p>
    <w:p w14:paraId="330FCB64" w14:textId="2A7DD93E" w:rsidR="00360618" w:rsidRPr="00D207EA" w:rsidRDefault="008D666E" w:rsidP="008D666E">
      <w:pPr>
        <w:pStyle w:val="ManualConsidrant"/>
        <w:rPr>
          <w:noProof/>
        </w:rPr>
      </w:pPr>
      <w:r w:rsidRPr="008D666E">
        <w:rPr>
          <w:noProof/>
        </w:rPr>
        <w:t>(28)</w:t>
      </w:r>
      <w:r w:rsidRPr="008D666E">
        <w:rPr>
          <w:noProof/>
        </w:rPr>
        <w:tab/>
      </w:r>
      <w:r w:rsidR="00360618" w:rsidRPr="00D207EA">
        <w:rPr>
          <w:noProof/>
        </w:rPr>
        <w:t>Les montants globaux à allouer par État membre devraient être fixés par la Commission conformément à la méthode d’allocation prévue par le présent règlement, au moyen d’une décision d’exécution unique. Cette décision devrait en principe couvrir les montants prévus par le présent règlement et par l’article 4 du règlement (UE) 202X/XXXX [asile], l’article 4 du règlement (UE) 202X/XXXX [gestion des frontières] et l’article 4 du règlement 202X/XXXX [sécurité intérieure].</w:t>
      </w:r>
    </w:p>
    <w:p w14:paraId="7FFA9BFC" w14:textId="5DE80E6A" w:rsidR="00C63D0B" w:rsidRPr="00D207EA" w:rsidRDefault="008D666E" w:rsidP="008D666E">
      <w:pPr>
        <w:pStyle w:val="ManualConsidrant"/>
        <w:rPr>
          <w:noProof/>
        </w:rPr>
      </w:pPr>
      <w:r w:rsidRPr="008D666E">
        <w:rPr>
          <w:noProof/>
        </w:rPr>
        <w:t>(29)</w:t>
      </w:r>
      <w:r w:rsidRPr="008D666E">
        <w:rPr>
          <w:noProof/>
        </w:rPr>
        <w:tab/>
      </w:r>
      <w:r w:rsidR="00C63D0B" w:rsidRPr="00D207EA">
        <w:rPr>
          <w:noProof/>
        </w:rPr>
        <w:t>Chaque État membre devrait présenter à la Commission un plan PNR, en principe, avant le 31 janvier 2028, afin qu’il puisse être examiné attentivement en temps utile. Afin de garantir une mise en œuvre rapide du Fonds, les États membres devraient pouvoir présenter un projet de plan PNR à partir de juin 2027. Les États membres devraient concevoir et mettre en œuvre les plans PNR en partenariat avec les autorités locales et régionales, les partenaires économiques, sociaux et ruraux, les organisations de la société civile et les autres parties prenantes concernées, conformément au cadre juridique national et aux règles énoncées dans le présent règlement. Les plans PNR devraient être conçus en étroite collaboration avec la Commission, préparés conformément au modèle fourni et rendus publics après leur adoption par le Conseil sur la base de l’évaluation de la Commission et de la proposition de décision d’exécution du Conseil. Conformément aux dispositions actuelles, les États membres auront la possibilité d’inclure des chapitres régionaux et territoriaux dans leur plan PNR et devront veiller à ce que les autorités de gestion régionales reçoivent des paiements réguliers, en fonction de l’avancement de leurs mesures respectives, et un montant au moins équivalent à leur contribution de l’Union à la fin de la période, sous réserve des corrections potentielles résultant de la mise en œuvre de leurs chapitres respectifs. Afin d’assurer une gouvernance efficace du plan PNR, les États membres devraient mettre en place des comités de suivi pour les chapitres et un comité de coordination au niveau du plan PNR.</w:t>
      </w:r>
    </w:p>
    <w:p w14:paraId="4C3F0F87" w14:textId="6BF98173" w:rsidR="00C96E38" w:rsidRPr="00D207EA" w:rsidRDefault="008D666E" w:rsidP="008D666E">
      <w:pPr>
        <w:pStyle w:val="ManualConsidrant"/>
        <w:rPr>
          <w:noProof/>
        </w:rPr>
      </w:pPr>
      <w:r w:rsidRPr="008D666E">
        <w:rPr>
          <w:noProof/>
        </w:rPr>
        <w:t>(30)</w:t>
      </w:r>
      <w:r w:rsidRPr="008D666E">
        <w:rPr>
          <w:noProof/>
        </w:rPr>
        <w:tab/>
      </w:r>
      <w:r w:rsidR="00C63D0B" w:rsidRPr="00D207EA">
        <w:rPr>
          <w:noProof/>
        </w:rPr>
        <w:t>Pour garantir l’appropriation nationale, les États membres souhaitant bénéficier d’un soutien devraient présenter à la Commission des plans PNR dûment motivés et étayés. Le plan PNR devrait préciser en quoi il représente une contribution globale à tous les objectifs du Fonds, compte tenu des défis nationaux, régionaux et territoriaux spécifiques de l’État membre concerné. Il devrait également expliquer de quelle manière il contribue à relever efficacement les défis propres au pays concerné qui ont été soulignés, entre autres, dans le cadre du Semestre européen et dans d’autres documents pertinents officiellement adoptés par la Commission au sujet des objectifs soutenus par le Fonds, et de quelle manière il contribue à l’achèvement du marché intérieur, notamment en incluant des réformes, des investissements et d’autres interventions ayant une dimension transfrontalière, transnationale ou plurinationale. Pour renforcer la compétitivité de l’Union dans des secteurs d’importance stratégique tout en veillant à ne pas compromettre le caractère équitable de la concurrence, les plans PNR devraient inclure des projets à caractère transfrontalier et multinationaux, en particulier des projets importants d’intérêt européen commun (PIIEC) axés sur la recherche, le développement, l’innovation ou le premier déploiement industriel ou sur la construction d’infrastructures importantes ouvertes à l’utilisation par des tiers, compte tenu, en particulier, des analyses fournies dans le dernier rapport annuel sur le marché unique et la compétitivité. Les États membres devraient concentrer les ressources de leurs plans sur la réduction des disparités économiques, sociales et territoriales, en particulier dans les régions les moins développées. Ils devraient également soutenir le renouvellement des générations et les mesures sociales, ainsi que la prospérité de la pêche et de l’aquaculture.</w:t>
      </w:r>
    </w:p>
    <w:p w14:paraId="2A4386FC" w14:textId="66A1E5CB" w:rsidR="00C63D0B" w:rsidRPr="00D207EA" w:rsidRDefault="008D666E" w:rsidP="008D666E">
      <w:pPr>
        <w:pStyle w:val="ManualConsidrant"/>
        <w:rPr>
          <w:noProof/>
        </w:rPr>
      </w:pPr>
      <w:r w:rsidRPr="008D666E">
        <w:rPr>
          <w:noProof/>
        </w:rPr>
        <w:t>(31)</w:t>
      </w:r>
      <w:r w:rsidRPr="008D666E">
        <w:rPr>
          <w:noProof/>
        </w:rPr>
        <w:tab/>
      </w:r>
      <w:r w:rsidR="0010626C" w:rsidRPr="00D207EA">
        <w:rPr>
          <w:noProof/>
        </w:rPr>
        <w:t>Ils devraient garantir la complémentarité et les synergies entre les différentes mesures qui soutiennent divers domaines d’action et ciblent différents groupes de bénéficiaires. Il est particulièrement important d’offrir une réponse politique globale pour développer des zones rurales et côtières prospères et assurer le dynamisme des secteurs de l’agriculture et de la pêche. Les États membres sont notamment encouragés à promouvoir de telles synergies dans la conception des mesures et des chapitres ainsi que dans l’application des taux de cofinancement. Pour les mesures de soutien aux services et aux infrastructures de base dans les zones rurales et côtières ainsi qu’aux entreprises rurales et côtières, les États membres devraient élaborer une planification intégrée afin de garantir l’accès des communautés rurales et côtières au financement grâce à des mécanismes appropriés, y compris des mesures stratégiques spécifiques, des mécanismes et des structures de gouvernance pour coordonner la programmation et la mise en œuvre des politiques européennes, nationales, régionales et locales, la programmation d’approches de financement intégrées aux niveaux local et régional, en tenant compte du contexte spécifique et des capacités des bénéficiaires ciblés, et de la création d’un renforcement des capacités à destination des administrations comme des bénéficiaires. Le plan PNR devrait présenter l’ensemble détaillé des mesures et des dispositions pour son suivi et sa mise en œuvre, y compris la nomination des autorités du plan PNR et des comités de suivi et de coordination, la détermination des coûts estimés de ces mesures et de la contribution nationale, ainsi que l’élaboration des mesures pour améliorer la qualité de la gouvernance et renforcer la capacité des administrations publiques. Il convient de rechercher et d’entretenir une coopération étroite entre la Commission et les États membres et de la maintenir tout au long du processus,</w:t>
      </w:r>
      <w:r w:rsidR="0022061E" w:rsidRPr="00D207EA">
        <w:rPr>
          <w:noProof/>
        </w:rPr>
        <w:t xml:space="preserve"> </w:t>
      </w:r>
      <w:r w:rsidR="0010626C" w:rsidRPr="00D207EA">
        <w:rPr>
          <w:noProof/>
        </w:rPr>
        <w:t>et d’encourager l’apprentissage et l’expérimentation en matière de politique.</w:t>
      </w:r>
    </w:p>
    <w:p w14:paraId="7B9E3C52" w14:textId="020721A2" w:rsidR="00C63D0B" w:rsidRPr="00D207EA" w:rsidRDefault="008D666E" w:rsidP="008D666E">
      <w:pPr>
        <w:pStyle w:val="ManualConsidrant"/>
        <w:rPr>
          <w:noProof/>
        </w:rPr>
      </w:pPr>
      <w:r w:rsidRPr="008D666E">
        <w:rPr>
          <w:noProof/>
        </w:rPr>
        <w:t>(32)</w:t>
      </w:r>
      <w:r w:rsidRPr="008D666E">
        <w:rPr>
          <w:noProof/>
        </w:rPr>
        <w:tab/>
      </w:r>
      <w:r w:rsidR="00C63D0B" w:rsidRPr="00D207EA">
        <w:rPr>
          <w:noProof/>
        </w:rPr>
        <w:t>Le soutien financier à un plan PNR devrait pouvoir prendre la forme d’un prêt, sous réserve de la conclusion d’un accord de prêt avec la Commission, sur la base d’une demande dûment justifiée de l’État membre concerné, présentée en même temps qu’il soumet son plan PNR. Il convient que la demande de soutien sous forme de prêt soit justifiée par les besoins financiers accrus liés aux réformes et investissements supplémentaires inclus dans le plan PNR et par le fait que le coût du plan PNR est supérieur à la somme de la contribution financière de l’Union et de la contribution nationale.</w:t>
      </w:r>
    </w:p>
    <w:p w14:paraId="007D20A3" w14:textId="088F71A3" w:rsidR="000C199B" w:rsidRPr="00D207EA" w:rsidRDefault="008D666E" w:rsidP="008D666E">
      <w:pPr>
        <w:pStyle w:val="ManualConsidrant"/>
        <w:rPr>
          <w:noProof/>
        </w:rPr>
      </w:pPr>
      <w:r w:rsidRPr="008D666E">
        <w:rPr>
          <w:noProof/>
        </w:rPr>
        <w:t>(33)</w:t>
      </w:r>
      <w:r w:rsidRPr="008D666E">
        <w:rPr>
          <w:noProof/>
        </w:rPr>
        <w:tab/>
      </w:r>
      <w:r w:rsidR="00C63D0B" w:rsidRPr="00D207EA">
        <w:rPr>
          <w:noProof/>
        </w:rPr>
        <w:t>Afin de porter à leur maximum l’effet et l’appropriation nationale du financement de l’Union tout en respectant les principes d’équité et de solidarité, la contribution nationale aux coûts estimés des différentes mesures du plan PNR devrait refléter les différents niveaux de développement économique des régions en ce qui concerne le revenu par habitant par rapport à la moyenne de l’EU-27. Le respect de cette exigence de cofinancement devrait être évalué ex ante dans le cadre de la procédure d’approbation du plan.</w:t>
      </w:r>
      <w:r w:rsidR="00C63D0B" w:rsidRPr="00D207EA">
        <w:rPr>
          <w:noProof/>
          <w:sz w:val="20"/>
        </w:rPr>
        <w:t xml:space="preserve"> </w:t>
      </w:r>
      <w:r w:rsidR="00C63D0B" w:rsidRPr="00D207EA">
        <w:rPr>
          <w:noProof/>
        </w:rPr>
        <w:t>L’additionnalité de la contribution de l’Union sera contrôlée par la Commission pendant toute la durée du programme.</w:t>
      </w:r>
    </w:p>
    <w:p w14:paraId="5B59B0A8" w14:textId="20EB93BD" w:rsidR="000C199B" w:rsidRPr="00D207EA" w:rsidRDefault="008D666E" w:rsidP="008D666E">
      <w:pPr>
        <w:pStyle w:val="ManualConsidrant"/>
        <w:rPr>
          <w:noProof/>
        </w:rPr>
      </w:pPr>
      <w:r w:rsidRPr="008D666E">
        <w:rPr>
          <w:noProof/>
        </w:rPr>
        <w:t>(34)</w:t>
      </w:r>
      <w:r w:rsidRPr="008D666E">
        <w:rPr>
          <w:noProof/>
        </w:rPr>
        <w:tab/>
      </w:r>
      <w:r w:rsidR="000C199B" w:rsidRPr="00D207EA">
        <w:rPr>
          <w:noProof/>
        </w:rPr>
        <w:t>Le présent règlement devrait fixer une enveloppe financière indicative pour le Fonds. Aux fins du présent règlement, les prix courants devraient être calculés en appliquant un déflateur fixe de 2 %.</w:t>
      </w:r>
    </w:p>
    <w:p w14:paraId="1ADAF3A7" w14:textId="3C97A6ED" w:rsidR="00FB4676" w:rsidRPr="00D207EA" w:rsidRDefault="008D666E" w:rsidP="008D666E">
      <w:pPr>
        <w:pStyle w:val="ManualConsidrant"/>
        <w:rPr>
          <w:noProof/>
          <w:sz w:val="22"/>
        </w:rPr>
      </w:pPr>
      <w:bookmarkStart w:id="2" w:name="_Hlk202805168"/>
      <w:r w:rsidRPr="008D666E">
        <w:rPr>
          <w:noProof/>
        </w:rPr>
        <w:t>(35)</w:t>
      </w:r>
      <w:r w:rsidRPr="008D666E">
        <w:rPr>
          <w:noProof/>
        </w:rPr>
        <w:tab/>
      </w:r>
      <w:r w:rsidR="00FB4676" w:rsidRPr="00D207EA">
        <w:rPr>
          <w:noProof/>
        </w:rPr>
        <w:t>Afin de favoriser les synergies entre les plans PNR et les autres instruments de l’Union, il devrait être possible d’inclure dans les plans des mesures mises en œuvre au moyen de contributions financières apportées par l’État membre à [l’instrument InvestEU – Fonds européen pour la compétitivité] ou à d’autres instruments de l’Union mettant en œuvre des politiques alignées sur les objectifs du plan PNR, y compris les contributions nécessaires pour appuyer la mise en œuvre au moyen de ces instruments, à condition que ces mesures soient conformes au présent règlement.</w:t>
      </w:r>
    </w:p>
    <w:bookmarkEnd w:id="2"/>
    <w:p w14:paraId="5CC20BB5" w14:textId="6A28DC48" w:rsidR="00FA5F27" w:rsidRPr="00D207EA" w:rsidRDefault="008D666E" w:rsidP="008D666E">
      <w:pPr>
        <w:pStyle w:val="ManualConsidrant"/>
        <w:rPr>
          <w:noProof/>
        </w:rPr>
      </w:pPr>
      <w:r w:rsidRPr="008D666E">
        <w:rPr>
          <w:noProof/>
        </w:rPr>
        <w:t>(36)</w:t>
      </w:r>
      <w:r w:rsidRPr="008D666E">
        <w:rPr>
          <w:noProof/>
        </w:rPr>
        <w:tab/>
      </w:r>
      <w:r w:rsidR="00FA5F27" w:rsidRPr="00D207EA">
        <w:rPr>
          <w:noProof/>
        </w:rPr>
        <w:t>Dans des cas dûment justifiés, tels que des situations de crise ou d’autres raisons impérieuses d’intérêt public, la Commission devrait pouvoir proposer au Conseil d’adopter une décision d’exécution approuvant un plan PNR à temps pour permettre les actions nécessaires au titre du présent règlement, tout en déterminant les lacunes à combler et les mesures correspondantes affectées par ces lacunes, pour lesquelles aucun paiement ne devrait être effectué tant que la situation n’a pas été résolue.</w:t>
      </w:r>
    </w:p>
    <w:p w14:paraId="1B4807E2" w14:textId="2D38768D" w:rsidR="00C63D0B" w:rsidRPr="00D207EA" w:rsidRDefault="008D666E" w:rsidP="008D666E">
      <w:pPr>
        <w:pStyle w:val="ManualConsidrant"/>
        <w:rPr>
          <w:noProof/>
        </w:rPr>
      </w:pPr>
      <w:r w:rsidRPr="008D666E">
        <w:rPr>
          <w:noProof/>
        </w:rPr>
        <w:t>(37)</w:t>
      </w:r>
      <w:r w:rsidRPr="008D666E">
        <w:rPr>
          <w:noProof/>
        </w:rPr>
        <w:tab/>
      </w:r>
      <w:r w:rsidR="00C63D0B" w:rsidRPr="00D207EA">
        <w:rPr>
          <w:noProof/>
        </w:rPr>
        <w:t>Les États membres devraient avoir la possibilité de présenter une demande motivée de modification du plan PNR au cours de la période de mise en œuvre du Fonds. La Commission devrait évaluer la conformité du plan PNR modifié avec le présent règlement d’une manière proportionnée aux changements proposés. Afin d’éviter une charge administrative excessive, les États membres devraient avoir la possibilité de procéder à des ajustements mineurs ou de corriger des erreurs rédactionnelles dans les plans PNR, par simple notification de ces modifications à la Commission, à condition que ces modifications soient conformes aux dispositions du présent règlement.</w:t>
      </w:r>
    </w:p>
    <w:p w14:paraId="35631682" w14:textId="28E32613" w:rsidR="008B0EF4" w:rsidRPr="00D207EA" w:rsidRDefault="008D666E" w:rsidP="008D666E">
      <w:pPr>
        <w:pStyle w:val="ManualConsidrant"/>
        <w:rPr>
          <w:noProof/>
        </w:rPr>
      </w:pPr>
      <w:r w:rsidRPr="008D666E">
        <w:rPr>
          <w:noProof/>
        </w:rPr>
        <w:t>(38)</w:t>
      </w:r>
      <w:r w:rsidRPr="008D666E">
        <w:rPr>
          <w:noProof/>
        </w:rPr>
        <w:tab/>
      </w:r>
      <w:r w:rsidR="00A60EA0" w:rsidRPr="00D207EA">
        <w:rPr>
          <w:noProof/>
        </w:rPr>
        <w:t>Chaque État membre devrait procéder à un examen à mi-parcours de son plan PNR. Cet examen devrait fournir une proposition de modification complète du plan PNR fondée sur les progrès réalisés dans la mise en œuvre des mesures, les principaux résultats des évaluations pertinentes et une révision des coûts totaux estimés des mesures couvertes par le plan PNR, tout en offrant la possibilité de prendre en compte de nouveaux défis ainsi que la survenance d’une crise. Aux fins de l’examen à mi-parcours, il convient également de tenir compte de la situation socio-économique de la région ou de l’État membre concerné, y compris toute évolution financière, économique ou sociale négative majeure. Le plan PNR modifié soumis par l’État membre à la suite de l’examen à mi-parcours devrait inclure une proposition de programmation du montant de la flexibilité avec des mesures révisées ou nouvelles, accompagnées de leurs coûts estimés et des valeurs intermédiaires et valeurs cibles correspondantes.</w:t>
      </w:r>
    </w:p>
    <w:p w14:paraId="356355EA" w14:textId="7D365837" w:rsidR="004D4001" w:rsidRPr="00D207EA" w:rsidRDefault="008D666E" w:rsidP="008D666E">
      <w:pPr>
        <w:pStyle w:val="ManualConsidrant"/>
        <w:rPr>
          <w:noProof/>
        </w:rPr>
      </w:pPr>
      <w:r w:rsidRPr="008D666E">
        <w:rPr>
          <w:noProof/>
        </w:rPr>
        <w:t>(39)</w:t>
      </w:r>
      <w:r w:rsidRPr="008D666E">
        <w:rPr>
          <w:noProof/>
        </w:rPr>
        <w:tab/>
      </w:r>
      <w:r w:rsidR="004D4001" w:rsidRPr="00D207EA">
        <w:rPr>
          <w:noProof/>
        </w:rPr>
        <w:t>Il convient de créer une Facilité de l’UE pour compléter la mise en œuvre aux niveaux national et régional. La Facilité de l’UE devrait soutenir des projets de dimension transnationale, à forte valeur ajoutée pour l’Union, qui nécessitent des efforts de coordination supplémentaires au niveau de l’Union, ainsi qu’un soutien stratégique fondé sur des données probantes, et qui contribuent aux objectifs définis dans le présent règlement. La Facilité devrait également aider les États membres à répondre rapidement à des besoins urgents et spécifiques en réaction à une situation de crise telle qu’une catastrophe naturelle nationale ou régionale majeure, et favorisera la remise en état et la relance afin de renforcer la résilience après une crise. Elle devrait en outre permettre de faire face à l’incertitude en offrant à l’Union une marge de manœuvre supplémentaire pour s’adapter aux priorités qui se dégagent au niveau de l’Union et nécessitent une réponse coordonnée. Elle devrait enfin fournir un soutien technique aux États membres pour la mise en œuvre effective des politiques couvertes par le présent règlement. Dans le contexte des élargissements futurs, il est essentiel de veiller à ce que le cadre législatif et budgétaire de l’Union puisse également soutenir efficacement l’adhésion de nouveaux États membres. Pour ce faire, la Facilité devrait avoir la possibilité de recourir à la gestion partagée, directe ou indirecte, en fonction du type de mesure et de la ligne de conduite la plus efficace.</w:t>
      </w:r>
    </w:p>
    <w:p w14:paraId="3EE3BFEF" w14:textId="3AB2ECE1" w:rsidR="004D4001" w:rsidRPr="00D207EA" w:rsidRDefault="008D666E" w:rsidP="008D666E">
      <w:pPr>
        <w:pStyle w:val="ManualConsidrant"/>
        <w:rPr>
          <w:noProof/>
        </w:rPr>
      </w:pPr>
      <w:r w:rsidRPr="008D666E">
        <w:rPr>
          <w:noProof/>
        </w:rPr>
        <w:t>(40)</w:t>
      </w:r>
      <w:r w:rsidRPr="008D666E">
        <w:rPr>
          <w:noProof/>
        </w:rPr>
        <w:tab/>
      </w:r>
      <w:r w:rsidR="004D4001" w:rsidRPr="00D207EA">
        <w:rPr>
          <w:noProof/>
        </w:rPr>
        <w:t>En cas de crises résultant de catastrophes naturelles et pour assurer la disponibilité des ressources pendant toute la durée du Fonds, le soutien de l’Union devrait venir en complément des efforts des États membres concernés et servir à couvrir une partie des mesures mises en œuvre pour faire face aux dommages causés par une crise. Pour financer ces interventions et simplifier les procédures, une partie de l’enveloppe naturelle de chaque État membre devrait constituer le montant de la flexibilité («mesures d’examen à mi-parcours et de crise»). Les États membres disposeront ainsi de ressources financières suffisantes pour réagir aux crises jusqu’à la fin de la mise en œuvre des plans PNR. L’estimation du type et du montant du soutien à fournir à l’État membre concerné devrait suivre une approche en plusieurs étapes: d’abord, l’État membre devrait modifier son plan PNR, puis demander la programmation d’une partie de son montant non alloué au titre de la flexibilité et, lorsque le montant de la flexibilité demandé et disponible n’est pas suffisant pour couvrir les besoins, demander un soutien supplémentaire au titre des actions de l’Union. La Commission devrait avoir la possibilité d’utiliser la réserve budgétaire en dernier recours pour fournir un soutien si les autres ressources de la Facilité s’avèrent insuffisantes pour couvrir les besoins.</w:t>
      </w:r>
    </w:p>
    <w:p w14:paraId="42470A11" w14:textId="791F23F2" w:rsidR="004D4001" w:rsidRPr="00D207EA" w:rsidRDefault="008D666E" w:rsidP="008D666E">
      <w:pPr>
        <w:pStyle w:val="ManualConsidrant"/>
        <w:rPr>
          <w:noProof/>
          <w:sz w:val="22"/>
        </w:rPr>
      </w:pPr>
      <w:r w:rsidRPr="008D666E">
        <w:rPr>
          <w:noProof/>
        </w:rPr>
        <w:t>(41)</w:t>
      </w:r>
      <w:r w:rsidRPr="008D666E">
        <w:rPr>
          <w:noProof/>
        </w:rPr>
        <w:tab/>
      </w:r>
      <w:r w:rsidR="00092CC4" w:rsidRPr="00D207EA">
        <w:rPr>
          <w:noProof/>
        </w:rPr>
        <w:t>Un filet de sécurité unitaire devrait être mis en place pour stabiliser les marchés agricoles en cas de perturbations du marché. Il devrait être utilisé pour faire face aux périodes et aux menaces de déséquilibre du marché, y compris celles causées par des questions relatives à la santé animale ou végétale, qui ont une incidence sur les prix des produits agricoles et les coûts des intrants dans tout ou partie du marché intérieur. Afin de préserver l’autonomie stratégique de l’Union en matière d’approvisionnement alimentaire et de garantir la sécurité alimentaire, les fonds alloués au soutien du marché par l’intermédiaire du filet de sécurité unitaire devraient tenir compte des incertitudes croissantes sur les marchés agricoles et de l’incidence indirecte accrue des questions de santé animale sur l’équilibre du marché. Le filet de sécurité de l’Union n’a pas pour but de compenser les pertes directes subies par les agriculteurs à la suite de catastrophes naturelles. Conformément à l’objectif de stabilisation des marchés agricoles de l’Union, les ressources consacrées aux campagnes de promotion des produits agricoles de l’Union devraient être maintenues afin d’ouvrir de nouveaux débouchés au secteur agricole de l’Union et d’accroître la visibilité et la part de marché de ses produits tant sur son territoire qu’à l’échelle internationale.</w:t>
      </w:r>
    </w:p>
    <w:p w14:paraId="3A5A0AA3" w14:textId="67D1DD2E" w:rsidR="004D4001" w:rsidRPr="00D207EA" w:rsidRDefault="008D666E" w:rsidP="008D666E">
      <w:pPr>
        <w:pStyle w:val="ManualConsidrant"/>
        <w:rPr>
          <w:noProof/>
          <w:sz w:val="22"/>
        </w:rPr>
      </w:pPr>
      <w:r w:rsidRPr="008D666E">
        <w:rPr>
          <w:noProof/>
        </w:rPr>
        <w:t>(42)</w:t>
      </w:r>
      <w:r w:rsidRPr="008D666E">
        <w:rPr>
          <w:noProof/>
        </w:rPr>
        <w:tab/>
      </w:r>
      <w:r w:rsidR="006D1387" w:rsidRPr="00D207EA">
        <w:rPr>
          <w:noProof/>
        </w:rPr>
        <w:t>Par souci de cohérence, la garantie budgétaire et les instruments financiers, y compris lorsqu’ils sont combinés à d’autres formes d’aide non remboursable dans le cadre d’opérations de mixage au titre de la Facilité de l’UE, devraient être mis en œuvre conformément au titre X du règlement (UE, Euratom) 2024/2509 du Parlement européen et du Conseil</w:t>
      </w:r>
      <w:r w:rsidR="005F3BC6" w:rsidRPr="00D207EA">
        <w:rPr>
          <w:rStyle w:val="FootnoteReference"/>
          <w:noProof/>
        </w:rPr>
        <w:footnoteReference w:id="12"/>
      </w:r>
      <w:r w:rsidR="006D1387" w:rsidRPr="00D207EA">
        <w:rPr>
          <w:noProof/>
        </w:rPr>
        <w:t xml:space="preserve"> et au [règlement relatif au Fond</w:t>
      </w:r>
      <w:r w:rsidR="0022061E" w:rsidRPr="00D207EA">
        <w:rPr>
          <w:noProof/>
        </w:rPr>
        <w:t>s</w:t>
      </w:r>
      <w:r w:rsidR="006D1387" w:rsidRPr="00D207EA">
        <w:rPr>
          <w:noProof/>
        </w:rPr>
        <w:t xml:space="preserve"> européen pour la compétitivité], ainsi qu’aux modalités et conditions techniques établies par la Commission aux fins de son application. Le soutien au titre de la Facilité de l’UE sous la forme d’une garantie budgétaire ou d’instruments financiers, y compris lorsqu’il est associé à un soutien non remboursable dans le cadre d’une opération de mixage, devrait être fourni exclusivement par l’intermédiaire de [l’instrument InvestEU – Fonds européen pour la compétitivité]. Afin d’élargir l’accès aux partenaires chargés de la mise en œuvre pour les garanties budgétaires et les instruments financiers, la Commission devrait pouvoir conclure des accords de gestion indirecte avec toutes les catégories d’entités énumérées à l’article 62, paragraphe 1, premier alinéa, point c), du règlement (UE, Euratom) 2024/2509. Afin d’assurer une gestion financière et une discipline budgétaire saines et de limiter les paiements en suspens, le provisionnement de la garantie budgétaire mise en œuvre au titre de la Facilité de l’UE ne devrait pas être engagé après la fin de la dernière année du cadre financier pluriannuel (CFP) et devrait être constitué avant la fin de la troisième année suivant la fin du CFP. Les engagements budgétaires pour ce provisionnement devraient tenir compte des progrès réalisés dans l’octroi de la garantie budgétaire. La constitution du provisionnement devrait tenir compte de l’avancement de l’approbation et de la signature des opérations de financement et d’investissement soutenant les objectifs de la Facilité de l’UE.</w:t>
      </w:r>
    </w:p>
    <w:p w14:paraId="2B56EE9A" w14:textId="38D894D1" w:rsidR="001145B7" w:rsidRPr="00D207EA" w:rsidRDefault="008D666E" w:rsidP="008D666E">
      <w:pPr>
        <w:pStyle w:val="ManualConsidrant"/>
        <w:rPr>
          <w:noProof/>
        </w:rPr>
      </w:pPr>
      <w:r w:rsidRPr="008D666E">
        <w:rPr>
          <w:noProof/>
        </w:rPr>
        <w:t>(43)</w:t>
      </w:r>
      <w:r w:rsidRPr="008D666E">
        <w:rPr>
          <w:noProof/>
        </w:rPr>
        <w:tab/>
      </w:r>
      <w:r w:rsidR="00CA3471" w:rsidRPr="00D207EA">
        <w:rPr>
          <w:noProof/>
        </w:rPr>
        <w:t>Pour une politique plus efficace et plus percutante, la nouvelle PAC est simplifiée, avec un ensemble rationalisé d’interventions, et s’appuie sur l’expérience de la période de programmation précédente. Elle simplifie les outils, évite la fragmentation et renforce l’approche stratégique des États membres. En utilisant les synergies avec d’autres politiques du plan PNR, la PAC devrait disposer d’outils supplémentaires pour concourir efficacement au développement d’un secteur agricole résilient, innovant et respectueux de l’environnement dans toute l’Europe.</w:t>
      </w:r>
    </w:p>
    <w:p w14:paraId="410C4630" w14:textId="3057F180" w:rsidR="001145B7" w:rsidRPr="00D207EA" w:rsidRDefault="008D666E" w:rsidP="008D666E">
      <w:pPr>
        <w:pStyle w:val="ManualConsidrant"/>
        <w:rPr>
          <w:noProof/>
        </w:rPr>
      </w:pPr>
      <w:r w:rsidRPr="008D666E">
        <w:rPr>
          <w:noProof/>
        </w:rPr>
        <w:t>(44)</w:t>
      </w:r>
      <w:r w:rsidRPr="008D666E">
        <w:rPr>
          <w:noProof/>
        </w:rPr>
        <w:tab/>
      </w:r>
      <w:r w:rsidR="004B42CF" w:rsidRPr="00D207EA">
        <w:rPr>
          <w:noProof/>
        </w:rPr>
        <w:t>L’aide au revenu pour les agriculteurs devrait rester un instrument politique essentiel pour garantir un revenu équitable aux agriculteurs. Elle contribue à susciter un secteur agricole compétitif, résilient et durable qui tire parti d’une production de haute qualité et d’une utilisation efficace des ressources, ce qui garantit le renouvellement des générations et, partant, la sécurité alimentaire à long terme. Le soutien de la PAC devrait être axé sur les agriculteurs actifs, définis dans le respect des règles de l’OMC. Afin d’améliorer encore les performances de la PAC, il convient d’accorder l’aide au revenu fondée sur la surface principalement aux agriculteurs dont l’activité principale est l’agriculture. L’aide au revenu devrait être destinée aux agriculteurs qui en ont le plus besoin, en accordant une attention particulière aux agriculteurs des zones soumises à des contraintes naturelles, aux femmes, aux jeunes agriculteurs et aux nouveaux exploitants. Parallèlement, le développement économique rural, en garantissant l’amélioration des infrastructures et la transition numérique qui éliminent les disparités régionales, favorise l’attractivité des zones rurales, l’inclusion sociale et l’amélioration des possibilités d’emploi dans les zones rurales.</w:t>
      </w:r>
    </w:p>
    <w:p w14:paraId="0EED7AC7" w14:textId="4D8988F5" w:rsidR="00CB0DA2" w:rsidRPr="00D207EA" w:rsidRDefault="008D666E" w:rsidP="008D666E">
      <w:pPr>
        <w:pStyle w:val="ManualConsidrant"/>
        <w:rPr>
          <w:noProof/>
        </w:rPr>
      </w:pPr>
      <w:r w:rsidRPr="008D666E">
        <w:rPr>
          <w:noProof/>
        </w:rPr>
        <w:t>(45)</w:t>
      </w:r>
      <w:r w:rsidRPr="008D666E">
        <w:rPr>
          <w:noProof/>
        </w:rPr>
        <w:tab/>
      </w:r>
      <w:r w:rsidR="00CB0DA2" w:rsidRPr="00D207EA">
        <w:rPr>
          <w:noProof/>
        </w:rPr>
        <w:t>Pour distinguer les bénéficiaires dans le cadre de la PAC, les critères définissant le concept d’activité principale devraient inclure la part du revenu agricole dans le revenu total, le volume de main-d’œuvre sur l’exploitation, l’objet social et l’inscription de leurs activités agricoles dans des registres nationaux ou régionaux. Les États membres devraient être autorisés à utiliser également des listes négatives pour identifier les demandeurs qui ne répondent pas à la définition d’«agriculteur».</w:t>
      </w:r>
    </w:p>
    <w:p w14:paraId="478BE7E1" w14:textId="7781E70B" w:rsidR="0058035C" w:rsidRPr="00D207EA" w:rsidRDefault="008D666E" w:rsidP="008D666E">
      <w:pPr>
        <w:pStyle w:val="ManualConsidrant"/>
        <w:rPr>
          <w:noProof/>
        </w:rPr>
      </w:pPr>
      <w:r w:rsidRPr="008D666E">
        <w:rPr>
          <w:noProof/>
        </w:rPr>
        <w:t>(46)</w:t>
      </w:r>
      <w:r w:rsidRPr="008D666E">
        <w:rPr>
          <w:noProof/>
        </w:rPr>
        <w:tab/>
      </w:r>
      <w:r w:rsidR="00C01A28" w:rsidRPr="00D207EA">
        <w:rPr>
          <w:noProof/>
        </w:rPr>
        <w:t xml:space="preserve">La politique commune de la pêche et la politique maritime de l’Union devraient favoriser une pêche durable et la conservation des ressources biologiques marines, le renouvellement des générations et la transition énergétique des activités de la pêche et de l’aquaculture durable, ainsi que la transformation et la commercialisation des produits de la pêche et de l’aquaculture, une économie bleue durable dans les zones côtières, insulaires et intérieures, la connaissance du milieu marin, la qualification des activités liées à l’économie bleue, la résilience des communautés côtières et en particulier la petite pêche côtière, le renforcement de la gouvernance et </w:t>
      </w:r>
      <w:r w:rsidR="0022061E" w:rsidRPr="00D207EA">
        <w:rPr>
          <w:noProof/>
        </w:rPr>
        <w:t xml:space="preserve">de </w:t>
      </w:r>
      <w:r w:rsidR="00C01A28" w:rsidRPr="00D207EA">
        <w:rPr>
          <w:noProof/>
        </w:rPr>
        <w:t>l’observation internationales des océans, et faire en sorte que les mers et les océans soient sûrs, propres et gérés de manière durable.</w:t>
      </w:r>
    </w:p>
    <w:p w14:paraId="5D4B766F" w14:textId="2FD773CA" w:rsidR="00676916" w:rsidRPr="00D207EA" w:rsidRDefault="008D666E" w:rsidP="008D666E">
      <w:pPr>
        <w:pStyle w:val="ManualConsidrant"/>
        <w:rPr>
          <w:noProof/>
        </w:rPr>
      </w:pPr>
      <w:r w:rsidRPr="008D666E">
        <w:rPr>
          <w:noProof/>
        </w:rPr>
        <w:t>(47)</w:t>
      </w:r>
      <w:r w:rsidRPr="008D666E">
        <w:rPr>
          <w:noProof/>
        </w:rPr>
        <w:tab/>
      </w:r>
      <w:r w:rsidR="00882662" w:rsidRPr="00D207EA">
        <w:rPr>
          <w:noProof/>
        </w:rPr>
        <w:t>Les régions ultrapériphériques sont confrontées à des défis spécifiques liés à leur éloignement, leur relief et leur climat tel que visé à l’article 349 du traité FUE et possèdent également certains atouts, notamment pour le développement d’une économie bleue durable. Par conséquent, les États membres concernés devraient inclure dans leur plan PNR des mesures de soutien à chaque région ultrapériphérique afin de répondre à leurs besoins et leurs difficultés spécifiques tels que la sécurité alimentaire, le logement, les transports, la gestion de l’eau et des déchets, l’énergie, l’éducation et les compétences, la migration, la résilience et l’adaptation au changement climatique, la protection de l’environnement, l’accès aux soins de santé, l’énergie, les transports et la connectivité numérique, ainsi que le développement économique, y compris une économie bleue durable et diversifiée.</w:t>
      </w:r>
    </w:p>
    <w:p w14:paraId="330B560B" w14:textId="60080C94" w:rsidR="00DF726F" w:rsidRPr="00D207EA" w:rsidRDefault="008D666E" w:rsidP="008D666E">
      <w:pPr>
        <w:pStyle w:val="ManualConsidrant"/>
        <w:rPr>
          <w:noProof/>
          <w:sz w:val="22"/>
        </w:rPr>
      </w:pPr>
      <w:r w:rsidRPr="008D666E">
        <w:rPr>
          <w:noProof/>
        </w:rPr>
        <w:t>(48)</w:t>
      </w:r>
      <w:r w:rsidRPr="008D666E">
        <w:rPr>
          <w:noProof/>
        </w:rPr>
        <w:tab/>
      </w:r>
      <w:r w:rsidR="00DF726F" w:rsidRPr="00D207EA">
        <w:rPr>
          <w:noProof/>
        </w:rPr>
        <w:t>Les mesures devraient comprendre un soutien pour garantir l’approvisionnement en produits essentiels à la consommation humaine ou à la transformation et, pour ce qui est des intrants agricoles, un allégement des surcoûts liés à leur ultrapériphéricité et/ou insularité, sans porter préjudice à la production locale et à son développement. Les mesures devraient également inclure un soutien pour assurer l’avenir et le développement à long terme de l’agriculture, de la pêche et de l’aquaculture, y compris la production, la transformation, la commercialisation et la vente de cultures et de produits locaux, ainsi que la diversification de la production alimentaire, en mettant l’accent sur la sécurité et l’autosuffisance alimentaires, et le maintien et le renforcement de la compétitivité de ces secteurs. En outre, les mesures devraient inclure un soutien, y compris des indemnisations, pour des régimes spécifiques d’approvisionnement pour l’agriculture, un soutien à la production et à la transformation agricoles locales, et un soutien à la production, à la transformation et à la commercialisation de la pêche et de l’aquaculture locales, ainsi qu’un soutien à l’amélioration des transports, de l’énergie et de la connectivité numérique. Les États membres devraient pouvoir accorder un financement complémentaire pour la mise en œuvre de ce soutien. En tant qu’aide d’État, ce financement devrait être notifié à la Commission, qui peut l’approuver en vertu du présent règlement dans le cadre de ce soutien.</w:t>
      </w:r>
    </w:p>
    <w:p w14:paraId="54F0B60B" w14:textId="62909745" w:rsidR="00DF726F" w:rsidRPr="00D207EA" w:rsidRDefault="008D666E" w:rsidP="008D666E">
      <w:pPr>
        <w:pStyle w:val="ManualConsidrant"/>
        <w:rPr>
          <w:noProof/>
          <w:sz w:val="22"/>
        </w:rPr>
      </w:pPr>
      <w:r w:rsidRPr="008D666E">
        <w:rPr>
          <w:noProof/>
        </w:rPr>
        <w:t>(49)</w:t>
      </w:r>
      <w:r w:rsidRPr="008D666E">
        <w:rPr>
          <w:noProof/>
        </w:rPr>
        <w:tab/>
      </w:r>
      <w:r w:rsidR="00DF726F" w:rsidRPr="00D207EA">
        <w:rPr>
          <w:noProof/>
        </w:rPr>
        <w:t>Afin de tenir compte des conditions spécifiques de la politique commune de la pêche visées dans le règlement (UE) nº 1380/2013 et de contribuer au respect des règles de cette politique, il convient d’établir des dispositions spécifiques pour les règles relatives à l’interruption, à la suspension et aux corrections financières. Lorsqu’un État membre n’a pas satisfait à ses obligations au titre de la politique commune de la pêche ou lorsque la Commission dispose d’éléments de preuve qui suggèrent ce manquement, la Commission devrait, par mesure de précaution, être autorisée à interrompre les délais de paiement. Outre la possibilité d’interrompre le délai de paiement, et dans le but d’éviter un risque évident de financement de dépenses non éligibles, la Commission devrait être autorisée à suspendre les paiements et à imposer des corrections financières en cas de manquement grave aux règles de la politique commune de la pêche par un État membre.</w:t>
      </w:r>
    </w:p>
    <w:p w14:paraId="318499DD" w14:textId="089F4E6E" w:rsidR="00C63D0B" w:rsidRPr="00D207EA" w:rsidRDefault="008D666E" w:rsidP="008D666E">
      <w:pPr>
        <w:pStyle w:val="ManualConsidrant"/>
        <w:rPr>
          <w:noProof/>
        </w:rPr>
      </w:pPr>
      <w:r w:rsidRPr="008D666E">
        <w:rPr>
          <w:noProof/>
        </w:rPr>
        <w:t>(50)</w:t>
      </w:r>
      <w:r w:rsidRPr="008D666E">
        <w:rPr>
          <w:noProof/>
        </w:rPr>
        <w:tab/>
      </w:r>
      <w:r w:rsidR="00C63D0B" w:rsidRPr="00D207EA">
        <w:rPr>
          <w:noProof/>
        </w:rPr>
        <w:t>Les règles financières horizontales adoptées par le Parlement européen et le Conseil sur la base de l’article 322 du traité FUE s’appliquent au présent règlement. Ces règles sont fixées par le règlement (UE, Euratom) 2024/2509 et déterminent notamment la procédure d’établissement et d’exécution du budget général de l’Union. Les règles adoptées en vertu de l’article 322 du traité FUE comprennent également un régime général de conditionnalité pour la protection du budget de l’Union en cas de violation des principes de l’état de droit dans les États membres, établi par le règlement (UE, Euratom) 2020/2092.</w:t>
      </w:r>
    </w:p>
    <w:p w14:paraId="470F9345" w14:textId="0F7EA57C" w:rsidR="004C3B62" w:rsidRPr="00D207EA" w:rsidRDefault="008D666E" w:rsidP="008D666E">
      <w:pPr>
        <w:pStyle w:val="ManualConsidrant"/>
        <w:rPr>
          <w:noProof/>
        </w:rPr>
      </w:pPr>
      <w:r w:rsidRPr="008D666E">
        <w:rPr>
          <w:noProof/>
        </w:rPr>
        <w:t>(51)</w:t>
      </w:r>
      <w:r w:rsidRPr="008D666E">
        <w:rPr>
          <w:noProof/>
        </w:rPr>
        <w:tab/>
      </w:r>
      <w:r w:rsidR="46DE90B3" w:rsidRPr="00D207EA">
        <w:rPr>
          <w:noProof/>
        </w:rPr>
        <w:t>Les activités de transparence, d’information, de communication et de visibilité sont essentielles pour rendre l’action de l’Union visible sur le terrain et assurer la traçabilité des fonds, et devraient s’appuyer sur des informations vraies, précises et à jour. Pour atteindre ces objectifs, il est nécessaire de prévoir des dispositions appropriées pour la collecte et la transmission unique des données nécessaires à des fins multiples. Afin d’éviter les doubles emplois et de réduire la charge administrative pour les États membres, il convient de réduire le volume des données collectées et mises à disposition à des fins d’audit et de contrôle, de transparence, de suivi et d’évaluation des performances, et d’établir des exigences en matière de publication afin de garantir une transparence maximale.</w:t>
      </w:r>
    </w:p>
    <w:p w14:paraId="3B918BB1" w14:textId="2069A228" w:rsidR="00474283" w:rsidRPr="00D207EA" w:rsidRDefault="008D666E" w:rsidP="008D666E">
      <w:pPr>
        <w:pStyle w:val="ManualConsidrant"/>
        <w:rPr>
          <w:noProof/>
        </w:rPr>
      </w:pPr>
      <w:r w:rsidRPr="008D666E">
        <w:rPr>
          <w:noProof/>
        </w:rPr>
        <w:t>(52)</w:t>
      </w:r>
      <w:r w:rsidRPr="008D666E">
        <w:rPr>
          <w:noProof/>
        </w:rPr>
        <w:tab/>
      </w:r>
      <w:r w:rsidR="00C63D0B" w:rsidRPr="00D207EA">
        <w:rPr>
          <w:noProof/>
        </w:rPr>
        <w:t>Afin de protéger les intérêts financiers et le budget de l’Union, il y a lieu d’établir et de mettre en œuvre des mesures proportionnées au niveau des États membres et de la Commission. La Commission devrait pouvoir interrompre les délais de paiement, suspendre les paiements et appliquer des corrections financières lorsque les conditions requises sont remplies. Il convient que la Commission respecte le principe de proportionnalité compte tenu de la nature, de la gravité et de la fréquence des irrégularités ainsi que de leurs incidences financières sur le budget de l’Union. Conformément au règlement (UE, Euratom) 2024/2509, au règlement (UE, Euratom) nº 883/2013 du Parlement européen et du Conseil et aux règlements (CE, Euratom) nº 2988/95, (Euratom, CE) nº 2185/96 et (UE) 2017/1939 du Conseil, les intérêts financiers de l’Union doivent être protégés au moyen de mesures proportionnées, y compris par des mesures relatives à la prévention, à la détection et à la correction de la fraude, de la corruption et des conflits d’intérêts ainsi qu’aux enquêtes en la matière et, s’il y a lieu, à l’application de sanctions administratives. En particulier, conformément aux règlements (Euratom, CE) nº 2185/96 et (UE, Euratom) nº 883/2013, l’Office européen de lutte antifraude (OLAF) a le pouvoir de mener des enquêtes administratives, y compris des contrôles et vérifications sur place, en vue d’établir l’existence éventuelle d’une fraude, d’un acte de corruption ou de toute autre activité illégale portant atteinte aux intérêts financiers de l’Union. Conformément au règlement (UE) 2017/1939, le Parquet européen est compétent pour mener des enquêtes et engager des poursuites dans le cadre de la lutte contre la fraude et les autres infractions pénales portant atteinte aux intérêts financiers de l’Union, comme prévu par la directive (UE) 2017/1371 du Parlement européen et du Conseil. Conformément au règlement (UE, Euratom) 2024/2509, toute personne ou entité qui reçoit des fonds de l’Union doit coopérer pleinement à la protection des intérêts financiers de l’Union et accorder les droits et accès nécessaires à la Commission, à l’OLAF, au Parquet européen et à la Cour des comptes européenne et veiller à ce que tout tiers participant à l’exécution des fonds de l’Union accorde des droits équivalents. Il convient que les États membres fassent rapidement rapport à la Commission sur les irrégularités détectées et sur le suivi des mesures prises pour remédier auxdites irrégularités et en ce qui concerne les enquêtes de l’OLAF. Les autorités compétentes des États membres participant à la coopération renforcée pour la mise en place du Parquet européen en vertu du règlement (UE) 2017/1939 devraient également lui signaler, dans les meilleurs délais, tout comportement criminel à l’égard duquel il pourrait exercer sa compétence, conformément audit règlement. </w:t>
      </w:r>
    </w:p>
    <w:p w14:paraId="59A8E608" w14:textId="659857B5" w:rsidR="00C63D0B" w:rsidRPr="00D207EA" w:rsidRDefault="008D666E" w:rsidP="008D666E">
      <w:pPr>
        <w:pStyle w:val="ManualConsidrant"/>
        <w:rPr>
          <w:noProof/>
        </w:rPr>
      </w:pPr>
      <w:r w:rsidRPr="008D666E">
        <w:rPr>
          <w:noProof/>
        </w:rPr>
        <w:t>(53)</w:t>
      </w:r>
      <w:r w:rsidRPr="008D666E">
        <w:rPr>
          <w:noProof/>
        </w:rPr>
        <w:tab/>
      </w:r>
      <w:r w:rsidR="00C63D0B" w:rsidRPr="00D207EA">
        <w:rPr>
          <w:noProof/>
        </w:rPr>
        <w:t>Afin de réduire la charge administrative et les coûts supportés par les destinataires des financements de l’Union et d’éviter la duplication des audits et des vérifications de gestion portant sur les mêmes mesures, il convient d’appliquer concrètement le modèle de contrôle unique pour le Fonds. L’autorité d’audit devrait réaliser des audits et s’assurer de la fiabilité de l’avis d’audit transmis à la Commission. Cet avis d’audit devrait donner à la Commission l’assurance que les systèmes de gestion et de contrôle de l’État membre fonctionnent correctement et que les assertions contenues dans la déclaration de gestion soumise par l’organisme de coordination sont correctes.</w:t>
      </w:r>
    </w:p>
    <w:p w14:paraId="3F8DADDA" w14:textId="32C90A2E" w:rsidR="00C63D0B" w:rsidRPr="00D207EA" w:rsidRDefault="008D666E" w:rsidP="008D666E">
      <w:pPr>
        <w:pStyle w:val="ManualConsidrant"/>
        <w:rPr>
          <w:noProof/>
        </w:rPr>
      </w:pPr>
      <w:r w:rsidRPr="008D666E">
        <w:rPr>
          <w:noProof/>
        </w:rPr>
        <w:t>(54)</w:t>
      </w:r>
      <w:r w:rsidRPr="008D666E">
        <w:rPr>
          <w:noProof/>
        </w:rPr>
        <w:tab/>
      </w:r>
      <w:r w:rsidR="00C63D0B" w:rsidRPr="00D207EA">
        <w:rPr>
          <w:noProof/>
        </w:rPr>
        <w:t>Conformément au principe et aux règles de la gestion partagée, les États membres et la Commission devraient être responsables de la gestion et du contrôle des plans et donner l’assurance que les fonds de l’Union sont utilisés de manière légale et régulière. Étant donné que la responsabilité de cette gestion et de ce contrôle incombe en premier lieu aux États membres, ces derniers devraient veiller à ce que les opérations soutenues par le Fonds soient conformes au droit applicable, y compris aux règles s’appliquant aux aides d’État et à la passation de marchés publics.</w:t>
      </w:r>
    </w:p>
    <w:p w14:paraId="39536215" w14:textId="21D2E5DD" w:rsidR="00C63D0B" w:rsidRPr="00D207EA" w:rsidRDefault="008D666E" w:rsidP="008D666E">
      <w:pPr>
        <w:pStyle w:val="ManualConsidrant"/>
        <w:rPr>
          <w:noProof/>
        </w:rPr>
      </w:pPr>
      <w:r w:rsidRPr="008D666E">
        <w:rPr>
          <w:noProof/>
        </w:rPr>
        <w:t>(55)</w:t>
      </w:r>
      <w:r w:rsidRPr="008D666E">
        <w:rPr>
          <w:noProof/>
        </w:rPr>
        <w:tab/>
      </w:r>
      <w:r w:rsidR="5BAD2D04" w:rsidRPr="00D207EA">
        <w:rPr>
          <w:noProof/>
        </w:rPr>
        <w:t>Les procédures de sélection des opérations appliquées par les États membres peuvent s’effectuer avec mise en concurrence ou non, à condition que les critères appliqués et les procédures utilisées soient non discriminatoires, inclusifs, accessibles, le cas échéant, aux personnes handicapées, et transparents, compte tenu de la charte des droits fondamentaux de l’Union européenne, et que les opérations sélectionnées maximisent la contribution du financement de l’Union et soient conformes aux principes horizontaux définis dans le présent règlement.</w:t>
      </w:r>
    </w:p>
    <w:p w14:paraId="4EE689F5" w14:textId="356293F5" w:rsidR="00C63D0B" w:rsidRPr="00D207EA" w:rsidRDefault="008D666E" w:rsidP="008D666E">
      <w:pPr>
        <w:pStyle w:val="ManualConsidrant"/>
        <w:rPr>
          <w:noProof/>
        </w:rPr>
      </w:pPr>
      <w:r w:rsidRPr="008D666E">
        <w:rPr>
          <w:noProof/>
        </w:rPr>
        <w:t>(56)</w:t>
      </w:r>
      <w:r w:rsidRPr="008D666E">
        <w:rPr>
          <w:noProof/>
        </w:rPr>
        <w:tab/>
      </w:r>
      <w:r w:rsidR="00C63D0B" w:rsidRPr="00D207EA">
        <w:rPr>
          <w:noProof/>
        </w:rPr>
        <w:t>Afin de garantir le principe de bonne gestion financière, les États membres devraient s’assurer que le montant des coûts totaux estimés de leur plan PNR reste raisonnable et cohérent tout au long de sa mise en œuvre et demander une modification de leur plan PNR si nécessaire. Le modèle de mise en œuvre du Fonds devrait chercher à assurer la prévisibilité et la cohérence entre les niveaux de paiement et le rythme de mise en œuvre de chaque mesure en attribuant des valeurs de paiement ex ante à chaque valeur intermédiaire et valeur cible. En outre, une analyse des coûts totaux estimés des réformes et des investissements ainsi que des autres interventions couvertes par le plan PNR devrait être effectuée par l’État membre dans le cadre de l’examen à mi-parcours, avec les ajustements correspondants chaque fois que cela est justifié. De plus, lorsqu’il soumet la version définitive de son dossier «assurance» annuel pour le dernier exercice, l’État membre devrait confirmer que le total des paiements de la Commission ne dépasse pas le montant total payé par l’État membre aux bénéficiaires dans le cadre de la mise en œuvre du plan, compte tenu de la contribution nationale. Pour les mêmes raisons de bonne gestion financière, la Commission devrait être autorisée à recouvrer les montants précédemment payés pour les étapes intermédiaires d’une mesure si la valeur intermédiaire définitive ou la valeur cible définitive de la mesure en question n’est pas respectée, et à prendre des mesures en cas d’annulation d’une valeur intermédiaire ou d’une valeur cible survenant jusqu’à cinq ans après la date du paiement correspondant de la Commission.</w:t>
      </w:r>
    </w:p>
    <w:p w14:paraId="7D475D08" w14:textId="059EBA6D" w:rsidR="00C63D0B" w:rsidRPr="00D207EA" w:rsidRDefault="008D666E" w:rsidP="008D666E">
      <w:pPr>
        <w:pStyle w:val="ManualConsidrant"/>
        <w:rPr>
          <w:noProof/>
        </w:rPr>
      </w:pPr>
      <w:r w:rsidRPr="008D666E">
        <w:rPr>
          <w:noProof/>
        </w:rPr>
        <w:t>(57)</w:t>
      </w:r>
      <w:r w:rsidRPr="008D666E">
        <w:rPr>
          <w:noProof/>
        </w:rPr>
        <w:tab/>
      </w:r>
      <w:r w:rsidR="0037160D" w:rsidRPr="00D207EA">
        <w:rPr>
          <w:noProof/>
        </w:rPr>
        <w:t>Afin de simplifier considérablement les procédures et de réduire la charge administrative pour les destinataires, les États membres et la Commission, tout en fournissant des garanties solides sur l’utilisation régulière et efficace des fonds de l’Union, les plans PNR devraient intégrer des mesures visant à faciliter la mise en œuvre, à la fois dans leur conception et leur application, ainsi que dans les dispositions de suivi. Ces éléments devraient comprendre, par exemple, la fourniture d’une assistance technique et d’un soutien aux États membres, la limitation des doubles audits par l’application du modèle de contrôle unique et l’abandon des contrôles de factures pour se concentrer sur les résultats réels. Les autorités d’audit nationales et la Commission ne devraient pas être tenues, à cet égard, de vérifier les coûts sous-jacents des opérations dans le cadre de leurs travaux d’audit. Par souci de simplification, il convient qu’une assistance technique soit fournie tout au long de la mise en œuvre au moyen d’un taux forfaitaire applicable à tous les paiements. Le Fonds devrait également offrir une flexibilité suffisante, que ce soit au moyen de procédures rationalisées pour les modifications des plans ou d’une meilleure réactivité aux crises imprévues grâce à de multiples mécanismes permettant de mobiliser des ressources pour des événements de ce type, tels que la révision du plan, le montant de la flexibilité ou l’accès à la Facilité. Le Fonds devrait également permettre aux États membres de décider eux-mêmes des valeurs intermédiaires et des valeurs cibles à présenter dans chaque demande de paiement sur la base de leurs rythmes de mise en œuvre respectifs. Afin d’assurer des déboursements réguliers et la réalisation en temps utile des objectifs de l’Union sur le terrain, une règle de dégagement annuel devrait garantir que les États membres présentent des demandes de paiement régulières pour des montants suffisamment importants.</w:t>
      </w:r>
    </w:p>
    <w:p w14:paraId="35C904BA" w14:textId="0ABCBCAC" w:rsidR="004A203C" w:rsidRPr="00D207EA" w:rsidRDefault="008D666E" w:rsidP="008D666E">
      <w:pPr>
        <w:pStyle w:val="ManualConsidrant"/>
        <w:rPr>
          <w:noProof/>
        </w:rPr>
      </w:pPr>
      <w:r w:rsidRPr="008D666E">
        <w:rPr>
          <w:noProof/>
        </w:rPr>
        <w:t>(58)</w:t>
      </w:r>
      <w:r w:rsidRPr="008D666E">
        <w:rPr>
          <w:noProof/>
        </w:rPr>
        <w:tab/>
      </w:r>
      <w:r w:rsidR="004A203C" w:rsidRPr="00D207EA">
        <w:rPr>
          <w:noProof/>
        </w:rPr>
        <w:t>Le Fonds social pour le climat établi par le règlement (UE) 2023/955 du Parlement européen et du Conseil du 10 mai 2023</w:t>
      </w:r>
      <w:r w:rsidR="002F7808" w:rsidRPr="00D207EA">
        <w:rPr>
          <w:rStyle w:val="FootnoteReference"/>
          <w:noProof/>
        </w:rPr>
        <w:footnoteReference w:id="13"/>
      </w:r>
      <w:r w:rsidR="004A203C" w:rsidRPr="00D207EA">
        <w:rPr>
          <w:noProof/>
        </w:rPr>
        <w:t xml:space="preserve"> poursuit des objectifs similaires et soutient des actions similaires dans un calendrier de mise en œuvre comparable. Par conséquent, les plans sociaux et climatiques devraient être intégrés dans les plans PNR à partir de 2028. Cela devrait favoriser une utilisation plus efficiente des fonds de l’Union et encourager une mise en œuvre plus efficace et cohérente des objectifs du Fonds. Cette mesure permettrait d’éviter que des systèmes et des processus similaires soient gérés en parallèle, ce qui apporterait des avantages évidents en ce qui concerne l’amélioration de la planification, la cohérence des politiques et les efforts de simplification. Elle devrait également garantir l’application de règles communes, notamment en ce qui concerne le respect de l’état de droit et la conformité avec la charte des droits fondamentaux de l’Union européenne, tandis que les dotations actuelles des États membres au titre du Fonds social pour le climat continueraient de s’appliquer. Les synergies entre les investissements existants et futurs au titre du Fonds pour la modernisation et les mesures des plans devraient également être encouragées par une programmation coordonnée en vue d’assurer une complémentarité et une cohérence politique plus efficace entre le budget de l’Union et les ressources allouées au Fonds pour la modernisation.</w:t>
      </w:r>
    </w:p>
    <w:p w14:paraId="7BC7211E" w14:textId="2419BEE2" w:rsidR="0091293D" w:rsidRPr="00D207EA" w:rsidRDefault="008D666E" w:rsidP="008D666E">
      <w:pPr>
        <w:pStyle w:val="ManualConsidrant"/>
        <w:rPr>
          <w:rStyle w:val="normaltextrun"/>
          <w:noProof/>
        </w:rPr>
      </w:pPr>
      <w:r w:rsidRPr="008D666E">
        <w:rPr>
          <w:rStyle w:val="normaltextrun"/>
          <w:noProof/>
        </w:rPr>
        <w:t>(59)</w:t>
      </w:r>
      <w:r w:rsidRPr="008D666E">
        <w:rPr>
          <w:rStyle w:val="normaltextrun"/>
          <w:noProof/>
        </w:rPr>
        <w:tab/>
      </w:r>
      <w:r w:rsidR="005538BE" w:rsidRPr="00D207EA">
        <w:rPr>
          <w:rStyle w:val="normaltextrun"/>
          <w:noProof/>
          <w:color w:val="000000"/>
          <w:shd w:val="clear" w:color="auto" w:fill="FFFFFF"/>
        </w:rPr>
        <w:t>Les articles 107, 108 et 109 du traité FUE devraient s’appliquer au soutien accordé au titre du présent règlement. Néanmoins, conformément à l’article 42 du traité FUE, compte tenu des caractéristiques spécifiques du secteur agricole, ces dispositions ne devraient pas s’appliquer au soutien relevant du champ d’application de l’article 42 du traité FUE qui est mis en œuvre au titre du présent règlement, du règlement (UE) nº 202X/XXXX [règlement relatif à la PAC] ou du règlement (UE) nº 1308/2012, et conformément à ceux-ci, ainsi qu’au financement national supplémentaire de ces intervention</w:t>
      </w:r>
      <w:r w:rsidR="005538BE" w:rsidRPr="00D207EA">
        <w:rPr>
          <w:rStyle w:val="normaltextrun"/>
          <w:noProof/>
          <w:color w:val="000000" w:themeColor="text1"/>
        </w:rPr>
        <w:t>s</w:t>
      </w:r>
      <w:r w:rsidR="005538BE" w:rsidRPr="00D207EA">
        <w:rPr>
          <w:rStyle w:val="normaltextrun"/>
          <w:noProof/>
          <w:color w:val="000000"/>
          <w:shd w:val="clear" w:color="auto" w:fill="FFFFFF"/>
        </w:rPr>
        <w:t xml:space="preserve"> lorsque le soutien de l’Union relève du champ d’application de l’article 42 du traité FUE. </w:t>
      </w:r>
      <w:r w:rsidR="005538BE" w:rsidRPr="00D207EA">
        <w:rPr>
          <w:noProof/>
          <w:shd w:val="clear" w:color="auto" w:fill="FFFFFF"/>
        </w:rPr>
        <w:t>Pour les produits de la pêche et de l’aquaculture énumérés à l’annexe I du traité FUE auxquels les articles 107, 108 et 109 dudit traité s’appliquent, la Commission peut autoriser, conformément à l’article 108 du traité FUE, dans les régions ultrapériphériques visées à l’article 349 dudit traité, des aides au fonctionnement dans les secteurs de la production, de la transformation et de la commercialisation des produits de la pêche et de l’aquaculture, visant à alléger les contraintes spécifiques à ces régions liées à leur isolement, à leur insularité ou à leur éloignement.</w:t>
      </w:r>
    </w:p>
    <w:p w14:paraId="214E7C07" w14:textId="4DCF4869" w:rsidR="00186A9E" w:rsidRPr="00D207EA" w:rsidRDefault="008D666E" w:rsidP="008D666E">
      <w:pPr>
        <w:pStyle w:val="ManualConsidrant"/>
        <w:rPr>
          <w:rStyle w:val="normaltextrun"/>
          <w:rFonts w:eastAsia="Times New Roman"/>
          <w:noProof/>
          <w:color w:val="000000"/>
          <w:shd w:val="clear" w:color="auto" w:fill="FFFFFF"/>
        </w:rPr>
      </w:pPr>
      <w:r w:rsidRPr="008D666E">
        <w:rPr>
          <w:rStyle w:val="normaltextrun"/>
          <w:noProof/>
        </w:rPr>
        <w:t>(60)</w:t>
      </w:r>
      <w:r w:rsidRPr="008D666E">
        <w:rPr>
          <w:rStyle w:val="normaltextrun"/>
          <w:noProof/>
        </w:rPr>
        <w:tab/>
      </w:r>
      <w:r w:rsidR="00C63D0B" w:rsidRPr="00D207EA">
        <w:rPr>
          <w:rStyle w:val="normaltextrun"/>
          <w:noProof/>
          <w:color w:val="000000"/>
          <w:shd w:val="clear" w:color="auto" w:fill="FFFFFF"/>
        </w:rPr>
        <w:t>Les dispositions du règlement (UE, Euratom) 2024/2509 sur la gestion partagée devraient être adaptées au modèle de mise en œuvre du présent règlement. À cette fin, il est nécessaire de permettre la présentation d’informations relatives à l’état d’avancement de la mise en œuvre et d’adapter en conséquence le contenu de la déclaration de gestion et de l’avis d’audit.</w:t>
      </w:r>
    </w:p>
    <w:p w14:paraId="5AF8E365" w14:textId="6D82CBBF" w:rsidR="00611F80" w:rsidRPr="00D207EA" w:rsidRDefault="008D666E" w:rsidP="008D666E">
      <w:pPr>
        <w:pStyle w:val="ManualConsidrant"/>
        <w:rPr>
          <w:noProof/>
        </w:rPr>
      </w:pPr>
      <w:r w:rsidRPr="008D666E">
        <w:rPr>
          <w:noProof/>
        </w:rPr>
        <w:t>(61)</w:t>
      </w:r>
      <w:r w:rsidRPr="008D666E">
        <w:rPr>
          <w:noProof/>
        </w:rPr>
        <w:tab/>
      </w:r>
      <w:r w:rsidR="00611F80" w:rsidRPr="00D207EA">
        <w:rPr>
          <w:noProof/>
        </w:rPr>
        <w:t>Afin de compléter ou de modifier certains éléments non essentiels du présent règlement, il convient de déléguer à la Commission le pouvoir d’adopter des actes conformément à l’article 290 du traité FUE en ce qui concerne les articles relatifs au soutien pour les produits locaux de l’agriculture, de la pêche et de l’aquaculture, à la communication des irrégularités, au calcul des sanctions pour la gérance, à la collecte et à l’enregistrement des données, au SIGC, ainsi que les annexes relatives au respect des valeurs intermédiaires et des valeurs cibles, à l’avancement de la mise en œuvre, aux actions de l’Union, aux corrections financières, au programme à destination des écoles de l’Union, aux interventions au titre de la PAC et à la coopération dans le cadre de la PAC. Il importe particulièrement que la Commission procède aux consultations appropriées durant son travail préparatoire, y compris au niveau des experts, et que ces consultations soient menées conformément aux principes définis dans l’accord interinstitutionnel du 13 avril 2016 «Mieux légiférer»</w:t>
      </w:r>
      <w:r w:rsidR="008726A1" w:rsidRPr="00D207EA">
        <w:rPr>
          <w:rStyle w:val="FootnoteReference"/>
          <w:noProof/>
        </w:rPr>
        <w:footnoteReference w:id="14"/>
      </w:r>
      <w:r w:rsidR="00611F80" w:rsidRPr="00D207EA">
        <w:rPr>
          <w:noProof/>
        </w:rPr>
        <w:t>. En particulier, pour assurer leur égale participation à la préparation des actes délégués, le Parlement européen et le Conseil reçoivent tous les documents au même moment que les experts des États membres, et leurs experts ont systématiquement accès aux réunions des groupes d’experts de la Commission traitant de la préparation des actes délégués.</w:t>
      </w:r>
    </w:p>
    <w:p w14:paraId="19388524" w14:textId="6F88C88D" w:rsidR="004A3954" w:rsidRPr="00D207EA" w:rsidRDefault="008D666E" w:rsidP="008D666E">
      <w:pPr>
        <w:pStyle w:val="ManualConsidrant"/>
        <w:rPr>
          <w:noProof/>
        </w:rPr>
      </w:pPr>
      <w:r w:rsidRPr="008D666E">
        <w:rPr>
          <w:noProof/>
        </w:rPr>
        <w:t>(62)</w:t>
      </w:r>
      <w:r w:rsidRPr="008D666E">
        <w:rPr>
          <w:noProof/>
        </w:rPr>
        <w:tab/>
      </w:r>
      <w:r w:rsidR="008F03A9" w:rsidRPr="00D207EA">
        <w:rPr>
          <w:noProof/>
        </w:rPr>
        <w:t>Afin d’assurer des conditions uniformes pour la mise en œuvre du plan PNR en ce qui concerne [la liste des actions de l’Union, les pratiques agricoles, la réduction des coefficients pour les oléagineux], il convient de conférer des compétences d’exécution à la Commission. Ces compétences devraient être exercées conformément au règlement (UE) nº 182/2011 du Parlement européen et du Conseil</w:t>
      </w:r>
      <w:r w:rsidR="004A3954" w:rsidRPr="00D207EA">
        <w:rPr>
          <w:rStyle w:val="FootnoteReference"/>
          <w:noProof/>
        </w:rPr>
        <w:footnoteReference w:id="15"/>
      </w:r>
      <w:r w:rsidR="008F03A9" w:rsidRPr="00D207EA">
        <w:rPr>
          <w:noProof/>
        </w:rPr>
        <w:t>.</w:t>
      </w:r>
    </w:p>
    <w:p w14:paraId="28587BB0" w14:textId="367632D4" w:rsidR="008F03A9" w:rsidRPr="00D207EA" w:rsidRDefault="008D666E" w:rsidP="008D666E">
      <w:pPr>
        <w:pStyle w:val="ManualConsidrant"/>
        <w:rPr>
          <w:noProof/>
        </w:rPr>
      </w:pPr>
      <w:r w:rsidRPr="008D666E">
        <w:rPr>
          <w:noProof/>
        </w:rPr>
        <w:t>(63)</w:t>
      </w:r>
      <w:r w:rsidRPr="008D666E">
        <w:rPr>
          <w:noProof/>
        </w:rPr>
        <w:tab/>
      </w:r>
      <w:r w:rsidR="004A3954" w:rsidRPr="00D207EA">
        <w:rPr>
          <w:noProof/>
        </w:rPr>
        <w:t>Il convient d’avoir recours à la procédure consultative pour l’adoption du plan Interreg. Il convient que la procédure d’examen soit utilisée pour l’adoption des actes d’exécution relatifs à la fixation</w:t>
      </w:r>
      <w:r w:rsidR="004A3954" w:rsidRPr="00D207EA">
        <w:rPr>
          <w:i/>
          <w:noProof/>
        </w:rPr>
        <w:t xml:space="preserve"> </w:t>
      </w:r>
      <w:r w:rsidR="004A3954" w:rsidRPr="00D207EA">
        <w:rPr>
          <w:noProof/>
        </w:rPr>
        <w:t>de la surface de référence indicative concernant le soutien pour chaque État membre en ce qui concerne les oléagineux et au système intégré de gestion et de contrôle.</w:t>
      </w:r>
    </w:p>
    <w:p w14:paraId="658DDEF5" w14:textId="57356525" w:rsidR="0091293D" w:rsidRPr="00D207EA" w:rsidRDefault="008D666E" w:rsidP="008D666E">
      <w:pPr>
        <w:pStyle w:val="ManualConsidrant"/>
        <w:rPr>
          <w:noProof/>
        </w:rPr>
      </w:pPr>
      <w:r w:rsidRPr="008D666E">
        <w:rPr>
          <w:noProof/>
        </w:rPr>
        <w:t>(64)</w:t>
      </w:r>
      <w:r w:rsidRPr="008D666E">
        <w:rPr>
          <w:noProof/>
        </w:rPr>
        <w:tab/>
      </w:r>
      <w:r w:rsidR="003B0AD1" w:rsidRPr="00D207EA">
        <w:rPr>
          <w:noProof/>
        </w:rPr>
        <w:t>Étant donné que les actes applicables à la période de programmation 2021-2027 devraient continuer à s’appliquer aux programmes et opérations soutenus par les fonds relevant de la période de programmation 2021-2027 et que la période de mise en œuvre dudit règlement devrait s’étendre à la période de programmation couverte par le présent règlement, et afin d’assurer la continuité de la mise en œuvre de certaines opérations approuvées par ledit règlement, il convient d’établir des dispositions en matière d’échelonnement. Chacune des différentes phases d’une opération échelonnée, qui ont le même objectif global, devrait être mise en œuvre conformément aux règles régissant la période de programmation pendant laquelle elle reçoit un financement, l’autorité de gestion pouvant procéder à la sélection de la seconde phase sur la base de la procédure de sélection menée au titre de la période de programmation 2021-2027 pour l’opération concernée, pour autant qu’elle s’assure que les conditions prévues dans le présent règlement pour une mise en œuvre échelonnée soient respectées.</w:t>
      </w:r>
    </w:p>
    <w:p w14:paraId="0EAF5CE9" w14:textId="1AE4D112" w:rsidR="001E5EAE" w:rsidRPr="00D207EA" w:rsidRDefault="008D666E" w:rsidP="008D666E">
      <w:pPr>
        <w:pStyle w:val="ManualConsidrant"/>
        <w:rPr>
          <w:noProof/>
        </w:rPr>
      </w:pPr>
      <w:r w:rsidRPr="008D666E">
        <w:rPr>
          <w:noProof/>
        </w:rPr>
        <w:t>(65)</w:t>
      </w:r>
      <w:r w:rsidRPr="008D666E">
        <w:rPr>
          <w:noProof/>
        </w:rPr>
        <w:tab/>
      </w:r>
      <w:r w:rsidR="00D72E1F" w:rsidRPr="00D207EA">
        <w:rPr>
          <w:noProof/>
        </w:rPr>
        <w:t xml:space="preserve">Compte tenu de la nécessité de mettre en œuvre les fonds de l’Union couverts par le présent règlement d’une manière coordonnée et harmonisée, et afin d’en permettre la mise en œuvre rapide, il devrait entrer en vigueur le jour suivant celui de sa publication au </w:t>
      </w:r>
      <w:r w:rsidR="00D72E1F" w:rsidRPr="00D207EA">
        <w:rPr>
          <w:i/>
          <w:noProof/>
        </w:rPr>
        <w:t>Journal officiel de l’Union européenne</w:t>
      </w:r>
      <w:r w:rsidR="00D72E1F" w:rsidRPr="00D207EA">
        <w:rPr>
          <w:noProof/>
        </w:rPr>
        <w:t>,</w:t>
      </w:r>
    </w:p>
    <w:p w14:paraId="788C0C71" w14:textId="77777777" w:rsidR="00186A9E" w:rsidRPr="00D207EA" w:rsidRDefault="00186A9E">
      <w:pPr>
        <w:pStyle w:val="Formuledadoption"/>
        <w:rPr>
          <w:noProof/>
        </w:rPr>
      </w:pPr>
      <w:r w:rsidRPr="00D207EA">
        <w:rPr>
          <w:noProof/>
        </w:rPr>
        <w:t>ONT ADOPTÉ LE PRÉSENT RÈGLEMENT:</w:t>
      </w:r>
    </w:p>
    <w:p w14:paraId="2FC634ED" w14:textId="77777777" w:rsidR="00C63D0B" w:rsidRPr="00D207EA" w:rsidRDefault="00EA62B1" w:rsidP="000A7C53">
      <w:pPr>
        <w:pStyle w:val="SectionTitle"/>
        <w:spacing w:after="120"/>
        <w:rPr>
          <w:noProof/>
        </w:rPr>
      </w:pPr>
      <w:r w:rsidRPr="00D207EA">
        <w:rPr>
          <w:noProof/>
        </w:rPr>
        <w:t>TITRE I</w:t>
      </w:r>
      <w:r w:rsidRPr="00D207EA">
        <w:rPr>
          <w:noProof/>
        </w:rPr>
        <w:br/>
        <w:t>DISPOSITIONS GÉNÉRALES</w:t>
      </w:r>
    </w:p>
    <w:p w14:paraId="61E934E6" w14:textId="77777777" w:rsidR="002C22F4" w:rsidRPr="00D207EA" w:rsidRDefault="002C22F4" w:rsidP="002C22F4">
      <w:pPr>
        <w:pStyle w:val="Titrearticle"/>
        <w:rPr>
          <w:b/>
          <w:bCs/>
          <w:noProof/>
        </w:rPr>
      </w:pPr>
      <w:r w:rsidRPr="00D207EA">
        <w:rPr>
          <w:noProof/>
        </w:rPr>
        <w:t>Article premier</w:t>
      </w:r>
      <w:r w:rsidRPr="00D207EA">
        <w:rPr>
          <w:noProof/>
        </w:rPr>
        <w:br/>
      </w:r>
      <w:r w:rsidRPr="00D207EA">
        <w:rPr>
          <w:b/>
          <w:noProof/>
        </w:rPr>
        <w:t>Objet</w:t>
      </w:r>
    </w:p>
    <w:p w14:paraId="4A9F3C5D" w14:textId="756E133C" w:rsidR="00A50362" w:rsidRPr="00D207EA" w:rsidRDefault="008D666E" w:rsidP="008D666E">
      <w:pPr>
        <w:pStyle w:val="ManualNumPar1"/>
        <w:rPr>
          <w:noProof/>
        </w:rPr>
      </w:pPr>
      <w:r w:rsidRPr="008D666E">
        <w:rPr>
          <w:noProof/>
        </w:rPr>
        <w:t>1.</w:t>
      </w:r>
      <w:r w:rsidRPr="008D666E">
        <w:rPr>
          <w:noProof/>
        </w:rPr>
        <w:tab/>
      </w:r>
      <w:r w:rsidR="00A50362" w:rsidRPr="00D207EA">
        <w:rPr>
          <w:noProof/>
        </w:rPr>
        <w:t>Le présent règlement établit le Fonds européen pour la cohésion économique, sociale et territoriale, l’agriculture et la prospérité et la sécurité dans le secteur rural, maritime et de la pêche (le «Fonds»). Il fixe les règles concernant:</w:t>
      </w:r>
    </w:p>
    <w:p w14:paraId="59DB8956" w14:textId="61863A0E" w:rsidR="00A50362" w:rsidRPr="00D207EA" w:rsidRDefault="008D666E" w:rsidP="008D666E">
      <w:pPr>
        <w:pStyle w:val="Point10"/>
        <w:rPr>
          <w:noProof/>
        </w:rPr>
      </w:pPr>
      <w:r w:rsidRPr="008D666E">
        <w:rPr>
          <w:noProof/>
        </w:rPr>
        <w:t>(a)</w:t>
      </w:r>
      <w:r w:rsidRPr="008D666E">
        <w:rPr>
          <w:noProof/>
        </w:rPr>
        <w:tab/>
      </w:r>
      <w:r w:rsidR="000D0314" w:rsidRPr="00D207EA">
        <w:rPr>
          <w:noProof/>
        </w:rPr>
        <w:t xml:space="preserve">les tâches, les objectifs prioritaires, l’organisation et le regroupement dans le cadre du Fonds: </w:t>
      </w:r>
    </w:p>
    <w:p w14:paraId="56308201" w14:textId="77777777" w:rsidR="00FE5DBB" w:rsidRPr="00D207EA" w:rsidRDefault="00A50362" w:rsidP="00AF7FE3">
      <w:pPr>
        <w:pStyle w:val="Point2n"/>
        <w:ind w:hanging="219"/>
        <w:jc w:val="both"/>
        <w:rPr>
          <w:noProof/>
        </w:rPr>
      </w:pPr>
      <w:r w:rsidRPr="00D207EA">
        <w:rPr>
          <w:noProof/>
        </w:rPr>
        <w:t>des Fonds structurels et du Fonds de cohésion;</w:t>
      </w:r>
    </w:p>
    <w:p w14:paraId="1DF8516F" w14:textId="77777777" w:rsidR="000E759A" w:rsidRPr="00D207EA" w:rsidRDefault="00A50362" w:rsidP="00AF7FE3">
      <w:pPr>
        <w:pStyle w:val="Point2n"/>
        <w:ind w:hanging="219"/>
        <w:jc w:val="both"/>
        <w:rPr>
          <w:noProof/>
        </w:rPr>
      </w:pPr>
      <w:r w:rsidRPr="00D207EA">
        <w:rPr>
          <w:noProof/>
        </w:rPr>
        <w:t>des instruments de la politique agricole commune (PAC);</w:t>
      </w:r>
    </w:p>
    <w:p w14:paraId="5A58C678" w14:textId="77777777" w:rsidR="00E00324" w:rsidRPr="00D207EA" w:rsidRDefault="000E759A" w:rsidP="00AF7FE3">
      <w:pPr>
        <w:pStyle w:val="Point2n"/>
        <w:ind w:hanging="219"/>
        <w:jc w:val="both"/>
        <w:rPr>
          <w:noProof/>
        </w:rPr>
      </w:pPr>
      <w:r w:rsidRPr="00D207EA">
        <w:rPr>
          <w:noProof/>
        </w:rPr>
        <w:t>des instruments de la politique commune de la pêche;</w:t>
      </w:r>
    </w:p>
    <w:p w14:paraId="1AC2DDCF" w14:textId="77777777" w:rsidR="00E00324" w:rsidRPr="00D207EA" w:rsidRDefault="00DB605F" w:rsidP="00AF7FE3">
      <w:pPr>
        <w:pStyle w:val="Point2n"/>
        <w:ind w:hanging="219"/>
        <w:jc w:val="both"/>
        <w:rPr>
          <w:noProof/>
        </w:rPr>
      </w:pPr>
      <w:r w:rsidRPr="00D207EA">
        <w:rPr>
          <w:noProof/>
        </w:rPr>
        <w:t>des instruments financés à partir de la mise aux enchères des quotas dans le cadre d’un système d’échange de quotas d’émission établi en vertu de la directive 2003/87/CE afin de tenir compte des conséquences sociales de l’introduction d’un tel système dans les secteurs du bâtiment et du transport routier pour les ménages vulnérables, les microentreprises vulnérables et les usagers vulnérables des transports;</w:t>
      </w:r>
    </w:p>
    <w:p w14:paraId="40C41D79" w14:textId="77777777" w:rsidR="00A50362" w:rsidRPr="00D207EA" w:rsidRDefault="00A50362" w:rsidP="00BF4E25">
      <w:pPr>
        <w:pStyle w:val="Point2n"/>
        <w:ind w:hanging="219"/>
        <w:rPr>
          <w:noProof/>
        </w:rPr>
      </w:pPr>
      <w:r w:rsidRPr="00D207EA">
        <w:rPr>
          <w:noProof/>
        </w:rPr>
        <w:t>du soutien aux capacités de sécurité et de défense;</w:t>
      </w:r>
    </w:p>
    <w:p w14:paraId="3EAB8B8A" w14:textId="54B5E7B0" w:rsidR="00A50362" w:rsidRPr="00D207EA" w:rsidRDefault="008D666E" w:rsidP="008D666E">
      <w:pPr>
        <w:pStyle w:val="Point10"/>
        <w:rPr>
          <w:noProof/>
        </w:rPr>
      </w:pPr>
      <w:r w:rsidRPr="008D666E">
        <w:rPr>
          <w:noProof/>
        </w:rPr>
        <w:t>(b)</w:t>
      </w:r>
      <w:r w:rsidRPr="008D666E">
        <w:rPr>
          <w:noProof/>
        </w:rPr>
        <w:tab/>
      </w:r>
      <w:r w:rsidR="00A50362" w:rsidRPr="00D207EA">
        <w:rPr>
          <w:noProof/>
        </w:rPr>
        <w:t>des règles financières pour le soutien de l’Union à mettre en œuvre au moyen des plans de partenariat national et régional (les «plans PNR»), du plan Interreg tel que défini dans le règlement XX [développement régional, chapitre II sur le plan Interreg] (le «plan Interreg») et de la Facilité de l’UE (la «Facilité»);</w:t>
      </w:r>
    </w:p>
    <w:p w14:paraId="56150C24" w14:textId="7EB0839C" w:rsidR="00A50362" w:rsidRPr="00D207EA" w:rsidRDefault="008D666E" w:rsidP="008D666E">
      <w:pPr>
        <w:pStyle w:val="Point10"/>
        <w:rPr>
          <w:noProof/>
        </w:rPr>
      </w:pPr>
      <w:r w:rsidRPr="008D666E">
        <w:rPr>
          <w:noProof/>
        </w:rPr>
        <w:t>(c)</w:t>
      </w:r>
      <w:r w:rsidRPr="008D666E">
        <w:rPr>
          <w:noProof/>
        </w:rPr>
        <w:tab/>
      </w:r>
      <w:r w:rsidR="00CB6E65" w:rsidRPr="00D207EA">
        <w:rPr>
          <w:noProof/>
        </w:rPr>
        <w:t>des ressources financières pour la période allant du 1</w:t>
      </w:r>
      <w:r w:rsidR="00CB6E65" w:rsidRPr="00D207EA">
        <w:rPr>
          <w:noProof/>
          <w:vertAlign w:val="superscript"/>
        </w:rPr>
        <w:t>er</w:t>
      </w:r>
      <w:r w:rsidR="00CB6E65" w:rsidRPr="00D207EA">
        <w:rPr>
          <w:noProof/>
        </w:rPr>
        <w:t> janvier 2028 au 31 décembre 2034.</w:t>
      </w:r>
    </w:p>
    <w:p w14:paraId="007FA736" w14:textId="5BAFB49B" w:rsidR="499C6D4C" w:rsidRPr="00D207EA" w:rsidRDefault="008D666E" w:rsidP="008D666E">
      <w:pPr>
        <w:pStyle w:val="ManualNumPar1"/>
        <w:rPr>
          <w:noProof/>
        </w:rPr>
      </w:pPr>
      <w:r w:rsidRPr="008D666E">
        <w:rPr>
          <w:noProof/>
        </w:rPr>
        <w:t>2.</w:t>
      </w:r>
      <w:r w:rsidRPr="008D666E">
        <w:rPr>
          <w:noProof/>
        </w:rPr>
        <w:tab/>
      </w:r>
      <w:r w:rsidR="4FE46E22" w:rsidRPr="00D207EA">
        <w:rPr>
          <w:noProof/>
        </w:rPr>
        <w:t xml:space="preserve">Les règlements énumérés ci-dessous peuvent définir des conditions spécifiques visant à compléter le présent règlement qui ne doivent pas entrer en contradiction avec celui-ci: </w:t>
      </w:r>
    </w:p>
    <w:p w14:paraId="3C3E65D6" w14:textId="41E72628" w:rsidR="00CC0586" w:rsidRPr="00D207EA" w:rsidRDefault="008D666E" w:rsidP="008D666E">
      <w:pPr>
        <w:pStyle w:val="Point2"/>
        <w:rPr>
          <w:noProof/>
        </w:rPr>
      </w:pPr>
      <w:r w:rsidRPr="008D666E">
        <w:rPr>
          <w:noProof/>
        </w:rPr>
        <w:t>(a)</w:t>
      </w:r>
      <w:r w:rsidRPr="008D666E">
        <w:rPr>
          <w:noProof/>
        </w:rPr>
        <w:tab/>
      </w:r>
      <w:r w:rsidR="00CC0586" w:rsidRPr="00D207EA">
        <w:rPr>
          <w:noProof/>
        </w:rPr>
        <w:t>Règlement XX [établissant le Fonds européen de développement régional, y compris en faveur de la coopération territoriale européenne (Interreg), et le Fonds de cohésion dans le cadre du Fonds établi par le règlement (UE) [...] [PNR], et établissant les conditions de mise en œuvre du soutien de l’Union au développement régional pour la période 2028-2034];</w:t>
      </w:r>
    </w:p>
    <w:p w14:paraId="40D58475" w14:textId="0AFA5DA4" w:rsidR="00CC0586" w:rsidRPr="00D207EA" w:rsidRDefault="008D666E" w:rsidP="008D666E">
      <w:pPr>
        <w:pStyle w:val="Point2"/>
        <w:rPr>
          <w:noProof/>
        </w:rPr>
      </w:pPr>
      <w:r w:rsidRPr="008D666E">
        <w:rPr>
          <w:noProof/>
        </w:rPr>
        <w:t>(b)</w:t>
      </w:r>
      <w:r w:rsidRPr="008D666E">
        <w:rPr>
          <w:noProof/>
        </w:rPr>
        <w:tab/>
      </w:r>
      <w:r w:rsidR="00CC0586" w:rsidRPr="00D207EA">
        <w:rPr>
          <w:noProof/>
        </w:rPr>
        <w:t>Règlement XX [établissant le Fonds social européen dans le cadre du Fonds établi par le règlement (UE) […] [PNR] et établissant les conditions de mise en œuvre du soutien de l’Union à des emplois de qualité, aux compétences et à l’inclusion sociale pour la période allant de 2028 à 2034];</w:t>
      </w:r>
    </w:p>
    <w:p w14:paraId="5A4746E8" w14:textId="21927760" w:rsidR="00CC0586" w:rsidRPr="00D207EA" w:rsidRDefault="008D666E" w:rsidP="008D666E">
      <w:pPr>
        <w:pStyle w:val="Point2"/>
        <w:rPr>
          <w:noProof/>
        </w:rPr>
      </w:pPr>
      <w:r w:rsidRPr="008D666E">
        <w:rPr>
          <w:noProof/>
        </w:rPr>
        <w:t>(c)</w:t>
      </w:r>
      <w:r w:rsidRPr="008D666E">
        <w:rPr>
          <w:noProof/>
        </w:rPr>
        <w:tab/>
      </w:r>
      <w:r w:rsidR="00CC0586" w:rsidRPr="00D207EA">
        <w:rPr>
          <w:noProof/>
        </w:rPr>
        <w:t>Règlement XX [portant création de la politique agricole commune dans le cadre du Fonds défini dans le règlement (UE) [...] [PNR] et fixant les conditions de mise en œuvre du soutien de l’Union pour la mise en œuvre de la politique agricole commune (PAC) de l’Union conformément à la Partie III, titre III, du traité FUE, en assurant un niveau de vie équitable à la population agricole et la disponibilité de denrées alimentaires, en augmentant la productivité agricole, en stabilisant les marchés et en soutenant la sécurité alimentaire à long terme, de 2028 à 2034];</w:t>
      </w:r>
    </w:p>
    <w:p w14:paraId="7B781A47" w14:textId="7FF62911" w:rsidR="00CC0586" w:rsidRPr="00D207EA" w:rsidRDefault="008D666E" w:rsidP="008D666E">
      <w:pPr>
        <w:pStyle w:val="Point2"/>
        <w:rPr>
          <w:noProof/>
        </w:rPr>
      </w:pPr>
      <w:r w:rsidRPr="008D666E">
        <w:rPr>
          <w:noProof/>
        </w:rPr>
        <w:t>(d)</w:t>
      </w:r>
      <w:r w:rsidRPr="008D666E">
        <w:rPr>
          <w:noProof/>
        </w:rPr>
        <w:tab/>
      </w:r>
      <w:r w:rsidR="00CC0586" w:rsidRPr="00D207EA">
        <w:rPr>
          <w:noProof/>
        </w:rPr>
        <w:t>Règlement XX [portant création de la politique commune de la pêche et de la politique maritime de l’Union dans le cadre du Fonds défini dans le règlement (UE) [...] [PNR] et établissant les conditions de mise en œuvre de .......... de 2028 à 2034];</w:t>
      </w:r>
    </w:p>
    <w:p w14:paraId="49951A7E" w14:textId="702CC107" w:rsidR="00B45298" w:rsidRPr="00D207EA" w:rsidRDefault="008D666E" w:rsidP="008D666E">
      <w:pPr>
        <w:pStyle w:val="Point2"/>
        <w:rPr>
          <w:noProof/>
        </w:rPr>
      </w:pPr>
      <w:r w:rsidRPr="008D666E">
        <w:rPr>
          <w:noProof/>
        </w:rPr>
        <w:t>(e)</w:t>
      </w:r>
      <w:r w:rsidRPr="008D666E">
        <w:rPr>
          <w:noProof/>
        </w:rPr>
        <w:tab/>
      </w:r>
      <w:r w:rsidR="00B45298" w:rsidRPr="00D207EA">
        <w:rPr>
          <w:noProof/>
        </w:rPr>
        <w:t>Règlement (UE) [...] établissant le soutien de l’Union pour l’asile, la migration et l’intégration pour la période allant de 2028 à 2034;</w:t>
      </w:r>
    </w:p>
    <w:p w14:paraId="7826219F" w14:textId="5390AC3F" w:rsidR="00B45298" w:rsidRPr="00D207EA" w:rsidRDefault="008D666E" w:rsidP="008D666E">
      <w:pPr>
        <w:pStyle w:val="Point2"/>
        <w:rPr>
          <w:noProof/>
        </w:rPr>
      </w:pPr>
      <w:r w:rsidRPr="008D666E">
        <w:rPr>
          <w:noProof/>
        </w:rPr>
        <w:t>(f)</w:t>
      </w:r>
      <w:r w:rsidRPr="008D666E">
        <w:rPr>
          <w:noProof/>
        </w:rPr>
        <w:tab/>
      </w:r>
      <w:r w:rsidR="00B45298" w:rsidRPr="00D207EA">
        <w:rPr>
          <w:noProof/>
        </w:rPr>
        <w:t>Règlement (UE) [...] établissant le soutien de l’Union pour la zone Schengen, la gestion européenne intégrée des frontières et la politique commune en matière de visas pour la période allant de 2028 à 2034;</w:t>
      </w:r>
    </w:p>
    <w:p w14:paraId="69E4C666" w14:textId="6D724367" w:rsidR="001A25D8" w:rsidRPr="00D207EA" w:rsidRDefault="008D666E" w:rsidP="008D666E">
      <w:pPr>
        <w:pStyle w:val="Point2"/>
        <w:rPr>
          <w:noProof/>
        </w:rPr>
      </w:pPr>
      <w:r w:rsidRPr="008D666E">
        <w:rPr>
          <w:noProof/>
        </w:rPr>
        <w:t>(g)</w:t>
      </w:r>
      <w:r w:rsidRPr="008D666E">
        <w:rPr>
          <w:noProof/>
        </w:rPr>
        <w:tab/>
      </w:r>
      <w:r w:rsidR="00B45298" w:rsidRPr="00D207EA">
        <w:rPr>
          <w:noProof/>
        </w:rPr>
        <w:t>Règlement (UE) [...] établissant le soutien de l’Union pour la sécurité intérieure pour la période allant de 2028 à 2034;</w:t>
      </w:r>
    </w:p>
    <w:p w14:paraId="089C17CA" w14:textId="51D181ED" w:rsidR="001A25D8" w:rsidRPr="00D207EA" w:rsidRDefault="008D666E" w:rsidP="008D666E">
      <w:pPr>
        <w:pStyle w:val="Point2"/>
        <w:rPr>
          <w:noProof/>
        </w:rPr>
      </w:pPr>
      <w:r w:rsidRPr="008D666E">
        <w:rPr>
          <w:noProof/>
        </w:rPr>
        <w:t>(h)</w:t>
      </w:r>
      <w:r w:rsidRPr="008D666E">
        <w:rPr>
          <w:noProof/>
        </w:rPr>
        <w:tab/>
      </w:r>
      <w:r w:rsidR="001A25D8" w:rsidRPr="00D207EA">
        <w:rPr>
          <w:noProof/>
        </w:rPr>
        <w:t>Règlement (UE) 202X/XXXX modifiant le règlement (UE) nº 1308/2013</w:t>
      </w:r>
      <w:r w:rsidR="00F92249" w:rsidRPr="00D207EA">
        <w:rPr>
          <w:rStyle w:val="FootnoteReference"/>
          <w:noProof/>
        </w:rPr>
        <w:footnoteReference w:id="16"/>
      </w:r>
      <w:r w:rsidR="001A25D8" w:rsidRPr="00D207EA">
        <w:rPr>
          <w:noProof/>
        </w:rPr>
        <w:t xml:space="preserve"> en ce qui concerne le programme en faveur de la consommation de fruits, de légumes et de lait à l’école («programme de l’UE à destination des écoles»), les interventions sectorielles, la création d’un secteur des protéines, les exigences applicables au chanvre, la possibilité d’instaurer des normes de commercialisation applicables au fromage, aux protéagineux et à la viande, l’application de droits additionnels à l’importation, les règles relatives à la disponibilité des approvisionnements en situation d’urgence et de crise grave, et les garanties, dans la mesure où cela est pertinent pour le soutien au titre du présent règlement.</w:t>
      </w:r>
    </w:p>
    <w:p w14:paraId="674966F7" w14:textId="77777777" w:rsidR="499C6D4C" w:rsidRPr="00D207EA" w:rsidRDefault="499C6D4C" w:rsidP="006125B0">
      <w:pPr>
        <w:pStyle w:val="Text1"/>
        <w:rPr>
          <w:noProof/>
        </w:rPr>
      </w:pPr>
      <w:r w:rsidRPr="00D207EA">
        <w:rPr>
          <w:noProof/>
        </w:rPr>
        <w:t>En cas de doute entre l’application du présent règlement et celle des règlements spécifiques aux politiques visées au premier alinéa, le présent règlement prévaut.</w:t>
      </w:r>
    </w:p>
    <w:p w14:paraId="05FFEF9F" w14:textId="77777777" w:rsidR="009418A6" w:rsidRPr="00D207EA" w:rsidRDefault="009418A6" w:rsidP="009418A6">
      <w:pPr>
        <w:pStyle w:val="Titrearticle"/>
        <w:rPr>
          <w:noProof/>
        </w:rPr>
      </w:pPr>
      <w:r w:rsidRPr="00D207EA">
        <w:rPr>
          <w:noProof/>
        </w:rPr>
        <w:t>Article 2</w:t>
      </w:r>
      <w:r w:rsidRPr="00D207EA">
        <w:rPr>
          <w:noProof/>
        </w:rPr>
        <w:br/>
      </w:r>
      <w:r w:rsidRPr="00D207EA">
        <w:rPr>
          <w:b/>
          <w:noProof/>
        </w:rPr>
        <w:t>Objectifs généraux du Fonds</w:t>
      </w:r>
    </w:p>
    <w:p w14:paraId="46984ABA" w14:textId="77777777" w:rsidR="009418A6" w:rsidRPr="00D207EA" w:rsidRDefault="009418A6" w:rsidP="00C21519">
      <w:pPr>
        <w:pStyle w:val="NumPar10000000"/>
        <w:numPr>
          <w:ilvl w:val="0"/>
          <w:numId w:val="75"/>
        </w:numPr>
        <w:rPr>
          <w:noProof/>
        </w:rPr>
      </w:pPr>
      <w:r w:rsidRPr="00D207EA">
        <w:rPr>
          <w:noProof/>
        </w:rPr>
        <w:t>Dans le but général de promouvoir la cohésion économique, sociale et territoriale, le développement durable et la compétitivité de l’Union, sa sécurité et sa préparation, le Fonds soutient les objectifs généraux suivants:</w:t>
      </w:r>
    </w:p>
    <w:p w14:paraId="5B77A29A" w14:textId="0B04CA4C" w:rsidR="009418A6" w:rsidRPr="00D207EA" w:rsidRDefault="008D666E" w:rsidP="008D666E">
      <w:pPr>
        <w:pStyle w:val="Point10"/>
        <w:rPr>
          <w:noProof/>
        </w:rPr>
      </w:pPr>
      <w:r w:rsidRPr="008D666E">
        <w:rPr>
          <w:noProof/>
        </w:rPr>
        <w:t>(a)</w:t>
      </w:r>
      <w:r w:rsidRPr="008D666E">
        <w:rPr>
          <w:noProof/>
        </w:rPr>
        <w:tab/>
      </w:r>
      <w:r w:rsidR="00D72E1F" w:rsidRPr="00D207EA">
        <w:rPr>
          <w:noProof/>
        </w:rPr>
        <w:t>réduire les déséquilibres régionaux dans l’Union et le retard des régions les moins favorisées et promouvoir la coopération territoriale européenne conformément à la Partie III, titre XVIII, du traité FUE, notamment en soutenant des projets dans le domaine de l’environnement et des réseaux transeuropéens dans le domaine des infrastructures de transport conformément à l’article 177, alinéa 2, du traité FUE («Fonds européen de développement régional et Fonds de cohésion»);</w:t>
      </w:r>
    </w:p>
    <w:p w14:paraId="17A5D067" w14:textId="5301E6EC" w:rsidR="009418A6" w:rsidRPr="00D207EA" w:rsidRDefault="008D666E" w:rsidP="008D666E">
      <w:pPr>
        <w:pStyle w:val="Point10"/>
        <w:rPr>
          <w:noProof/>
        </w:rPr>
      </w:pPr>
      <w:r w:rsidRPr="008D666E">
        <w:rPr>
          <w:noProof/>
        </w:rPr>
        <w:t>(b)</w:t>
      </w:r>
      <w:r w:rsidRPr="008D666E">
        <w:rPr>
          <w:noProof/>
        </w:rPr>
        <w:tab/>
      </w:r>
      <w:r w:rsidR="00D72E1F" w:rsidRPr="00D207EA">
        <w:rPr>
          <w:noProof/>
        </w:rPr>
        <w:t>soutenir des emplois de qualité, l’éducation et les compétences ainsi que l’inclusion sociale conformément à la Partie III, titres XI et XVIII, du traité FUE («Fonds social européen») et contribuer à une transition socialement équitable vers la neutralité climatique conformément à l’article 91, paragraphe 1, point d), à l’article 192, paragraphe 1, et à l’article 194, paragraphe 2, du traité FUE;</w:t>
      </w:r>
    </w:p>
    <w:p w14:paraId="4F38CCD1" w14:textId="087386AA" w:rsidR="009418A6" w:rsidRPr="00D207EA" w:rsidRDefault="008D666E" w:rsidP="008D666E">
      <w:pPr>
        <w:pStyle w:val="Point10"/>
        <w:rPr>
          <w:noProof/>
        </w:rPr>
      </w:pPr>
      <w:r w:rsidRPr="008D666E">
        <w:rPr>
          <w:noProof/>
        </w:rPr>
        <w:t>(c)</w:t>
      </w:r>
      <w:r w:rsidRPr="008D666E">
        <w:rPr>
          <w:noProof/>
        </w:rPr>
        <w:tab/>
      </w:r>
      <w:r w:rsidR="001620E7" w:rsidRPr="00D207EA">
        <w:rPr>
          <w:noProof/>
        </w:rPr>
        <w:t xml:space="preserve">soutenir la mise en œuvre de la PAC de l’Union conformément à la Partie III, titre III, du traité FUE;  </w:t>
      </w:r>
    </w:p>
    <w:p w14:paraId="5116601E" w14:textId="711D347D" w:rsidR="46ABF315" w:rsidRPr="00D207EA" w:rsidRDefault="008D666E" w:rsidP="008D666E">
      <w:pPr>
        <w:pStyle w:val="Point10"/>
        <w:rPr>
          <w:noProof/>
        </w:rPr>
      </w:pPr>
      <w:r w:rsidRPr="008D666E">
        <w:rPr>
          <w:noProof/>
        </w:rPr>
        <w:t>(d)</w:t>
      </w:r>
      <w:r w:rsidRPr="008D666E">
        <w:rPr>
          <w:noProof/>
        </w:rPr>
        <w:tab/>
      </w:r>
      <w:r w:rsidR="739DC2F4" w:rsidRPr="00D207EA">
        <w:rPr>
          <w:noProof/>
        </w:rPr>
        <w:t xml:space="preserve">soutenir la mise en œuvre de la politique commune de la pêche de l’Union conformément à la Partie III, titre III, du traité FUE;  </w:t>
      </w:r>
    </w:p>
    <w:p w14:paraId="627231D8" w14:textId="08FD1BB9" w:rsidR="009418A6" w:rsidRPr="00D207EA" w:rsidRDefault="008D666E" w:rsidP="008D666E">
      <w:pPr>
        <w:pStyle w:val="Point10"/>
        <w:rPr>
          <w:noProof/>
        </w:rPr>
      </w:pPr>
      <w:r w:rsidRPr="008D666E">
        <w:rPr>
          <w:noProof/>
        </w:rPr>
        <w:t>(e)</w:t>
      </w:r>
      <w:r w:rsidRPr="008D666E">
        <w:rPr>
          <w:noProof/>
        </w:rPr>
        <w:tab/>
      </w:r>
      <w:r w:rsidR="001620E7" w:rsidRPr="00D207EA">
        <w:rPr>
          <w:noProof/>
        </w:rPr>
        <w:t>protéger et renforcer la démocratie dans l’Union et défendre les valeurs de l’Union conformément à l’article 2 du traité UE.</w:t>
      </w:r>
    </w:p>
    <w:p w14:paraId="51EF083B" w14:textId="77777777" w:rsidR="009418A6" w:rsidRPr="00D207EA" w:rsidRDefault="009418A6" w:rsidP="009418A6">
      <w:pPr>
        <w:pStyle w:val="Titrearticle"/>
        <w:rPr>
          <w:b/>
          <w:bCs/>
          <w:noProof/>
        </w:rPr>
      </w:pPr>
      <w:r w:rsidRPr="00D207EA">
        <w:rPr>
          <w:noProof/>
        </w:rPr>
        <w:t>Article 3</w:t>
      </w:r>
      <w:r w:rsidRPr="00D207EA">
        <w:rPr>
          <w:noProof/>
        </w:rPr>
        <w:br/>
      </w:r>
      <w:r w:rsidRPr="00D207EA">
        <w:rPr>
          <w:b/>
          <w:noProof/>
        </w:rPr>
        <w:t>Objectifs spécifiques du Fonds</w:t>
      </w:r>
    </w:p>
    <w:p w14:paraId="5A1B9453" w14:textId="77777777" w:rsidR="004E1B83" w:rsidRPr="00D207EA" w:rsidRDefault="004E1B83" w:rsidP="00C21519">
      <w:pPr>
        <w:pStyle w:val="NumPar10000000"/>
        <w:numPr>
          <w:ilvl w:val="0"/>
          <w:numId w:val="114"/>
        </w:numPr>
        <w:rPr>
          <w:noProof/>
        </w:rPr>
      </w:pPr>
      <w:r w:rsidRPr="00D207EA">
        <w:rPr>
          <w:noProof/>
        </w:rPr>
        <w:t>Les objectifs généraux visés à l’article 2 sont poursuivis dans toutes les régions en visant les objectifs spécifiques suivants:</w:t>
      </w:r>
    </w:p>
    <w:p w14:paraId="6F162CA2" w14:textId="42B08578" w:rsidR="004E1B83" w:rsidRPr="00D207EA" w:rsidRDefault="008D666E" w:rsidP="008D666E">
      <w:pPr>
        <w:pStyle w:val="Point10"/>
        <w:rPr>
          <w:noProof/>
        </w:rPr>
      </w:pPr>
      <w:r w:rsidRPr="008D666E">
        <w:rPr>
          <w:noProof/>
        </w:rPr>
        <w:t>(a)</w:t>
      </w:r>
      <w:r w:rsidRPr="008D666E">
        <w:rPr>
          <w:noProof/>
        </w:rPr>
        <w:tab/>
      </w:r>
      <w:r w:rsidR="008548B8" w:rsidRPr="00D207EA">
        <w:rPr>
          <w:noProof/>
        </w:rPr>
        <w:t>soutenir la prospérité durable de l’Union dans toutes les régions:</w:t>
      </w:r>
    </w:p>
    <w:p w14:paraId="40BB460D" w14:textId="77777777" w:rsidR="004E1B83" w:rsidRPr="00D207EA" w:rsidRDefault="004E1B83" w:rsidP="00C21519">
      <w:pPr>
        <w:pStyle w:val="Point2n"/>
        <w:numPr>
          <w:ilvl w:val="0"/>
          <w:numId w:val="54"/>
        </w:numPr>
        <w:spacing w:line="240" w:lineRule="auto"/>
        <w:jc w:val="both"/>
        <w:rPr>
          <w:noProof/>
        </w:rPr>
      </w:pPr>
      <w:r w:rsidRPr="00D207EA">
        <w:rPr>
          <w:noProof/>
        </w:rPr>
        <w:t>en favorisant l’attractivité des territoires pour soutenir le «droit de rester», notamment en soutenant les stratégies de développement intégré des zones urbaines et rurales, y compris le soutien aux services et infrastructures territoriaux;</w:t>
      </w:r>
    </w:p>
    <w:p w14:paraId="6B7B3CA8" w14:textId="77777777" w:rsidR="004E1B83" w:rsidRPr="00D207EA" w:rsidRDefault="004E1B83" w:rsidP="00BD329E">
      <w:pPr>
        <w:pStyle w:val="Point2n"/>
        <w:spacing w:line="240" w:lineRule="auto"/>
        <w:jc w:val="both"/>
        <w:rPr>
          <w:noProof/>
        </w:rPr>
      </w:pPr>
      <w:r w:rsidRPr="00D207EA">
        <w:rPr>
          <w:noProof/>
        </w:rPr>
        <w:t xml:space="preserve">en renforçant la base industrielle de l’Union, en améliorant la résilience des chaînes d’approvisionnement et en stimulant une fabrication durable et compétitive, en particulier dans les domaines du «zéro net» et des technologies liées aux matières premières critiques, avec une attention particulière portée à la compétitivité des petites et moyennes entreprises, et </w:t>
      </w:r>
      <w:r w:rsidRPr="00D207EA">
        <w:rPr>
          <w:noProof/>
          <w:u w:val="single"/>
        </w:rPr>
        <w:t>en intégrant pleinement les ambitions en matière d’environnement et de climat afin d’accélérer la transition vers une industrie propre;</w:t>
      </w:r>
      <w:r w:rsidRPr="00D207EA">
        <w:rPr>
          <w:noProof/>
        </w:rPr>
        <w:t xml:space="preserve"> </w:t>
      </w:r>
    </w:p>
    <w:p w14:paraId="71D2F45C" w14:textId="77777777" w:rsidR="004E1B83" w:rsidRPr="00D207EA" w:rsidRDefault="004E1B83" w:rsidP="00BD329E">
      <w:pPr>
        <w:pStyle w:val="Point2n"/>
        <w:spacing w:line="240" w:lineRule="auto"/>
        <w:jc w:val="both"/>
        <w:rPr>
          <w:noProof/>
        </w:rPr>
      </w:pPr>
      <w:r w:rsidRPr="00D207EA">
        <w:rPr>
          <w:noProof/>
        </w:rPr>
        <w:t>en soutenant une transition juste vers les objectifs énergétiques et climatiques de l’Union aux horizons 2030, 2040 et 2050, notamment en donnant la priorité au soutien à la production et aux infrastructures d’énergie propre, en promouvant l’efficacité énergétique et la décarbonation, le stockage et la technologie, en développant des systèmes énergétiques intelligents et des réseaux domestiques de transport et de distribution en tenant également compte du réseau transeuropéen d’énergie (RTE-E) et de la technologie connexe, et en promouvant une économie circulaire, en s’assurant que l’ensemble des territoires et des citoyens peuvent contribuer à la transition propre et en profiter;</w:t>
      </w:r>
    </w:p>
    <w:p w14:paraId="44F56D06" w14:textId="77777777" w:rsidR="004E1B83" w:rsidRPr="00D207EA" w:rsidRDefault="008548B8" w:rsidP="00BD329E">
      <w:pPr>
        <w:pStyle w:val="Point2n"/>
        <w:spacing w:line="240" w:lineRule="auto"/>
        <w:jc w:val="both"/>
        <w:rPr>
          <w:noProof/>
        </w:rPr>
      </w:pPr>
      <w:r w:rsidRPr="00D207EA">
        <w:rPr>
          <w:noProof/>
        </w:rPr>
        <w:t>en soutenant la transition numérique en vue de la réalisation des objectifs de la décennie numérique énoncés dans le programme d’action pour la décennie numérique, contribuant ainsi à la mise en place d’une Union souveraine, sûre et inclusive en matière numérique, et en favorisant le développement et l’utilisation de technologies avancées, y compris une infrastructure et des services numériques sécurisés et fiables, des compétences numériques de base et avancées, des services publics numériques et la connectivité des TIC, tout en cherchant à réduire la fracture numérique;</w:t>
      </w:r>
    </w:p>
    <w:p w14:paraId="166465E9" w14:textId="77777777" w:rsidR="007E0723" w:rsidRPr="00D207EA" w:rsidRDefault="004E1B83" w:rsidP="00BD329E">
      <w:pPr>
        <w:pStyle w:val="Point2n"/>
        <w:spacing w:line="240" w:lineRule="auto"/>
        <w:jc w:val="both"/>
        <w:rPr>
          <w:noProof/>
        </w:rPr>
      </w:pPr>
      <w:r w:rsidRPr="00D207EA">
        <w:rPr>
          <w:noProof/>
        </w:rPr>
        <w:t>en soutenant la recherche, le développement et l’innovation, y compris la diffusion de l’innovation dans toutes les régions;</w:t>
      </w:r>
    </w:p>
    <w:p w14:paraId="24A6503F" w14:textId="77777777" w:rsidR="008548B8" w:rsidRPr="00D207EA" w:rsidRDefault="008548B8" w:rsidP="00BD329E">
      <w:pPr>
        <w:pStyle w:val="Point2n"/>
        <w:spacing w:line="240" w:lineRule="auto"/>
        <w:jc w:val="both"/>
        <w:rPr>
          <w:noProof/>
        </w:rPr>
      </w:pPr>
      <w:r w:rsidRPr="00D207EA">
        <w:rPr>
          <w:noProof/>
        </w:rPr>
        <w:t>en soutenant des mesures, y compris des réformes, visant à promouvoir l’union européenne de l’épargne et des investissements et à favoriser le développement d’options de financement de marché;</w:t>
      </w:r>
    </w:p>
    <w:p w14:paraId="1B6147FF" w14:textId="77777777" w:rsidR="007E0723" w:rsidRPr="00D207EA" w:rsidDel="00C52FD0" w:rsidRDefault="007E0723" w:rsidP="00BD329E">
      <w:pPr>
        <w:pStyle w:val="Point2n"/>
        <w:spacing w:line="240" w:lineRule="auto"/>
        <w:jc w:val="both"/>
        <w:rPr>
          <w:noProof/>
        </w:rPr>
      </w:pPr>
      <w:r w:rsidRPr="00D207EA">
        <w:rPr>
          <w:noProof/>
        </w:rPr>
        <w:t xml:space="preserve">en soutenant le logement social et abordable; </w:t>
      </w:r>
    </w:p>
    <w:p w14:paraId="7E13C392" w14:textId="77777777" w:rsidR="004E1B83" w:rsidRPr="00D207EA" w:rsidRDefault="00C10C5E" w:rsidP="00BD329E">
      <w:pPr>
        <w:pStyle w:val="Point2n"/>
        <w:spacing w:line="240" w:lineRule="auto"/>
        <w:jc w:val="both"/>
        <w:rPr>
          <w:noProof/>
        </w:rPr>
      </w:pPr>
      <w:r w:rsidRPr="00D207EA">
        <w:rPr>
          <w:noProof/>
        </w:rPr>
        <w:t>en améliorant les infrastructures de transport de l’Union et en contribuant à l’achèvement du réseau transeuropéen de transport, en particulier sur le réseau central et le réseau central étendu, tout en décarbonant et en améliorant la connectivité, la sécurité et l’accessibilité pour les zones éloignées, périphériques et moins connectées; en soutenant la transition verte et numérique des transports;</w:t>
      </w:r>
    </w:p>
    <w:p w14:paraId="5742B23F" w14:textId="77777777" w:rsidR="003308B5" w:rsidRPr="00D207EA" w:rsidRDefault="008548B8" w:rsidP="00BD329E">
      <w:pPr>
        <w:pStyle w:val="Point2n"/>
        <w:spacing w:line="240" w:lineRule="auto"/>
        <w:jc w:val="both"/>
        <w:rPr>
          <w:noProof/>
        </w:rPr>
      </w:pPr>
      <w:r w:rsidRPr="00D207EA">
        <w:rPr>
          <w:noProof/>
        </w:rPr>
        <w:t>en soutenant le tourisme, y compris sous l’aspect de la durabilité;</w:t>
      </w:r>
    </w:p>
    <w:p w14:paraId="34BCFE9E" w14:textId="77777777" w:rsidR="00DE480F" w:rsidRPr="00D207EA" w:rsidRDefault="00DE480F" w:rsidP="00BD329E">
      <w:pPr>
        <w:pStyle w:val="Point2n"/>
        <w:spacing w:line="240" w:lineRule="auto"/>
        <w:jc w:val="both"/>
        <w:rPr>
          <w:noProof/>
        </w:rPr>
      </w:pPr>
      <w:r w:rsidRPr="00D207EA">
        <w:rPr>
          <w:noProof/>
        </w:rPr>
        <w:t>en soutenant la gestion efficace de l’eau, la qualité et la résilience dans le domaine de l’eau, la protection de l’environnement, l’adaptation au climat, la résilience climatique et en renforçant la biodiversité, la qualité des sols et les ressources naturelles, en promouvant la circularité, la bioéconomie et une utilisation plus efficace des ressources, en améliorant la prévention et le contrôle de la pollution ainsi que la dépollution, en préservant et en restaurant la nature, ainsi qu’en mettant en avant les solutions du nouveau Bauhaus européen dans l’environnement bâti;</w:t>
      </w:r>
    </w:p>
    <w:p w14:paraId="5180C42C" w14:textId="1ABC3E58" w:rsidR="004E1B83" w:rsidRPr="00D207EA" w:rsidRDefault="008D666E" w:rsidP="008D666E">
      <w:pPr>
        <w:pStyle w:val="Point10"/>
        <w:rPr>
          <w:noProof/>
        </w:rPr>
      </w:pPr>
      <w:r w:rsidRPr="008D666E">
        <w:rPr>
          <w:noProof/>
        </w:rPr>
        <w:t>(b)</w:t>
      </w:r>
      <w:r w:rsidRPr="008D666E">
        <w:rPr>
          <w:noProof/>
        </w:rPr>
        <w:tab/>
      </w:r>
      <w:r w:rsidR="00952512" w:rsidRPr="00D207EA">
        <w:rPr>
          <w:noProof/>
        </w:rPr>
        <w:t>soutenir les capacités de défense et la sécurité de l’Union dans toutes les régions:</w:t>
      </w:r>
    </w:p>
    <w:p w14:paraId="53F29E7B" w14:textId="77777777" w:rsidR="004E1B83" w:rsidRPr="00D207EA" w:rsidRDefault="004E1B83" w:rsidP="00C21519">
      <w:pPr>
        <w:pStyle w:val="Point2n"/>
        <w:numPr>
          <w:ilvl w:val="0"/>
          <w:numId w:val="55"/>
        </w:numPr>
        <w:spacing w:line="240" w:lineRule="auto"/>
        <w:jc w:val="both"/>
        <w:rPr>
          <w:noProof/>
        </w:rPr>
      </w:pPr>
      <w:r w:rsidRPr="00D207EA">
        <w:rPr>
          <w:noProof/>
        </w:rPr>
        <w:t>en renforçant la base industrielle de défense et la mobilité militaire de l’Union, notamment par le développement d’infrastructures RTE-T à double usage;</w:t>
      </w:r>
    </w:p>
    <w:p w14:paraId="1DB6AE00" w14:textId="77777777" w:rsidR="009228C2" w:rsidRPr="00D207EA" w:rsidRDefault="009228C2" w:rsidP="00C21519">
      <w:pPr>
        <w:pStyle w:val="Point2n"/>
        <w:numPr>
          <w:ilvl w:val="0"/>
          <w:numId w:val="55"/>
        </w:numPr>
        <w:spacing w:line="240" w:lineRule="auto"/>
        <w:jc w:val="both"/>
        <w:rPr>
          <w:noProof/>
        </w:rPr>
      </w:pPr>
      <w:r w:rsidRPr="00D207EA">
        <w:rPr>
          <w:noProof/>
        </w:rPr>
        <w:t>en améliorant la préparation de l’Union aux crises et aux catastrophes en prenant systématiquement en compte le principe de «préparation dès la conception»;</w:t>
      </w:r>
    </w:p>
    <w:p w14:paraId="043DFD43" w14:textId="77777777" w:rsidR="00254E38" w:rsidRPr="00D207EA" w:rsidRDefault="00EC7175" w:rsidP="00C21519">
      <w:pPr>
        <w:pStyle w:val="Point2n"/>
        <w:numPr>
          <w:ilvl w:val="0"/>
          <w:numId w:val="55"/>
        </w:numPr>
        <w:spacing w:line="240" w:lineRule="auto"/>
        <w:jc w:val="both"/>
        <w:rPr>
          <w:noProof/>
        </w:rPr>
      </w:pPr>
      <w:r w:rsidRPr="00D207EA">
        <w:rPr>
          <w:rStyle w:val="eop"/>
          <w:noProof/>
        </w:rPr>
        <w:t>en renforçant la sécurité de l’Union par l’amélioration des capacités de détection, de prévention et de réaction aux menaces, notamment le renforcement des infrastructures critiques et de la cybersécurité dans les domaines de l’énergie et des transports;</w:t>
      </w:r>
    </w:p>
    <w:p w14:paraId="59299CD9" w14:textId="77777777" w:rsidR="004E1B83" w:rsidRPr="00D207EA" w:rsidRDefault="004E1B83" w:rsidP="0062308A">
      <w:pPr>
        <w:pStyle w:val="Text2"/>
        <w:rPr>
          <w:noProof/>
        </w:rPr>
      </w:pPr>
      <w:r w:rsidRPr="00D207EA">
        <w:rPr>
          <w:noProof/>
        </w:rPr>
        <w:t xml:space="preserve">d’une manière pleinement conforme aux objectifs fixés: </w:t>
      </w:r>
    </w:p>
    <w:p w14:paraId="2C7322CD" w14:textId="77777777" w:rsidR="004E1B83" w:rsidRPr="00D207EA" w:rsidRDefault="004E1B83" w:rsidP="00C21519">
      <w:pPr>
        <w:pStyle w:val="Bullet3"/>
        <w:numPr>
          <w:ilvl w:val="0"/>
          <w:numId w:val="197"/>
        </w:numPr>
        <w:rPr>
          <w:noProof/>
        </w:rPr>
      </w:pPr>
      <w:r w:rsidRPr="00D207EA">
        <w:rPr>
          <w:noProof/>
        </w:rPr>
        <w:t>dans le règlement (UE) [...] établissant le soutien de l’Union pour l’asile, la migration et l’intégration pour la période allant du 1</w:t>
      </w:r>
      <w:r w:rsidRPr="00D207EA">
        <w:rPr>
          <w:noProof/>
          <w:vertAlign w:val="superscript"/>
        </w:rPr>
        <w:t>er</w:t>
      </w:r>
      <w:r w:rsidRPr="00D207EA">
        <w:rPr>
          <w:noProof/>
        </w:rPr>
        <w:t> janvier 2028 au 31 décembre 2034;</w:t>
      </w:r>
    </w:p>
    <w:p w14:paraId="580AD083" w14:textId="77777777" w:rsidR="004E1B83" w:rsidRPr="00D207EA" w:rsidRDefault="004E1B83" w:rsidP="0054409B">
      <w:pPr>
        <w:pStyle w:val="Bullet3"/>
        <w:rPr>
          <w:noProof/>
        </w:rPr>
      </w:pPr>
      <w:r w:rsidRPr="00D207EA">
        <w:rPr>
          <w:noProof/>
        </w:rPr>
        <w:t>dans le règlement (UE) [...] établissant le soutien de l’Union pour la zone Schengen, la gestion européenne intégrée des frontières et la politique commune en matière de visas pour la période allant du 1</w:t>
      </w:r>
      <w:r w:rsidRPr="00D207EA">
        <w:rPr>
          <w:noProof/>
          <w:vertAlign w:val="superscript"/>
        </w:rPr>
        <w:t>er</w:t>
      </w:r>
      <w:r w:rsidRPr="00D207EA">
        <w:rPr>
          <w:noProof/>
        </w:rPr>
        <w:t> janvier 2028 au 31 décembre 2034;</w:t>
      </w:r>
    </w:p>
    <w:p w14:paraId="31EE1AB7" w14:textId="77777777" w:rsidR="004E1B83" w:rsidRPr="00D207EA" w:rsidRDefault="004E1B83" w:rsidP="0054409B">
      <w:pPr>
        <w:pStyle w:val="Bullet3"/>
        <w:rPr>
          <w:noProof/>
        </w:rPr>
      </w:pPr>
      <w:r w:rsidRPr="00D207EA">
        <w:rPr>
          <w:noProof/>
        </w:rPr>
        <w:t>dans le règlement (UE) [...] établissant le soutien de l’Union pour la sécurité intérieure pour la période allant du 1</w:t>
      </w:r>
      <w:r w:rsidRPr="00D207EA">
        <w:rPr>
          <w:noProof/>
          <w:vertAlign w:val="superscript"/>
        </w:rPr>
        <w:t>er</w:t>
      </w:r>
      <w:r w:rsidRPr="00D207EA">
        <w:rPr>
          <w:noProof/>
        </w:rPr>
        <w:t> janvier 2028 au 31 décembre 2034;</w:t>
      </w:r>
    </w:p>
    <w:p w14:paraId="1683B241" w14:textId="493F4163" w:rsidR="004E1B83" w:rsidRPr="00D207EA" w:rsidRDefault="008D666E" w:rsidP="008D666E">
      <w:pPr>
        <w:pStyle w:val="Point10"/>
        <w:rPr>
          <w:noProof/>
        </w:rPr>
      </w:pPr>
      <w:r w:rsidRPr="008D666E">
        <w:rPr>
          <w:noProof/>
        </w:rPr>
        <w:t>(c)</w:t>
      </w:r>
      <w:r w:rsidRPr="008D666E">
        <w:rPr>
          <w:noProof/>
        </w:rPr>
        <w:tab/>
      </w:r>
      <w:r w:rsidR="00BC7087" w:rsidRPr="00D207EA">
        <w:rPr>
          <w:noProof/>
        </w:rPr>
        <w:t>renforcer la cohésion sociale en soutenant les personnes et en consolidant les sociétés de l’Union et le modèle social de l’Union:</w:t>
      </w:r>
    </w:p>
    <w:p w14:paraId="555A1DEF" w14:textId="77777777" w:rsidR="004E1B83" w:rsidRPr="00D207EA" w:rsidRDefault="004E1B83" w:rsidP="00C21519">
      <w:pPr>
        <w:pStyle w:val="Point2n"/>
        <w:numPr>
          <w:ilvl w:val="0"/>
          <w:numId w:val="56"/>
        </w:numPr>
        <w:spacing w:line="240" w:lineRule="auto"/>
        <w:jc w:val="both"/>
        <w:rPr>
          <w:noProof/>
        </w:rPr>
      </w:pPr>
      <w:r w:rsidRPr="00D207EA">
        <w:rPr>
          <w:noProof/>
        </w:rPr>
        <w:t>en soutenant l’emploi, l’égalité d’accès au marché du travail, des conditions de travail équitables et de qualité, et la mobilité de la main-d’œuvre;</w:t>
      </w:r>
    </w:p>
    <w:p w14:paraId="7D3B4E1C" w14:textId="77777777" w:rsidR="004E1B83" w:rsidRPr="00D207EA" w:rsidRDefault="0039743F" w:rsidP="00BD329E">
      <w:pPr>
        <w:pStyle w:val="Point2n"/>
        <w:spacing w:line="240" w:lineRule="auto"/>
        <w:jc w:val="both"/>
        <w:rPr>
          <w:noProof/>
        </w:rPr>
      </w:pPr>
      <w:r w:rsidRPr="00D207EA">
        <w:rPr>
          <w:noProof/>
        </w:rPr>
        <w:t>en renforçant l’offre de travail et en améliorant l’éducation et l’acquisition de compétences tout au long de la vie, notamment en encourageant la reconversion et le perfectionnement professionnels;</w:t>
      </w:r>
    </w:p>
    <w:p w14:paraId="673084C7" w14:textId="77777777" w:rsidR="004E1B83" w:rsidRPr="00D207EA" w:rsidRDefault="00740BE7" w:rsidP="00BD329E">
      <w:pPr>
        <w:pStyle w:val="Point2n"/>
        <w:spacing w:line="240" w:lineRule="auto"/>
        <w:jc w:val="both"/>
        <w:rPr>
          <w:noProof/>
        </w:rPr>
      </w:pPr>
      <w:r w:rsidRPr="00D207EA">
        <w:rPr>
          <w:noProof/>
        </w:rPr>
        <w:t>en promouvant l’égalité des chances pour tous, en soutenant des filets de sécurité sociale solides, en favorisant l’inclusion sociale et en luttant contre la pauvreté et le sans-abrisme, ainsi qu’en soutenant l’investissement dans l’infrastructure sociale;</w:t>
      </w:r>
    </w:p>
    <w:p w14:paraId="4B62A2D4" w14:textId="77777777" w:rsidR="00C52FD0" w:rsidRPr="00D207EA" w:rsidRDefault="00C52FD0" w:rsidP="00BD329E">
      <w:pPr>
        <w:pStyle w:val="Point2n"/>
        <w:spacing w:line="240" w:lineRule="auto"/>
        <w:jc w:val="both"/>
        <w:rPr>
          <w:noProof/>
        </w:rPr>
      </w:pPr>
      <w:r w:rsidRPr="00D207EA">
        <w:rPr>
          <w:noProof/>
        </w:rPr>
        <w:t>en facilitant l’accès aux services et aux infrastructures associées, y compris la modernisation, la numérisation et le renforcement de la qualité et de la résilience des systèmes de soins de santé, des services de soins aux enfants et des services de soins de longue durée;</w:t>
      </w:r>
    </w:p>
    <w:p w14:paraId="220D855F" w14:textId="77777777" w:rsidR="00ED5964" w:rsidRPr="00D207EA" w:rsidRDefault="00ED5964" w:rsidP="00BD329E">
      <w:pPr>
        <w:pStyle w:val="Point2n"/>
        <w:spacing w:line="240" w:lineRule="auto"/>
        <w:jc w:val="both"/>
        <w:rPr>
          <w:noProof/>
        </w:rPr>
      </w:pPr>
      <w:r w:rsidRPr="00D207EA">
        <w:rPr>
          <w:noProof/>
        </w:rPr>
        <w:t>en relevant les défis posés par les changements démographiques dans l’Union, notamment les pénuries de main-d’œuvre et les disparités entre les générations et les régions;</w:t>
      </w:r>
    </w:p>
    <w:p w14:paraId="7BC245A1" w14:textId="77777777" w:rsidR="004E1B83" w:rsidRPr="00D207EA" w:rsidRDefault="0039743F" w:rsidP="0054409B">
      <w:pPr>
        <w:pStyle w:val="Point2n"/>
        <w:jc w:val="both"/>
        <w:rPr>
          <w:noProof/>
        </w:rPr>
      </w:pPr>
      <w:r w:rsidRPr="00D207EA">
        <w:rPr>
          <w:noProof/>
        </w:rPr>
        <w:t>en tenant compte des conséquences sociales de l’inclusion des émissions de gaz à effet de serre générées par les secteurs du bâtiment et du transport routier dans le champ d’application de la directive 2003/87/CE;</w:t>
      </w:r>
    </w:p>
    <w:p w14:paraId="66F63390" w14:textId="15E9E693" w:rsidR="004E1B83" w:rsidRPr="00D207EA" w:rsidRDefault="008D666E" w:rsidP="008D666E">
      <w:pPr>
        <w:pStyle w:val="Point10"/>
        <w:rPr>
          <w:noProof/>
        </w:rPr>
      </w:pPr>
      <w:r w:rsidRPr="008D666E">
        <w:rPr>
          <w:noProof/>
        </w:rPr>
        <w:t>(d)</w:t>
      </w:r>
      <w:r w:rsidRPr="008D666E">
        <w:rPr>
          <w:noProof/>
        </w:rPr>
        <w:tab/>
      </w:r>
      <w:r w:rsidR="00E53C11" w:rsidRPr="00D207EA">
        <w:rPr>
          <w:noProof/>
        </w:rPr>
        <w:t>soutenir la qualité de la vie dans l’Union:</w:t>
      </w:r>
    </w:p>
    <w:p w14:paraId="0E2501BE" w14:textId="77777777" w:rsidR="004E1B83" w:rsidRPr="00D207EA" w:rsidRDefault="004E1B83" w:rsidP="00C21519">
      <w:pPr>
        <w:pStyle w:val="Point2n"/>
        <w:numPr>
          <w:ilvl w:val="0"/>
          <w:numId w:val="57"/>
        </w:numPr>
        <w:spacing w:line="240" w:lineRule="auto"/>
        <w:jc w:val="both"/>
        <w:rPr>
          <w:noProof/>
        </w:rPr>
      </w:pPr>
      <w:r w:rsidRPr="00D207EA">
        <w:rPr>
          <w:noProof/>
        </w:rPr>
        <w:t>en soutenant des revenus plus équitables et suffisants pour les agriculteurs et leur compétitivité à long terme, y compris leur position dans la chaîne de valeur;</w:t>
      </w:r>
    </w:p>
    <w:p w14:paraId="3CC0951D" w14:textId="77777777" w:rsidR="004E1B83" w:rsidRPr="00D207EA" w:rsidRDefault="004E1B83" w:rsidP="00BD329E">
      <w:pPr>
        <w:pStyle w:val="Point2n"/>
        <w:spacing w:line="240" w:lineRule="auto"/>
        <w:jc w:val="both"/>
        <w:rPr>
          <w:noProof/>
        </w:rPr>
      </w:pPr>
      <w:r w:rsidRPr="00D207EA">
        <w:rPr>
          <w:noProof/>
        </w:rPr>
        <w:t>en contribuant à la sécurité alimentaire à long terme;</w:t>
      </w:r>
    </w:p>
    <w:p w14:paraId="43255120" w14:textId="77777777" w:rsidR="004E1B83" w:rsidRPr="00D207EA" w:rsidRDefault="004E1B83" w:rsidP="00BD329E">
      <w:pPr>
        <w:pStyle w:val="Point2n"/>
        <w:spacing w:line="240" w:lineRule="auto"/>
        <w:jc w:val="both"/>
        <w:rPr>
          <w:noProof/>
        </w:rPr>
      </w:pPr>
      <w:r w:rsidRPr="00D207EA">
        <w:rPr>
          <w:noProof/>
        </w:rPr>
        <w:t>en améliorant l’attractivité et le niveau de vie, y compris l’accès aux soins de santé, dans les zones rurales, en soutenant des conditions de travail équitables et en favorisant le renouvellement des générations; en renforçant la préparation des agriculteurs et leur capacité à faire face aux crises et aux risques; en améliorant l’accès à la connaissance et à l’innovation et en accélérant la transition verte et numérique pour un secteur agroalimentaire prospère;</w:t>
      </w:r>
    </w:p>
    <w:p w14:paraId="09A61F6E" w14:textId="77777777" w:rsidR="004E1B83" w:rsidRPr="00D207EA" w:rsidRDefault="004E1B83" w:rsidP="00BD329E">
      <w:pPr>
        <w:pStyle w:val="Point2n"/>
        <w:spacing w:line="240" w:lineRule="auto"/>
        <w:jc w:val="both"/>
        <w:rPr>
          <w:noProof/>
        </w:rPr>
      </w:pPr>
      <w:r w:rsidRPr="00D207EA">
        <w:rPr>
          <w:noProof/>
        </w:rPr>
        <w:t>en assurant la durabilité, la compétitivité et la résilience du secteur de la pêche et du secteur de l’aquaculture de l’Union, en stimulant l’économie bleue durable et compétitive dans les zones côtières, insulaires et intérieures, en améliorant les perspectives socio-économiques et la résilience des communautés locales et en garantissant une gouvernance des océans forte dans toutes les dimensions, avec des océans sûrs, sécurisés, propres et gérés de manière durable;</w:t>
      </w:r>
    </w:p>
    <w:p w14:paraId="45107A87" w14:textId="77777777" w:rsidR="004E1B83" w:rsidRPr="00D207EA" w:rsidRDefault="00D63878" w:rsidP="00BD329E">
      <w:pPr>
        <w:pStyle w:val="Point2n"/>
        <w:spacing w:line="240" w:lineRule="auto"/>
        <w:jc w:val="both"/>
        <w:rPr>
          <w:noProof/>
        </w:rPr>
      </w:pPr>
      <w:r w:rsidRPr="00D207EA">
        <w:rPr>
          <w:noProof/>
        </w:rPr>
        <w:t>en améliorant les pratiques de gestion durable de l’agriculture et de la sylviculture afin de promouvoir une action climatique résiliente et la fourniture de multiples services écosystémiques, en soutenant une gestion efficace de l’eau, la qualité et la résilience dans le domaine de l’eau et la mise en œuvre de solutions fondées sur la nature, en renforçant le développement durable et la protection de l’environnement, en améliorant la conservation et la restauration de la biodiversité, des sols et des ressources naturelles, et en améliorant le bien-être des animaux;</w:t>
      </w:r>
    </w:p>
    <w:p w14:paraId="24397665" w14:textId="775F165D" w:rsidR="004E1B83" w:rsidRPr="00D207EA" w:rsidRDefault="008D666E" w:rsidP="008D666E">
      <w:pPr>
        <w:pStyle w:val="Point10"/>
        <w:rPr>
          <w:noProof/>
        </w:rPr>
      </w:pPr>
      <w:r w:rsidRPr="008D666E">
        <w:rPr>
          <w:noProof/>
        </w:rPr>
        <w:t>(e)</w:t>
      </w:r>
      <w:r w:rsidRPr="008D666E">
        <w:rPr>
          <w:noProof/>
        </w:rPr>
        <w:tab/>
      </w:r>
      <w:r w:rsidR="00134921" w:rsidRPr="00D207EA">
        <w:rPr>
          <w:noProof/>
        </w:rPr>
        <w:t>protéger et renforcer les droits fondamentaux, la démocratie, l’égalité et l’état de droit, et défendre les valeurs de l’Union:</w:t>
      </w:r>
    </w:p>
    <w:p w14:paraId="4B7FC301" w14:textId="77777777" w:rsidR="001327F3" w:rsidRPr="00D207EA" w:rsidRDefault="001327F3" w:rsidP="00C21519">
      <w:pPr>
        <w:pStyle w:val="Point2n"/>
        <w:numPr>
          <w:ilvl w:val="0"/>
          <w:numId w:val="58"/>
        </w:numPr>
        <w:spacing w:line="240" w:lineRule="auto"/>
        <w:jc w:val="both"/>
        <w:rPr>
          <w:noProof/>
        </w:rPr>
      </w:pPr>
      <w:r w:rsidRPr="00D207EA">
        <w:rPr>
          <w:noProof/>
        </w:rPr>
        <w:t>en soutenant et en continuant à développer des sociétés ouvertes, fondées sur les droits, démocratiques, équitables et inclusives, notamment en renforçant les capacités de la société civile et des partenaires sociaux à défendre les valeurs de l’Union, l’éducation à la citoyenneté et la participation des jeunes;</w:t>
      </w:r>
    </w:p>
    <w:p w14:paraId="7F68CDAF" w14:textId="77777777" w:rsidR="001327F3" w:rsidRPr="00D207EA" w:rsidRDefault="001327F3" w:rsidP="00C21519">
      <w:pPr>
        <w:pStyle w:val="Point2n"/>
        <w:numPr>
          <w:ilvl w:val="0"/>
          <w:numId w:val="58"/>
        </w:numPr>
        <w:spacing w:line="240" w:lineRule="auto"/>
        <w:jc w:val="both"/>
        <w:rPr>
          <w:noProof/>
        </w:rPr>
      </w:pPr>
      <w:r w:rsidRPr="00D207EA">
        <w:rPr>
          <w:noProof/>
        </w:rPr>
        <w:t>en promouvant et en faisant respecter l’état de droit par le renforcement des systèmes judiciaires, des cadres de lutte contre la corruption, du pluralisme des médias, de l’intégrité de l’information, de l’éducation aux médias et de contre-pouvoirs efficaces;</w:t>
      </w:r>
    </w:p>
    <w:p w14:paraId="72A7A7FC" w14:textId="77777777" w:rsidR="001327F3" w:rsidRPr="00D207EA" w:rsidRDefault="001327F3" w:rsidP="00C21519">
      <w:pPr>
        <w:pStyle w:val="Point2n"/>
        <w:numPr>
          <w:ilvl w:val="0"/>
          <w:numId w:val="58"/>
        </w:numPr>
        <w:spacing w:line="240" w:lineRule="auto"/>
        <w:jc w:val="both"/>
        <w:rPr>
          <w:noProof/>
        </w:rPr>
      </w:pPr>
      <w:r w:rsidRPr="00D207EA">
        <w:rPr>
          <w:noProof/>
        </w:rPr>
        <w:t>en améliorant l’efficacité de l’administration publique et la capacité institutionnelle des autorités publiques et des parties prenantes aux niveaux national, régional et local;</w:t>
      </w:r>
    </w:p>
    <w:p w14:paraId="24E460AA" w14:textId="77777777" w:rsidR="00894932" w:rsidRPr="00D207EA" w:rsidRDefault="00894932" w:rsidP="00C21519">
      <w:pPr>
        <w:pStyle w:val="Point2n"/>
        <w:numPr>
          <w:ilvl w:val="0"/>
          <w:numId w:val="58"/>
        </w:numPr>
        <w:spacing w:line="240" w:lineRule="auto"/>
        <w:jc w:val="both"/>
        <w:rPr>
          <w:noProof/>
        </w:rPr>
      </w:pPr>
      <w:r w:rsidRPr="00D207EA">
        <w:rPr>
          <w:noProof/>
        </w:rPr>
        <w:t>en promouvant la culture comme catalyseur des valeurs européennes et en soutenant un secteur culturel dynamique et diversifié.</w:t>
      </w:r>
    </w:p>
    <w:p w14:paraId="685D25CF" w14:textId="77777777" w:rsidR="009418A6" w:rsidRPr="00D207EA" w:rsidRDefault="009418A6" w:rsidP="009418A6">
      <w:pPr>
        <w:pStyle w:val="Titrearticle"/>
        <w:rPr>
          <w:noProof/>
        </w:rPr>
      </w:pPr>
      <w:r w:rsidRPr="00D207EA">
        <w:rPr>
          <w:noProof/>
        </w:rPr>
        <w:t>Article 4</w:t>
      </w:r>
      <w:r w:rsidRPr="00D207EA">
        <w:rPr>
          <w:noProof/>
        </w:rPr>
        <w:br/>
      </w:r>
      <w:r w:rsidRPr="00D207EA">
        <w:rPr>
          <w:b/>
          <w:noProof/>
        </w:rPr>
        <w:t>Définitions</w:t>
      </w:r>
    </w:p>
    <w:p w14:paraId="58805E0C" w14:textId="77777777" w:rsidR="00CE6EC9" w:rsidRPr="00D207EA" w:rsidRDefault="00CE6EC9" w:rsidP="00CE6EC9">
      <w:pPr>
        <w:spacing w:line="360" w:lineRule="auto"/>
        <w:rPr>
          <w:noProof/>
        </w:rPr>
      </w:pPr>
      <w:r w:rsidRPr="00D207EA">
        <w:rPr>
          <w:noProof/>
        </w:rPr>
        <w:t>Aux fins du présent règlement, on entend par:</w:t>
      </w:r>
    </w:p>
    <w:p w14:paraId="4FA4E91F" w14:textId="303EE189" w:rsidR="00CE6EC9" w:rsidRPr="00D207EA" w:rsidRDefault="008D666E" w:rsidP="008D666E">
      <w:pPr>
        <w:pStyle w:val="Point0"/>
        <w:rPr>
          <w:noProof/>
        </w:rPr>
      </w:pPr>
      <w:r w:rsidRPr="008D666E">
        <w:rPr>
          <w:noProof/>
        </w:rPr>
        <w:t>(2)</w:t>
      </w:r>
      <w:r w:rsidRPr="008D666E">
        <w:rPr>
          <w:noProof/>
        </w:rPr>
        <w:tab/>
      </w:r>
      <w:r w:rsidR="00CE6EC9" w:rsidRPr="00D207EA">
        <w:rPr>
          <w:noProof/>
        </w:rPr>
        <w:t>«droit applicable»: le droit de l’Union et le droit national directement lié à son application;</w:t>
      </w:r>
    </w:p>
    <w:p w14:paraId="04902049" w14:textId="4FCE166B" w:rsidR="00CE6EC9" w:rsidRPr="00D207EA" w:rsidRDefault="008D666E" w:rsidP="008D666E">
      <w:pPr>
        <w:pStyle w:val="Point0"/>
        <w:rPr>
          <w:rFonts w:eastAsia="Aptos"/>
          <w:noProof/>
        </w:rPr>
      </w:pPr>
      <w:r w:rsidRPr="008D666E">
        <w:rPr>
          <w:noProof/>
        </w:rPr>
        <w:t>(3)</w:t>
      </w:r>
      <w:r w:rsidRPr="008D666E">
        <w:rPr>
          <w:noProof/>
        </w:rPr>
        <w:tab/>
      </w:r>
      <w:r w:rsidR="00CE6EC9" w:rsidRPr="00D207EA">
        <w:rPr>
          <w:noProof/>
        </w:rPr>
        <w:t xml:space="preserve">«bénéficiaire»: </w:t>
      </w:r>
    </w:p>
    <w:p w14:paraId="283331B7" w14:textId="03F7ADAA" w:rsidR="00CE6EC9" w:rsidRPr="00D207EA" w:rsidRDefault="008D666E" w:rsidP="008D666E">
      <w:pPr>
        <w:pStyle w:val="Point10"/>
        <w:rPr>
          <w:noProof/>
        </w:rPr>
      </w:pPr>
      <w:r w:rsidRPr="008D666E">
        <w:rPr>
          <w:noProof/>
        </w:rPr>
        <w:t>(a)</w:t>
      </w:r>
      <w:r w:rsidRPr="008D666E">
        <w:rPr>
          <w:noProof/>
        </w:rPr>
        <w:tab/>
      </w:r>
      <w:r w:rsidR="08379DE7" w:rsidRPr="00D207EA">
        <w:rPr>
          <w:noProof/>
        </w:rPr>
        <w:t xml:space="preserve">un organisme de droit public ou privé, une entité avec ou sans personnalité juridique, ou une personne physique qui n’est pas un participant, responsable du lancement ou du lancement et de la mise en œuvre d’une opération dans le cadre du plan PNR et du plan Interreg et à qui le document établissant les conditions relatives au soutien a été fourni; </w:t>
      </w:r>
    </w:p>
    <w:p w14:paraId="4F06FEDD" w14:textId="0769E15F" w:rsidR="00CE6EC9" w:rsidRPr="00D207EA" w:rsidRDefault="008D666E" w:rsidP="008D666E">
      <w:pPr>
        <w:pStyle w:val="Point10"/>
        <w:rPr>
          <w:noProof/>
        </w:rPr>
      </w:pPr>
      <w:r w:rsidRPr="008D666E">
        <w:rPr>
          <w:noProof/>
        </w:rPr>
        <w:t>(b)</w:t>
      </w:r>
      <w:r w:rsidRPr="008D666E">
        <w:rPr>
          <w:noProof/>
        </w:rPr>
        <w:tab/>
      </w:r>
      <w:r w:rsidR="00CE6EC9" w:rsidRPr="00D207EA">
        <w:rPr>
          <w:noProof/>
        </w:rPr>
        <w:t>dans le contexte d’instruments financiers, l’organisme qui met en œuvre le fonds à participation ou, lorsqu’il n’y a pas de fonds à participation, l’organisme qui met en œuvre le fonds spécifique ou, lorsque l’autorité de gestion gère l’instrument financier, l’autorité de gestion;</w:t>
      </w:r>
    </w:p>
    <w:p w14:paraId="5A6C45C4" w14:textId="1C83CD5B" w:rsidR="00CE6EC9" w:rsidRPr="00D207EA" w:rsidRDefault="008D666E" w:rsidP="008D666E">
      <w:pPr>
        <w:pStyle w:val="Point10"/>
        <w:rPr>
          <w:noProof/>
        </w:rPr>
      </w:pPr>
      <w:r w:rsidRPr="008D666E">
        <w:rPr>
          <w:noProof/>
        </w:rPr>
        <w:t>(c)</w:t>
      </w:r>
      <w:r w:rsidRPr="008D666E">
        <w:rPr>
          <w:noProof/>
        </w:rPr>
        <w:tab/>
      </w:r>
      <w:r w:rsidR="6C3DBD9E" w:rsidRPr="00D207EA">
        <w:rPr>
          <w:noProof/>
        </w:rPr>
        <w:t xml:space="preserve"> dans le cadre de la PAC, un agriculteur qui est:</w:t>
      </w:r>
    </w:p>
    <w:p w14:paraId="06BD561C" w14:textId="77777777" w:rsidR="00990B66" w:rsidRPr="00D207EA" w:rsidRDefault="00813BB7" w:rsidP="00C21519">
      <w:pPr>
        <w:pStyle w:val="Point2n"/>
        <w:numPr>
          <w:ilvl w:val="0"/>
          <w:numId w:val="184"/>
        </w:numPr>
        <w:jc w:val="both"/>
        <w:rPr>
          <w:noProof/>
        </w:rPr>
      </w:pPr>
      <w:r w:rsidRPr="00D207EA">
        <w:rPr>
          <w:noProof/>
        </w:rPr>
        <w:t>une personne physique ou morale dont l’exploitation est située dans l’Union et dont l’activité principale est une activité agricole selon les critères définis par les États membres conformément au présent règlement; ou</w:t>
      </w:r>
    </w:p>
    <w:p w14:paraId="289D24D9" w14:textId="77777777" w:rsidR="00CE6EC9" w:rsidRPr="00D207EA" w:rsidRDefault="004A3659" w:rsidP="07DC7BA7">
      <w:pPr>
        <w:pStyle w:val="Point2n"/>
        <w:jc w:val="both"/>
        <w:rPr>
          <w:noProof/>
        </w:rPr>
      </w:pPr>
      <w:r w:rsidRPr="00D207EA">
        <w:rPr>
          <w:noProof/>
        </w:rPr>
        <w:t>une personne physique ou une petite personne morale, dont l’activité principale n’est pas l’agriculture, mais qui exerce au moins un niveau minimal d’activité agricole, tel que défini par les États membres;</w:t>
      </w:r>
    </w:p>
    <w:p w14:paraId="2F9B66E9" w14:textId="400BB74D" w:rsidR="00CE6EC9" w:rsidRPr="00D207EA" w:rsidRDefault="008D666E" w:rsidP="008D666E">
      <w:pPr>
        <w:pStyle w:val="Point0"/>
        <w:rPr>
          <w:rFonts w:eastAsia="Aptos"/>
          <w:noProof/>
        </w:rPr>
      </w:pPr>
      <w:r w:rsidRPr="008D666E">
        <w:rPr>
          <w:noProof/>
        </w:rPr>
        <w:t>(4)</w:t>
      </w:r>
      <w:r w:rsidRPr="008D666E">
        <w:rPr>
          <w:noProof/>
        </w:rPr>
        <w:tab/>
      </w:r>
      <w:r w:rsidR="00CE6EC9" w:rsidRPr="00D207EA">
        <w:rPr>
          <w:noProof/>
        </w:rPr>
        <w:t xml:space="preserve">«chapitre du plan PNR»: une partie du plan PNR axée sur un défi, un secteur, une politique ou une zone géographique spécifique; </w:t>
      </w:r>
    </w:p>
    <w:p w14:paraId="77C7B675" w14:textId="4B7E1C2D" w:rsidR="00CE6EC9" w:rsidRPr="00D207EA" w:rsidRDefault="008D666E" w:rsidP="008D666E">
      <w:pPr>
        <w:pStyle w:val="Point0"/>
        <w:rPr>
          <w:noProof/>
        </w:rPr>
      </w:pPr>
      <w:r w:rsidRPr="008D666E">
        <w:rPr>
          <w:noProof/>
        </w:rPr>
        <w:t>(5)</w:t>
      </w:r>
      <w:r w:rsidRPr="008D666E">
        <w:rPr>
          <w:noProof/>
        </w:rPr>
        <w:tab/>
      </w:r>
      <w:r w:rsidR="00CE6EC9" w:rsidRPr="00D207EA">
        <w:rPr>
          <w:noProof/>
        </w:rPr>
        <w:t>«contractant»: une entité ou une personne physique avec laquelle le bénéficiaire ou le destinataire conclut un contrat dans le but précis de mettre en œuvre une ou plusieurs opérations ou une partie d’entre elles;</w:t>
      </w:r>
    </w:p>
    <w:p w14:paraId="43AFA116" w14:textId="2AEC6F7F" w:rsidR="00CE6EC9" w:rsidRPr="00D207EA" w:rsidRDefault="008D666E" w:rsidP="008D666E">
      <w:pPr>
        <w:pStyle w:val="Point0"/>
        <w:rPr>
          <w:noProof/>
        </w:rPr>
      </w:pPr>
      <w:r w:rsidRPr="008D666E">
        <w:rPr>
          <w:noProof/>
        </w:rPr>
        <w:t>(6)</w:t>
      </w:r>
      <w:r w:rsidRPr="008D666E">
        <w:rPr>
          <w:noProof/>
        </w:rPr>
        <w:tab/>
      </w:r>
      <w:r w:rsidR="00CE6EC9" w:rsidRPr="00D207EA">
        <w:rPr>
          <w:noProof/>
        </w:rPr>
        <w:t>«destinataire»: une entité dotée ou non de la personnalité juridique, ou une personne physique qui n’est pas un participant et qui reçoit des ressources du budget de l’Union par l’intermédiaire d’un bénéficiaire;</w:t>
      </w:r>
    </w:p>
    <w:p w14:paraId="43C3A920" w14:textId="3775528B" w:rsidR="00CE6EC9" w:rsidRPr="00D207EA" w:rsidRDefault="008D666E" w:rsidP="008D666E">
      <w:pPr>
        <w:pStyle w:val="Point0"/>
        <w:rPr>
          <w:noProof/>
        </w:rPr>
      </w:pPr>
      <w:r w:rsidRPr="008D666E">
        <w:rPr>
          <w:noProof/>
        </w:rPr>
        <w:t>(7)</w:t>
      </w:r>
      <w:r w:rsidRPr="008D666E">
        <w:rPr>
          <w:noProof/>
        </w:rPr>
        <w:tab/>
      </w:r>
      <w:r w:rsidR="00CE6EC9" w:rsidRPr="00D207EA">
        <w:rPr>
          <w:noProof/>
        </w:rPr>
        <w:t>«destinataire final»: une entité dotée ou non de la personnalité juridique ou une personne physique qui n’est pas un participant, qui reçoit un soutien dans le cadre d’un instrument financier et qui est considérée comme un destinataire aux fins de l’article 38, paragraphe 1, du règlement (UE, Euratom) 2024/2509;</w:t>
      </w:r>
    </w:p>
    <w:p w14:paraId="443C0C30" w14:textId="15E96FDE" w:rsidR="00CE6EC9" w:rsidRPr="00D207EA" w:rsidRDefault="008D666E" w:rsidP="008D666E">
      <w:pPr>
        <w:pStyle w:val="Point0"/>
        <w:rPr>
          <w:rFonts w:eastAsia="Times New Roman"/>
          <w:noProof/>
        </w:rPr>
      </w:pPr>
      <w:r w:rsidRPr="008D666E">
        <w:rPr>
          <w:noProof/>
        </w:rPr>
        <w:t>(8)</w:t>
      </w:r>
      <w:r w:rsidRPr="008D666E">
        <w:rPr>
          <w:noProof/>
        </w:rPr>
        <w:tab/>
      </w:r>
      <w:r w:rsidR="00567AC6" w:rsidRPr="00D207EA">
        <w:rPr>
          <w:noProof/>
        </w:rPr>
        <w:t>«participant»: une personne physique qui bénéficie directement d’une opération sans l’avoir lancée ou mise en œuvre;</w:t>
      </w:r>
    </w:p>
    <w:p w14:paraId="4EAC65ED" w14:textId="61F883E9" w:rsidR="00CE6EC9" w:rsidRPr="00D207EA" w:rsidRDefault="008D666E" w:rsidP="008D666E">
      <w:pPr>
        <w:pStyle w:val="Point0"/>
        <w:rPr>
          <w:noProof/>
        </w:rPr>
      </w:pPr>
      <w:r w:rsidRPr="008D666E">
        <w:rPr>
          <w:noProof/>
        </w:rPr>
        <w:t>(9)</w:t>
      </w:r>
      <w:r w:rsidRPr="008D666E">
        <w:rPr>
          <w:noProof/>
        </w:rPr>
        <w:tab/>
      </w:r>
      <w:r w:rsidR="00CE6EC9" w:rsidRPr="00D207EA">
        <w:rPr>
          <w:noProof/>
        </w:rPr>
        <w:t xml:space="preserve">«opération»: </w:t>
      </w:r>
    </w:p>
    <w:p w14:paraId="46CF22CB" w14:textId="7698E0E4" w:rsidR="00CE6EC9" w:rsidRPr="00D207EA" w:rsidRDefault="008D666E" w:rsidP="008D666E">
      <w:pPr>
        <w:pStyle w:val="Point10"/>
        <w:rPr>
          <w:noProof/>
        </w:rPr>
      </w:pPr>
      <w:r w:rsidRPr="008D666E">
        <w:rPr>
          <w:noProof/>
        </w:rPr>
        <w:t>(a)</w:t>
      </w:r>
      <w:r w:rsidRPr="008D666E">
        <w:rPr>
          <w:noProof/>
        </w:rPr>
        <w:tab/>
      </w:r>
      <w:r w:rsidR="00CE6EC9" w:rsidRPr="00D207EA">
        <w:rPr>
          <w:noProof/>
        </w:rPr>
        <w:t xml:space="preserve">un projet, un contrat, une action, un groupe de projets ou un groupe d’actions sélectionné dans le cadre de la mise en œuvre d’une mesure du plan; </w:t>
      </w:r>
    </w:p>
    <w:p w14:paraId="13769C97" w14:textId="28B30378" w:rsidR="00CE6EC9" w:rsidRPr="00D207EA" w:rsidRDefault="008D666E" w:rsidP="008D666E">
      <w:pPr>
        <w:pStyle w:val="Point10"/>
        <w:rPr>
          <w:noProof/>
        </w:rPr>
      </w:pPr>
      <w:r w:rsidRPr="008D666E">
        <w:rPr>
          <w:noProof/>
        </w:rPr>
        <w:t>(b)</w:t>
      </w:r>
      <w:r w:rsidRPr="008D666E">
        <w:rPr>
          <w:noProof/>
        </w:rPr>
        <w:tab/>
      </w:r>
      <w:r w:rsidR="00CE6EC9" w:rsidRPr="00D207EA">
        <w:rPr>
          <w:noProof/>
        </w:rPr>
        <w:t>dans le contexte d’instruments financiers une contribution du plan PNR et du plan Interreg à un instrument financier et le soutien financier ultérieur accordé aux destinataires finaux par ledit instrument financier;</w:t>
      </w:r>
    </w:p>
    <w:p w14:paraId="48621456" w14:textId="1D177A14" w:rsidR="00550885" w:rsidRPr="00D207EA" w:rsidRDefault="008D666E" w:rsidP="008D666E">
      <w:pPr>
        <w:pStyle w:val="Point10"/>
        <w:rPr>
          <w:noProof/>
        </w:rPr>
      </w:pPr>
      <w:r w:rsidRPr="008D666E">
        <w:rPr>
          <w:noProof/>
        </w:rPr>
        <w:t>(c)</w:t>
      </w:r>
      <w:r w:rsidRPr="008D666E">
        <w:rPr>
          <w:noProof/>
        </w:rPr>
        <w:tab/>
      </w:r>
      <w:r w:rsidR="4DFC2515" w:rsidRPr="00D207EA">
        <w:rPr>
          <w:noProof/>
        </w:rPr>
        <w:t>dans le cadre de la PAC, un paiement accordé aux agriculteurs au titre des interventions d’aide au revenu de la PAC fondées sur la surface et les animaux, visées à l’article 35, paragraphe 1 [Types d’intervention], points a) à g), o) et p);</w:t>
      </w:r>
    </w:p>
    <w:p w14:paraId="75B30C05" w14:textId="0C4DBB4F" w:rsidR="00CE6EC9" w:rsidRPr="00D207EA" w:rsidRDefault="008D666E" w:rsidP="008D666E">
      <w:pPr>
        <w:pStyle w:val="Point0"/>
        <w:rPr>
          <w:noProof/>
        </w:rPr>
      </w:pPr>
      <w:r w:rsidRPr="008D666E">
        <w:rPr>
          <w:noProof/>
        </w:rPr>
        <w:t>(10)</w:t>
      </w:r>
      <w:r w:rsidRPr="008D666E">
        <w:rPr>
          <w:noProof/>
        </w:rPr>
        <w:tab/>
      </w:r>
      <w:r w:rsidR="6C3DBD9E" w:rsidRPr="00D207EA">
        <w:rPr>
          <w:noProof/>
        </w:rPr>
        <w:t>«mesure»: une réforme, un investissement ou une autre intervention au niveau national ou infranational soutenue dans le cadre du plan PNR ou du plan Interreg;</w:t>
      </w:r>
    </w:p>
    <w:p w14:paraId="70E1016B" w14:textId="7CD180F9" w:rsidR="00CE6EC9" w:rsidRPr="00D207EA" w:rsidRDefault="008D666E" w:rsidP="008D666E">
      <w:pPr>
        <w:pStyle w:val="Point0"/>
        <w:rPr>
          <w:noProof/>
        </w:rPr>
      </w:pPr>
      <w:r w:rsidRPr="008D666E">
        <w:rPr>
          <w:noProof/>
        </w:rPr>
        <w:t>(11)</w:t>
      </w:r>
      <w:r w:rsidRPr="008D666E">
        <w:rPr>
          <w:noProof/>
        </w:rPr>
        <w:tab/>
      </w:r>
      <w:r w:rsidR="00CE6EC9" w:rsidRPr="00D207EA">
        <w:rPr>
          <w:noProof/>
        </w:rPr>
        <w:t>«valeur intermédiaire»: une réalisation qualitative utilisée pour mesurer les progrès accomplis dans la réalisation d’une mesure;</w:t>
      </w:r>
    </w:p>
    <w:p w14:paraId="03004B67" w14:textId="676A8732" w:rsidR="00CE6EC9" w:rsidRPr="00D207EA" w:rsidRDefault="008D666E" w:rsidP="008D666E">
      <w:pPr>
        <w:pStyle w:val="Point0"/>
        <w:rPr>
          <w:noProof/>
        </w:rPr>
      </w:pPr>
      <w:r w:rsidRPr="008D666E">
        <w:rPr>
          <w:noProof/>
        </w:rPr>
        <w:t>(12)</w:t>
      </w:r>
      <w:r w:rsidRPr="008D666E">
        <w:rPr>
          <w:noProof/>
        </w:rPr>
        <w:tab/>
      </w:r>
      <w:r w:rsidR="00CE6EC9" w:rsidRPr="00D207EA">
        <w:rPr>
          <w:noProof/>
        </w:rPr>
        <w:t xml:space="preserve">«valeur cible»: une réalisation quantitative utilisée pour mesurer les progrès accomplis dans la réalisation d’une mesure; </w:t>
      </w:r>
    </w:p>
    <w:p w14:paraId="3D5966B1" w14:textId="3CAD823F" w:rsidR="00CE6EC9" w:rsidRPr="00D207EA" w:rsidRDefault="008D666E" w:rsidP="008D666E">
      <w:pPr>
        <w:pStyle w:val="Point0"/>
        <w:rPr>
          <w:noProof/>
        </w:rPr>
      </w:pPr>
      <w:r w:rsidRPr="008D666E">
        <w:rPr>
          <w:noProof/>
        </w:rPr>
        <w:t>(13)</w:t>
      </w:r>
      <w:r w:rsidRPr="008D666E">
        <w:rPr>
          <w:noProof/>
        </w:rPr>
        <w:tab/>
      </w:r>
      <w:r w:rsidR="6C3DBD9E" w:rsidRPr="00D207EA">
        <w:rPr>
          <w:noProof/>
        </w:rPr>
        <w:t>«valeur de paiement»: le montant à verser par la Commission à l’État membre pour les progrès accomplis dans la mise en œuvre des mesures du plan, compte tenu des montants mis de côté pour les réformes;</w:t>
      </w:r>
    </w:p>
    <w:p w14:paraId="29C55797" w14:textId="1CCE9818" w:rsidR="00CE6EC9" w:rsidRPr="00D207EA" w:rsidRDefault="008D666E" w:rsidP="008D666E">
      <w:pPr>
        <w:pStyle w:val="Point0"/>
        <w:rPr>
          <w:noProof/>
        </w:rPr>
      </w:pPr>
      <w:r w:rsidRPr="008D666E">
        <w:rPr>
          <w:noProof/>
        </w:rPr>
        <w:t>(14)</w:t>
      </w:r>
      <w:r w:rsidRPr="008D666E">
        <w:rPr>
          <w:noProof/>
        </w:rPr>
        <w:tab/>
      </w:r>
      <w:r w:rsidR="6C3DBD9E" w:rsidRPr="00D207EA">
        <w:rPr>
          <w:noProof/>
        </w:rPr>
        <w:t xml:space="preserve">«système de connaissances et d’innovation agricoles»: l’organisation combinée et les flux de connaissances entre les personnes, les organisations et les institutions qui utilisent et produisent des connaissances et des innovations pour l’agriculture et les domaines connexes visés à l’article 20 du règlement (UE) 202X/XXXX [règlement relatif à la PAC]; </w:t>
      </w:r>
    </w:p>
    <w:p w14:paraId="12BE0AAF" w14:textId="4C8170BB" w:rsidR="00CE6EC9" w:rsidRPr="00D207EA" w:rsidRDefault="008D666E" w:rsidP="008D666E">
      <w:pPr>
        <w:pStyle w:val="Point0"/>
        <w:rPr>
          <w:noProof/>
        </w:rPr>
      </w:pPr>
      <w:r w:rsidRPr="008D666E">
        <w:rPr>
          <w:noProof/>
        </w:rPr>
        <w:t>(15)</w:t>
      </w:r>
      <w:r w:rsidRPr="008D666E">
        <w:rPr>
          <w:noProof/>
        </w:rPr>
        <w:tab/>
      </w:r>
      <w:r w:rsidR="6C3DBD9E" w:rsidRPr="00D207EA">
        <w:rPr>
          <w:noProof/>
        </w:rPr>
        <w:t>«agriculture biologique»: le système de production biologique certifié conformément au règlement (UE) 2018/848 du Parlement européen et du Conseil</w:t>
      </w:r>
      <w:r w:rsidR="00D04C54" w:rsidRPr="00D207EA">
        <w:rPr>
          <w:rStyle w:val="FootnoteReference"/>
          <w:noProof/>
        </w:rPr>
        <w:footnoteReference w:id="17"/>
      </w:r>
      <w:r w:rsidR="6C3DBD9E" w:rsidRPr="00D207EA">
        <w:rPr>
          <w:noProof/>
        </w:rPr>
        <w:t>;</w:t>
      </w:r>
    </w:p>
    <w:p w14:paraId="1FAC9259" w14:textId="3D464993" w:rsidR="00CE6EC9" w:rsidRPr="00D207EA" w:rsidRDefault="008D666E" w:rsidP="008D666E">
      <w:pPr>
        <w:pStyle w:val="Point0"/>
        <w:rPr>
          <w:noProof/>
        </w:rPr>
      </w:pPr>
      <w:r w:rsidRPr="008D666E">
        <w:rPr>
          <w:noProof/>
        </w:rPr>
        <w:t>(16)</w:t>
      </w:r>
      <w:r w:rsidRPr="008D666E">
        <w:rPr>
          <w:noProof/>
        </w:rPr>
        <w:tab/>
      </w:r>
      <w:r w:rsidR="6C3DBD9E" w:rsidRPr="00D207EA">
        <w:rPr>
          <w:noProof/>
        </w:rPr>
        <w:t>«exploitation»: l’ensemble des unités utilisées pour des activités agricoles et gérées par un agriculteur, situées sur le territoire d’un même État membre, dans le champ d’application territorial des traités, tel que défini à l’article 52 du traité UE en combinaison avec les articles 349 et 355 du traité FUE;</w:t>
      </w:r>
    </w:p>
    <w:p w14:paraId="3A7731B4" w14:textId="3274935E" w:rsidR="00CE6EC9" w:rsidRPr="00D207EA" w:rsidRDefault="008D666E" w:rsidP="008D666E">
      <w:pPr>
        <w:pStyle w:val="Point0"/>
        <w:rPr>
          <w:noProof/>
        </w:rPr>
      </w:pPr>
      <w:r w:rsidRPr="008D666E">
        <w:rPr>
          <w:noProof/>
        </w:rPr>
        <w:t>(17)</w:t>
      </w:r>
      <w:r w:rsidRPr="008D666E">
        <w:rPr>
          <w:noProof/>
        </w:rPr>
        <w:tab/>
      </w:r>
      <w:r w:rsidR="6C3DBD9E" w:rsidRPr="00D207EA">
        <w:rPr>
          <w:noProof/>
        </w:rPr>
        <w:t>«îles mineures de la mer Égée»: toutes les îles de la mer Égée, à l’exception de la Crète et d’Eubée;</w:t>
      </w:r>
    </w:p>
    <w:p w14:paraId="09BAAA46" w14:textId="289D37DB" w:rsidR="00CE6EC9" w:rsidRPr="00D207EA" w:rsidRDefault="008D666E" w:rsidP="008D666E">
      <w:pPr>
        <w:pStyle w:val="Point0"/>
        <w:rPr>
          <w:noProof/>
        </w:rPr>
      </w:pPr>
      <w:r w:rsidRPr="008D666E">
        <w:rPr>
          <w:noProof/>
        </w:rPr>
        <w:t>(18)</w:t>
      </w:r>
      <w:r w:rsidRPr="008D666E">
        <w:rPr>
          <w:noProof/>
        </w:rPr>
        <w:tab/>
      </w:r>
      <w:r w:rsidR="00CE6EC9" w:rsidRPr="00D207EA">
        <w:rPr>
          <w:noProof/>
        </w:rPr>
        <w:t>«sceaux»: les sceaux d’excellence et les sceaux de souveraineté octroyés dans le cadre de la mise en œuvre des programmes de l’Union au cours de la période de programmation 2021-2027, ainsi que les sceaux octroyés dans le cadre des programmes de l’Union mis en œuvre en gestion directe au cours de la période 2028-2034, tels que le sceau de compétitivité;</w:t>
      </w:r>
    </w:p>
    <w:p w14:paraId="5922F7C6" w14:textId="1F15F679" w:rsidR="00CE6EC9" w:rsidRPr="00D207EA" w:rsidRDefault="008D666E" w:rsidP="008D666E">
      <w:pPr>
        <w:pStyle w:val="Point0"/>
        <w:rPr>
          <w:noProof/>
        </w:rPr>
      </w:pPr>
      <w:r w:rsidRPr="008D666E">
        <w:rPr>
          <w:noProof/>
        </w:rPr>
        <w:t>(19)</w:t>
      </w:r>
      <w:r w:rsidRPr="008D666E">
        <w:rPr>
          <w:noProof/>
        </w:rPr>
        <w:tab/>
      </w:r>
      <w:r w:rsidR="00CE6EC9" w:rsidRPr="00D207EA">
        <w:rPr>
          <w:noProof/>
        </w:rPr>
        <w:t>«sous-traitant»: une personne ou une entité avec laquelle le contractant a conclu un contrat pour l’exécution d’une partie d’un marché dans le but spécifique de mettre en œuvre une ou plusieurs opérations ou une partie de celles-ci;</w:t>
      </w:r>
    </w:p>
    <w:p w14:paraId="2D88578C" w14:textId="2A767FEA" w:rsidR="00CE6EC9" w:rsidRPr="00D207EA" w:rsidRDefault="008D666E" w:rsidP="008D666E">
      <w:pPr>
        <w:pStyle w:val="Point0"/>
        <w:rPr>
          <w:noProof/>
        </w:rPr>
      </w:pPr>
      <w:r w:rsidRPr="008D666E">
        <w:rPr>
          <w:noProof/>
        </w:rPr>
        <w:t>(20)</w:t>
      </w:r>
      <w:r w:rsidRPr="008D666E">
        <w:rPr>
          <w:noProof/>
        </w:rPr>
        <w:tab/>
      </w:r>
      <w:r w:rsidR="00CE6EC9" w:rsidRPr="00D207EA">
        <w:rPr>
          <w:noProof/>
        </w:rPr>
        <w:t xml:space="preserve">«crise»: une crise au sens de l’article 2, point 22), du règlement (UE, Euratom) 2024/2509; </w:t>
      </w:r>
    </w:p>
    <w:p w14:paraId="62936FEC" w14:textId="6B9767D0" w:rsidR="00CE6EC9" w:rsidRPr="00D207EA" w:rsidRDefault="008D666E" w:rsidP="008D666E">
      <w:pPr>
        <w:pStyle w:val="Point0"/>
        <w:rPr>
          <w:noProof/>
        </w:rPr>
      </w:pPr>
      <w:r w:rsidRPr="008D666E">
        <w:rPr>
          <w:noProof/>
        </w:rPr>
        <w:t>(21)</w:t>
      </w:r>
      <w:r w:rsidRPr="008D666E">
        <w:rPr>
          <w:noProof/>
        </w:rPr>
        <w:tab/>
      </w:r>
      <w:r w:rsidR="00CE6EC9" w:rsidRPr="00D207EA">
        <w:rPr>
          <w:noProof/>
        </w:rPr>
        <w:t xml:space="preserve">«évaluation sur la base des piliers»: l’évaluation visée à l’article 157, paragraphes 3 et 4, du règlement (UE, Euratom) 2024/2509; </w:t>
      </w:r>
    </w:p>
    <w:p w14:paraId="4D399750" w14:textId="1BC83B4B" w:rsidR="00CE6EC9" w:rsidRPr="00D207EA" w:rsidRDefault="008D666E" w:rsidP="008D666E">
      <w:pPr>
        <w:pStyle w:val="Point0"/>
        <w:rPr>
          <w:noProof/>
        </w:rPr>
      </w:pPr>
      <w:r w:rsidRPr="008D666E">
        <w:rPr>
          <w:noProof/>
        </w:rPr>
        <w:t>(22)</w:t>
      </w:r>
      <w:r w:rsidRPr="008D666E">
        <w:rPr>
          <w:noProof/>
        </w:rPr>
        <w:tab/>
      </w:r>
      <w:r w:rsidR="6C3DBD9E" w:rsidRPr="00D207EA">
        <w:rPr>
          <w:noProof/>
        </w:rPr>
        <w:t>Les États membres fixent en outre dans leur plan PNR les définitions des termes «activité agricole», «surface agricole», «hectare admissible» et «jeune agriculteur» conformément à des critères objectifs et non discriminatoires et au principe de proportionnalité.</w:t>
      </w:r>
    </w:p>
    <w:p w14:paraId="356EA517" w14:textId="3414C4A2" w:rsidR="00CE6EC9" w:rsidRPr="00D207EA" w:rsidRDefault="008D666E" w:rsidP="008D666E">
      <w:pPr>
        <w:pStyle w:val="Point10"/>
        <w:rPr>
          <w:noProof/>
        </w:rPr>
      </w:pPr>
      <w:r w:rsidRPr="008D666E">
        <w:rPr>
          <w:noProof/>
        </w:rPr>
        <w:t>(a)</w:t>
      </w:r>
      <w:r w:rsidRPr="008D666E">
        <w:rPr>
          <w:noProof/>
        </w:rPr>
        <w:tab/>
      </w:r>
      <w:r w:rsidR="6C3DBD9E" w:rsidRPr="00D207EA">
        <w:rPr>
          <w:noProof/>
        </w:rPr>
        <w:t>La notion d’«activité agricole» est déterminée par l’une des activités suivantes ou par les deux:</w:t>
      </w:r>
    </w:p>
    <w:p w14:paraId="70C032B4" w14:textId="77777777" w:rsidR="00CE6EC9" w:rsidRPr="00D207EA" w:rsidRDefault="59FA962E" w:rsidP="00C21519">
      <w:pPr>
        <w:pStyle w:val="Point2n"/>
        <w:numPr>
          <w:ilvl w:val="0"/>
          <w:numId w:val="185"/>
        </w:numPr>
        <w:spacing w:line="240" w:lineRule="auto"/>
        <w:jc w:val="both"/>
        <w:rPr>
          <w:noProof/>
        </w:rPr>
      </w:pPr>
      <w:r w:rsidRPr="00D207EA">
        <w:rPr>
          <w:noProof/>
        </w:rPr>
        <w:t>la production de produits agricoles, qui consiste en l’ensemble des activités visant à obtenir ces produits, «produits agricoles» désignant les produits énumérés à l’annexe I du traité FUE, à l’exception des produits de la pêche, ainsi que le coton et les taillis à croissance rapide;</w:t>
      </w:r>
    </w:p>
    <w:p w14:paraId="18660AF2" w14:textId="77777777" w:rsidR="00CE6EC9" w:rsidRPr="00D207EA" w:rsidRDefault="59FA962E" w:rsidP="00BD329E">
      <w:pPr>
        <w:pStyle w:val="Point2n"/>
        <w:spacing w:line="240" w:lineRule="auto"/>
        <w:jc w:val="both"/>
        <w:rPr>
          <w:noProof/>
        </w:rPr>
      </w:pPr>
      <w:r w:rsidRPr="00D207EA">
        <w:rPr>
          <w:noProof/>
        </w:rPr>
        <w:t xml:space="preserve">l’entretien des zones agricoles, qui consiste en des activités visant à maintenir les terres dans un état propice au pâturage ou à la culture; lorsque cela est dûment justifié pour des raisons en rapport avec le bien-être animal ou l’environnement, le pâturage extensif d’une zone agricole qui n’entraîne pas d’augmentation de la production agricole pour les agriculteurs concernés peut également être considéré comme un «entretien»; </w:t>
      </w:r>
    </w:p>
    <w:p w14:paraId="1DBE9A97" w14:textId="60017C92" w:rsidR="00CE6EC9" w:rsidRPr="00D207EA" w:rsidRDefault="008D666E" w:rsidP="008D666E">
      <w:pPr>
        <w:pStyle w:val="Point10"/>
        <w:rPr>
          <w:noProof/>
        </w:rPr>
      </w:pPr>
      <w:r w:rsidRPr="008D666E">
        <w:rPr>
          <w:noProof/>
        </w:rPr>
        <w:t>(b)</w:t>
      </w:r>
      <w:r w:rsidRPr="008D666E">
        <w:rPr>
          <w:noProof/>
        </w:rPr>
        <w:tab/>
      </w:r>
      <w:r w:rsidR="00110B42" w:rsidRPr="00D207EA">
        <w:rPr>
          <w:noProof/>
        </w:rPr>
        <w:t>la «surface agricole» est définie de manière à n’englober que les terres utilisées pour des activités agricoles, y compris lorsqu’elles forment des systèmes agroforestiers;</w:t>
      </w:r>
    </w:p>
    <w:p w14:paraId="343D60EF" w14:textId="2FE785B7" w:rsidR="00CE6EC9" w:rsidRPr="00D207EA" w:rsidRDefault="008D666E" w:rsidP="008D666E">
      <w:pPr>
        <w:pStyle w:val="Point10"/>
        <w:rPr>
          <w:noProof/>
        </w:rPr>
      </w:pPr>
      <w:r w:rsidRPr="008D666E">
        <w:rPr>
          <w:noProof/>
        </w:rPr>
        <w:t>(c)</w:t>
      </w:r>
      <w:r w:rsidRPr="008D666E">
        <w:rPr>
          <w:noProof/>
        </w:rPr>
        <w:tab/>
      </w:r>
      <w:r w:rsidR="6C3DBD9E" w:rsidRPr="00D207EA">
        <w:rPr>
          <w:noProof/>
        </w:rPr>
        <w:t>l’«hectare admissible» est défini de manière à n’englober que les superficies dont disposent les agriculteurs et qui comprennent:</w:t>
      </w:r>
    </w:p>
    <w:p w14:paraId="31BC6EA4" w14:textId="77777777" w:rsidR="00CE6EC9" w:rsidRPr="00D207EA" w:rsidRDefault="59FA962E" w:rsidP="00C21519">
      <w:pPr>
        <w:pStyle w:val="Point2n"/>
        <w:numPr>
          <w:ilvl w:val="0"/>
          <w:numId w:val="186"/>
        </w:numPr>
        <w:spacing w:line="240" w:lineRule="auto"/>
        <w:jc w:val="both"/>
        <w:rPr>
          <w:noProof/>
        </w:rPr>
      </w:pPr>
      <w:r w:rsidRPr="00D207EA">
        <w:rPr>
          <w:noProof/>
        </w:rPr>
        <w:t>les surfaces agricoles sur lesquelles une activité agricole est exercée sous le contrôle de l’agriculteur pour ce qui est de la gestion, des bénéfices et des risques financiers. Si des activités non agricoles sont également exercées sur ces surfaces, l’activité agricole est prédominante;</w:t>
      </w:r>
    </w:p>
    <w:p w14:paraId="24ED5DCD" w14:textId="77777777" w:rsidR="00CE6EC9" w:rsidRPr="00D207EA" w:rsidRDefault="59FA962E" w:rsidP="00BD329E">
      <w:pPr>
        <w:pStyle w:val="Point2n"/>
        <w:spacing w:line="240" w:lineRule="auto"/>
        <w:jc w:val="both"/>
        <w:rPr>
          <w:noProof/>
        </w:rPr>
      </w:pPr>
      <w:r w:rsidRPr="00D207EA">
        <w:rPr>
          <w:noProof/>
        </w:rPr>
        <w:t>les zones pour lesquelles un soutien est fourni au titre de l’article 35, paragraphe 1, points a) et g) [</w:t>
      </w:r>
      <w:r w:rsidRPr="00D207EA">
        <w:rPr>
          <w:i/>
          <w:noProof/>
        </w:rPr>
        <w:t>aide dégressive au revenu, petits agriculteurs</w:t>
      </w:r>
      <w:r w:rsidRPr="00D207EA">
        <w:rPr>
          <w:noProof/>
        </w:rPr>
        <w:t xml:space="preserve">] du présent règlement, ou au titre de l’aide de base au revenu pour la durabilité prévue au titre III, chapitre II, section 2, sous-section 2 </w:t>
      </w:r>
      <w:r w:rsidRPr="00D207EA">
        <w:rPr>
          <w:i/>
          <w:noProof/>
        </w:rPr>
        <w:t>[aide de base au revenu [tous droits compris], régime des petits agriculteurs</w:t>
      </w:r>
      <w:r w:rsidRPr="00D207EA">
        <w:rPr>
          <w:noProof/>
        </w:rPr>
        <w:t>], du règlement (UE) 2021/2115, dans lesquelles l’activité agricole n’est pas exercée en raison d’engagements et d’obligations découlant d’interventions de l’Union ou d’interventions nationales ou d’autres programmes qui contribuent aux objectifs spécifiques de la PAC liés à l’environnement et au climat;</w:t>
      </w:r>
    </w:p>
    <w:p w14:paraId="41343B3E" w14:textId="77777777" w:rsidR="00492ADD" w:rsidRPr="00D207EA" w:rsidRDefault="59FA962E" w:rsidP="00BD329E">
      <w:pPr>
        <w:pStyle w:val="Point2n"/>
        <w:spacing w:line="240" w:lineRule="auto"/>
        <w:jc w:val="both"/>
        <w:rPr>
          <w:noProof/>
        </w:rPr>
      </w:pPr>
      <w:r w:rsidRPr="00D207EA">
        <w:rPr>
          <w:noProof/>
        </w:rPr>
        <w:t>les États membres peuvent décider d’inclure dans la notion d’«hectare admissible» des éléments du paysage qui ne sont pas couverts par les engagements et les régimes visés au point ii), à condition que ces éléments n’entravent pas de manière significative l’exercice de l’activité agricole et ne soient pas prédominants sur la parcelle agricole;</w:t>
      </w:r>
    </w:p>
    <w:p w14:paraId="0BD19517" w14:textId="5AE575DD" w:rsidR="00CE6EC9" w:rsidRPr="00D207EA" w:rsidDel="008160AB" w:rsidRDefault="008D666E" w:rsidP="008D666E">
      <w:pPr>
        <w:pStyle w:val="Point10"/>
        <w:rPr>
          <w:noProof/>
        </w:rPr>
      </w:pPr>
      <w:r w:rsidRPr="008D666E">
        <w:rPr>
          <w:noProof/>
        </w:rPr>
        <w:t>(d)</w:t>
      </w:r>
      <w:r w:rsidRPr="008D666E">
        <w:rPr>
          <w:noProof/>
        </w:rPr>
        <w:tab/>
      </w:r>
      <w:r w:rsidR="6C3DBD9E" w:rsidRPr="00D207EA">
        <w:rPr>
          <w:noProof/>
        </w:rPr>
        <w:t xml:space="preserve"> «jeune agriculteur» est défini de manière à remplir au moins les conditions suivantes:</w:t>
      </w:r>
    </w:p>
    <w:p w14:paraId="0251457D" w14:textId="77777777" w:rsidR="00CE6EC9" w:rsidRPr="00D207EA" w:rsidDel="008160AB" w:rsidRDefault="6C3DBD9E" w:rsidP="00C21519">
      <w:pPr>
        <w:pStyle w:val="Point2n"/>
        <w:numPr>
          <w:ilvl w:val="0"/>
          <w:numId w:val="174"/>
        </w:numPr>
        <w:spacing w:line="240" w:lineRule="auto"/>
        <w:rPr>
          <w:noProof/>
        </w:rPr>
      </w:pPr>
      <w:r w:rsidRPr="00D207EA">
        <w:rPr>
          <w:noProof/>
        </w:rPr>
        <w:t>une limite d’âge supérieure située entre 35 et 40 ans;</w:t>
      </w:r>
    </w:p>
    <w:p w14:paraId="02E36D62" w14:textId="77777777" w:rsidR="00CE6EC9" w:rsidRPr="00D207EA" w:rsidDel="008160AB" w:rsidRDefault="6C3DBD9E" w:rsidP="00BD329E">
      <w:pPr>
        <w:pStyle w:val="Point2n"/>
        <w:spacing w:line="240" w:lineRule="auto"/>
        <w:rPr>
          <w:noProof/>
        </w:rPr>
      </w:pPr>
      <w:r w:rsidRPr="00D207EA">
        <w:rPr>
          <w:noProof/>
        </w:rPr>
        <w:t>la qualité de «chef d’exploitation».</w:t>
      </w:r>
    </w:p>
    <w:p w14:paraId="69E7F915" w14:textId="3CE927E3" w:rsidR="00CE6EC9" w:rsidRPr="00D207EA" w:rsidRDefault="59FA962E" w:rsidP="00BD329E">
      <w:pPr>
        <w:pStyle w:val="Text1"/>
        <w:rPr>
          <w:noProof/>
        </w:rPr>
      </w:pPr>
      <w:r w:rsidRPr="00D207EA">
        <w:rPr>
          <w:noProof/>
        </w:rPr>
        <w:t xml:space="preserve">Lorsqu’un agriculteur est </w:t>
      </w:r>
      <w:bookmarkStart w:id="3" w:name="_Int_VnnjyE3j"/>
      <w:r w:rsidRPr="00D207EA">
        <w:rPr>
          <w:noProof/>
        </w:rPr>
        <w:t>réputé</w:t>
      </w:r>
      <w:bookmarkEnd w:id="3"/>
      <w:r w:rsidRPr="00D207EA">
        <w:rPr>
          <w:noProof/>
        </w:rPr>
        <w:t xml:space="preserve"> répondre à la définition de «jeune agriculteur» au moment où il accède pour la première fois au soutien, ce statut est maintenu pendant toute la durée de la période d’éligibilité établie dans le cadre du régime de soutien concerné, que l’agriculteur dépasse ou non par la suite la limite d’âge supérieure.</w:t>
      </w:r>
    </w:p>
    <w:p w14:paraId="034B791D" w14:textId="38A63253" w:rsidR="00492ADD" w:rsidRPr="00D207EA" w:rsidRDefault="008D666E" w:rsidP="008D666E">
      <w:pPr>
        <w:pStyle w:val="Point0"/>
        <w:rPr>
          <w:noProof/>
        </w:rPr>
      </w:pPr>
      <w:r w:rsidRPr="008D666E">
        <w:rPr>
          <w:noProof/>
        </w:rPr>
        <w:t>(23)</w:t>
      </w:r>
      <w:r w:rsidRPr="008D666E">
        <w:rPr>
          <w:noProof/>
        </w:rPr>
        <w:tab/>
      </w:r>
      <w:r w:rsidR="59FA962E" w:rsidRPr="00D207EA">
        <w:rPr>
          <w:noProof/>
        </w:rPr>
        <w:t>«nouvel agriculteur» est déterminé de façon à faire référence à un agriculteur autre qu’un jeune agriculteur et qui est «chef d’exploitation» pour la première fois;</w:t>
      </w:r>
    </w:p>
    <w:p w14:paraId="0171FB3F" w14:textId="1614D7C4" w:rsidR="00D43872" w:rsidRPr="00D207EA" w:rsidRDefault="008D666E" w:rsidP="008D666E">
      <w:pPr>
        <w:pStyle w:val="Point0"/>
        <w:rPr>
          <w:noProof/>
        </w:rPr>
      </w:pPr>
      <w:r w:rsidRPr="008D666E">
        <w:rPr>
          <w:noProof/>
        </w:rPr>
        <w:t>(24)</w:t>
      </w:r>
      <w:r w:rsidRPr="008D666E">
        <w:rPr>
          <w:noProof/>
        </w:rPr>
        <w:tab/>
      </w:r>
      <w:r w:rsidR="000D3DB6" w:rsidRPr="00D207EA">
        <w:rPr>
          <w:noProof/>
        </w:rPr>
        <w:t>«dépense publique»: aux fins de la PAC, toute contribution au financement d’opérations provenant du budget d’autorités publiques nationales, régionales et locales, du budget de l’Union mis à la disposition du Fonds, du budget d’organismes de droit public ou du budget d’associations d’autorités publiques ou d’organismes de droit public;</w:t>
      </w:r>
    </w:p>
    <w:p w14:paraId="0CC04BBA" w14:textId="524AAE7D" w:rsidR="00681BD9" w:rsidRPr="00D207EA" w:rsidRDefault="008D666E" w:rsidP="008D666E">
      <w:pPr>
        <w:pStyle w:val="Point0"/>
        <w:rPr>
          <w:noProof/>
        </w:rPr>
      </w:pPr>
      <w:r w:rsidRPr="008D666E">
        <w:rPr>
          <w:noProof/>
        </w:rPr>
        <w:t>(25)</w:t>
      </w:r>
      <w:r w:rsidRPr="008D666E">
        <w:rPr>
          <w:noProof/>
        </w:rPr>
        <w:tab/>
      </w:r>
      <w:r w:rsidR="000D3DB6" w:rsidRPr="00D207EA">
        <w:rPr>
          <w:noProof/>
        </w:rPr>
        <w:t>«taux de l’aide»: aux fins de la PAC, le taux des dépenses publiques consacrées à une opération; dans le contexte d’instruments financiers, il renvoie à l’équivalent-subvention brut de l’aide tel qu’il est défini à l’article 2, point 20), du règlement (UE) nº 702/2014 de la Commission;</w:t>
      </w:r>
    </w:p>
    <w:p w14:paraId="4825CCA5" w14:textId="5FDD9284" w:rsidR="00CE6EC9" w:rsidRPr="00D207EA" w:rsidRDefault="008D666E" w:rsidP="008D666E">
      <w:pPr>
        <w:pStyle w:val="Point0"/>
        <w:rPr>
          <w:noProof/>
        </w:rPr>
      </w:pPr>
      <w:r w:rsidRPr="008D666E">
        <w:rPr>
          <w:noProof/>
        </w:rPr>
        <w:t>(26)</w:t>
      </w:r>
      <w:r w:rsidRPr="008D666E">
        <w:rPr>
          <w:noProof/>
        </w:rPr>
        <w:tab/>
      </w:r>
      <w:r w:rsidR="6C3DBD9E" w:rsidRPr="00D207EA">
        <w:rPr>
          <w:noProof/>
        </w:rPr>
        <w:t>«petite pêche côtière»: les activités de pêche pratiquées par:</w:t>
      </w:r>
    </w:p>
    <w:p w14:paraId="6D28B7DA" w14:textId="5CFC8DED" w:rsidR="00CE6EC9" w:rsidRPr="00D207EA" w:rsidRDefault="008D666E" w:rsidP="008D666E">
      <w:pPr>
        <w:pStyle w:val="Point10"/>
        <w:rPr>
          <w:noProof/>
        </w:rPr>
      </w:pPr>
      <w:r w:rsidRPr="008D666E">
        <w:rPr>
          <w:noProof/>
        </w:rPr>
        <w:t>(a)</w:t>
      </w:r>
      <w:r w:rsidRPr="008D666E">
        <w:rPr>
          <w:noProof/>
        </w:rPr>
        <w:tab/>
      </w:r>
      <w:r w:rsidR="6C3DBD9E" w:rsidRPr="00D207EA">
        <w:rPr>
          <w:noProof/>
        </w:rPr>
        <w:t>des navires de pêche en mer et de pêche dans les eaux intérieures dont la longueur hors tout est inférieure à 12 mètres et qui n’utilisent aucun des engins remorqués tels que définis à l’article 2, point 1), du règlement (CE) nº 1967/2006 du Conseil; ou</w:t>
      </w:r>
    </w:p>
    <w:p w14:paraId="4E221769" w14:textId="506565BB" w:rsidR="008823CD" w:rsidRPr="00D207EA" w:rsidRDefault="008D666E" w:rsidP="008D666E">
      <w:pPr>
        <w:pStyle w:val="Point10"/>
        <w:rPr>
          <w:noProof/>
        </w:rPr>
      </w:pPr>
      <w:r w:rsidRPr="008D666E">
        <w:rPr>
          <w:noProof/>
        </w:rPr>
        <w:t>(b)</w:t>
      </w:r>
      <w:r w:rsidRPr="008D666E">
        <w:rPr>
          <w:noProof/>
        </w:rPr>
        <w:tab/>
      </w:r>
      <w:r w:rsidR="6C3DBD9E" w:rsidRPr="00D207EA">
        <w:rPr>
          <w:noProof/>
        </w:rPr>
        <w:t>les pêcheurs à pied, y compris les ramasseurs de coquillages;</w:t>
      </w:r>
    </w:p>
    <w:p w14:paraId="0CE902AC" w14:textId="1E87877C" w:rsidR="0057550C" w:rsidRPr="00D207EA" w:rsidRDefault="008D666E" w:rsidP="008D666E">
      <w:pPr>
        <w:pStyle w:val="Point0"/>
        <w:rPr>
          <w:noProof/>
        </w:rPr>
      </w:pPr>
      <w:r w:rsidRPr="008D666E">
        <w:rPr>
          <w:noProof/>
        </w:rPr>
        <w:t>(27)</w:t>
      </w:r>
      <w:r w:rsidRPr="008D666E">
        <w:rPr>
          <w:noProof/>
        </w:rPr>
        <w:tab/>
      </w:r>
      <w:r w:rsidR="08AF1BD8" w:rsidRPr="00D207EA">
        <w:rPr>
          <w:noProof/>
        </w:rPr>
        <w:t>«pêcheur»: toute personne physique exerçant des activités de pêche commerciale, reconnue par l’État membre concerné;</w:t>
      </w:r>
    </w:p>
    <w:p w14:paraId="621826B2" w14:textId="5F1E0A8C" w:rsidR="00F86EB6" w:rsidRPr="00D207EA" w:rsidRDefault="008D666E" w:rsidP="008D666E">
      <w:pPr>
        <w:pStyle w:val="Point0"/>
        <w:rPr>
          <w:noProof/>
        </w:rPr>
      </w:pPr>
      <w:r w:rsidRPr="008D666E">
        <w:rPr>
          <w:noProof/>
        </w:rPr>
        <w:t>(28)</w:t>
      </w:r>
      <w:r w:rsidRPr="008D666E">
        <w:rPr>
          <w:noProof/>
        </w:rPr>
        <w:tab/>
      </w:r>
      <w:r w:rsidR="000D3DB6" w:rsidRPr="00D207EA">
        <w:rPr>
          <w:noProof/>
        </w:rPr>
        <w:t>«pêche»: toute personne physique exerçant des activités de pêche commerciale, reconnue par l’État membre concerné;</w:t>
      </w:r>
    </w:p>
    <w:p w14:paraId="53916CEE" w14:textId="37234515" w:rsidR="003D3413" w:rsidRPr="00D207EA" w:rsidRDefault="008D666E" w:rsidP="008D666E">
      <w:pPr>
        <w:pStyle w:val="Point0"/>
        <w:rPr>
          <w:noProof/>
        </w:rPr>
      </w:pPr>
      <w:r w:rsidRPr="008D666E">
        <w:rPr>
          <w:noProof/>
        </w:rPr>
        <w:t>(29)</w:t>
      </w:r>
      <w:r w:rsidRPr="008D666E">
        <w:rPr>
          <w:noProof/>
        </w:rPr>
        <w:tab/>
      </w:r>
      <w:r w:rsidR="000D3DB6" w:rsidRPr="00D207EA">
        <w:rPr>
          <w:noProof/>
        </w:rPr>
        <w:t>«économie bleue durable»: toutes les activités économiques sectorielles et transsectorielles, dans l’ensemble du marché intérieur, liées à l’océan, aux mers, aux côtes et aux eaux intérieures, couvrant les régions insulaires et ultrapériphériques et les pays sans littoral de l’Union, y compris les secteurs émergents et les biens et services non marchands, dont l’objectif est d’assurer la durabilité environnementale, sociale et économique sur le long terme et qui sont compatibles avec les objectifs de développement durable (ODD), en particulier l’ODD 14, et avec la législation de l’Union en matière d’environnement;</w:t>
      </w:r>
    </w:p>
    <w:p w14:paraId="0D0CC061" w14:textId="36716458" w:rsidR="006D23FB" w:rsidRPr="00D207EA" w:rsidRDefault="008D666E" w:rsidP="008D666E">
      <w:pPr>
        <w:pStyle w:val="Point0"/>
        <w:rPr>
          <w:noProof/>
        </w:rPr>
      </w:pPr>
      <w:r w:rsidRPr="008D666E">
        <w:rPr>
          <w:noProof/>
        </w:rPr>
        <w:t>(30)</w:t>
      </w:r>
      <w:r w:rsidRPr="008D666E">
        <w:rPr>
          <w:noProof/>
        </w:rPr>
        <w:tab/>
      </w:r>
      <w:r w:rsidR="000D3DB6" w:rsidRPr="00D207EA">
        <w:rPr>
          <w:noProof/>
        </w:rPr>
        <w:t>«politique maritime»: la politique de l’Union dont l’objectif est d’encourager une prise de décision intégrée et cohérente afin de favoriser au maximum le développement durable, la croissance économique et la cohésion sociale de l’Union, en particulier des zones côtières et insulaires et des régions ultrapériphériques, ainsi que des secteurs de l’économie bleue durable, grâce à des politiques cohérentes dans le domaine maritime et à la coopération internationale en la matière;</w:t>
      </w:r>
    </w:p>
    <w:p w14:paraId="3D3CFB84" w14:textId="35F5EC27" w:rsidR="009E65E4" w:rsidRPr="00D207EA" w:rsidRDefault="008D666E" w:rsidP="008D666E">
      <w:pPr>
        <w:pStyle w:val="Point0"/>
        <w:rPr>
          <w:noProof/>
        </w:rPr>
      </w:pPr>
      <w:r w:rsidRPr="008D666E">
        <w:rPr>
          <w:noProof/>
        </w:rPr>
        <w:t>(31)</w:t>
      </w:r>
      <w:r w:rsidRPr="008D666E">
        <w:rPr>
          <w:noProof/>
        </w:rPr>
        <w:tab/>
      </w:r>
      <w:r w:rsidR="000D3DB6" w:rsidRPr="00D207EA">
        <w:rPr>
          <w:noProof/>
        </w:rPr>
        <w:t>«sûreté et surveillance maritimes»: les activités menées dans le but de comprendre, prévenir, lorsque cela s’avère pertinent, et gérer de manière globale tous les événements et actions liés au domaine maritime susceptibles d’avoir une incidence sur la sécurité et la sûreté maritimes, l’application de la législation, la défense, le contrôle des frontières, la protection du milieu marin, le contrôle de la pêche, le commerce et les intérêts économiques de l’Union;</w:t>
      </w:r>
    </w:p>
    <w:p w14:paraId="6789CC38" w14:textId="3EE6C3E5" w:rsidR="00E13CB9" w:rsidRPr="00D207EA" w:rsidRDefault="008D666E" w:rsidP="008D666E">
      <w:pPr>
        <w:pStyle w:val="Point0"/>
        <w:rPr>
          <w:noProof/>
        </w:rPr>
      </w:pPr>
      <w:r w:rsidRPr="008D666E">
        <w:rPr>
          <w:noProof/>
        </w:rPr>
        <w:t>(32)</w:t>
      </w:r>
      <w:r w:rsidRPr="008D666E">
        <w:rPr>
          <w:noProof/>
        </w:rPr>
        <w:tab/>
      </w:r>
      <w:r w:rsidR="007D7FAD" w:rsidRPr="00D207EA">
        <w:rPr>
          <w:noProof/>
        </w:rPr>
        <w:t>«réseau européen d’observation et de données du milieu marin» ou «EMODnet»: un partenariat rassemblant des données et métadonnées marines afin de rendre ces ressources fragmentées plus accessibles et utilisables par les utilisateurs publics et privés en offrant des données marines dont la qualité est assurée et qui sont interopérables et harmonisées;</w:t>
      </w:r>
    </w:p>
    <w:p w14:paraId="2C6C754F" w14:textId="0BEDDA92" w:rsidR="007D7FAD" w:rsidRPr="00D207EA" w:rsidRDefault="008D666E" w:rsidP="008D666E">
      <w:pPr>
        <w:pStyle w:val="Point0"/>
        <w:rPr>
          <w:noProof/>
        </w:rPr>
      </w:pPr>
      <w:r w:rsidRPr="008D666E">
        <w:rPr>
          <w:noProof/>
        </w:rPr>
        <w:t>(33)</w:t>
      </w:r>
      <w:r w:rsidRPr="008D666E">
        <w:rPr>
          <w:noProof/>
        </w:rPr>
        <w:tab/>
      </w:r>
      <w:r w:rsidR="00C62F7E" w:rsidRPr="00D207EA">
        <w:rPr>
          <w:noProof/>
        </w:rPr>
        <w:t>«planification de l’espace maritime»: un processus, engagé par les autorités concernées des États membres, d’analyse et d’organisation des activités humaines dans les zones maritimes, aux fins d’atteindre des objectifs écologiques, économiques et sociaux;</w:t>
      </w:r>
    </w:p>
    <w:p w14:paraId="57DD1FEE" w14:textId="608FE916" w:rsidR="00C62F7E" w:rsidRPr="00D207EA" w:rsidRDefault="008D666E" w:rsidP="008D666E">
      <w:pPr>
        <w:pStyle w:val="Point0"/>
        <w:rPr>
          <w:noProof/>
        </w:rPr>
      </w:pPr>
      <w:r w:rsidRPr="008D666E">
        <w:rPr>
          <w:noProof/>
        </w:rPr>
        <w:t>(34)</w:t>
      </w:r>
      <w:r w:rsidRPr="008D666E">
        <w:rPr>
          <w:noProof/>
        </w:rPr>
        <w:tab/>
      </w:r>
      <w:r w:rsidR="007A5FA4" w:rsidRPr="00D207EA">
        <w:rPr>
          <w:noProof/>
        </w:rPr>
        <w:t>«observation des océans»: le fondement de toutes les connaissances marines. Elle constitue la base de la compréhension des écosystèmes marins et des facteurs qui les influencent. Elle fournit des données essentielles pour les prévisions météorologiques, les stratégies d’atténuation du changement climatique et d’adaptation à celui-ci, la surveillance des événements extrêmes, la sécurité civile (état de la mer, inondations), le transport maritime, l’énergie en mer, la pêche et l’aquaculture, et, de plus en plus, la sécurité et la défense. Elle jette les bases d’une prise de décision scientifiquement fondée et fournit des informations cruciales sur l’influence des activités humaines sur la santé des océans et sur les services que ceux-ci rendent aux sociétés;</w:t>
      </w:r>
    </w:p>
    <w:p w14:paraId="591ECB32" w14:textId="4F393415" w:rsidR="006903D8" w:rsidRPr="00D207EA" w:rsidRDefault="008D666E" w:rsidP="008D666E">
      <w:pPr>
        <w:pStyle w:val="Point0"/>
        <w:rPr>
          <w:noProof/>
        </w:rPr>
      </w:pPr>
      <w:r w:rsidRPr="008D666E">
        <w:rPr>
          <w:noProof/>
        </w:rPr>
        <w:t>(35)</w:t>
      </w:r>
      <w:r w:rsidRPr="008D666E">
        <w:rPr>
          <w:noProof/>
        </w:rPr>
        <w:tab/>
      </w:r>
      <w:r w:rsidR="00615C38" w:rsidRPr="00D207EA">
        <w:rPr>
          <w:noProof/>
        </w:rPr>
        <w:t>«irrégularité»: toute violation du droit applicable qui a ou aurait pour effet d’être préjudiciable au budget de l’Union en raison de la réception d’un remboursement injustifié sur la base des valeurs intermédiaires, des valeurs cibles et des réalisations de ce budget;</w:t>
      </w:r>
    </w:p>
    <w:p w14:paraId="0D661FEC" w14:textId="3DB12084" w:rsidR="00466B4C" w:rsidRPr="00D207EA" w:rsidRDefault="008D666E" w:rsidP="008D666E">
      <w:pPr>
        <w:pStyle w:val="Point0"/>
        <w:rPr>
          <w:noProof/>
        </w:rPr>
      </w:pPr>
      <w:r w:rsidRPr="008D666E">
        <w:rPr>
          <w:noProof/>
        </w:rPr>
        <w:t>(36)</w:t>
      </w:r>
      <w:r w:rsidRPr="008D666E">
        <w:rPr>
          <w:noProof/>
        </w:rPr>
        <w:tab/>
      </w:r>
      <w:r w:rsidR="00466B4C" w:rsidRPr="00D207EA">
        <w:rPr>
          <w:noProof/>
        </w:rPr>
        <w:t>«fonds à participation»: un fonds créé sous la responsabilité d’une autorité de gestion au titre d’un ou de plusieurs chapitres du plan;</w:t>
      </w:r>
    </w:p>
    <w:p w14:paraId="21E363A6" w14:textId="0328577E" w:rsidR="00466B4C" w:rsidRPr="00D207EA" w:rsidRDefault="008D666E" w:rsidP="008D666E">
      <w:pPr>
        <w:pStyle w:val="Point0"/>
        <w:rPr>
          <w:noProof/>
        </w:rPr>
      </w:pPr>
      <w:r w:rsidRPr="008D666E">
        <w:rPr>
          <w:noProof/>
        </w:rPr>
        <w:t>(37)</w:t>
      </w:r>
      <w:r w:rsidRPr="008D666E">
        <w:rPr>
          <w:noProof/>
        </w:rPr>
        <w:tab/>
      </w:r>
      <w:r w:rsidR="00466B4C" w:rsidRPr="00D207EA">
        <w:rPr>
          <w:noProof/>
        </w:rPr>
        <w:t>«fonds spécifique»: un fonds par l’intermédiaire duquel une autorité de gestion ou un fonds à participation fournit des produits financiers à des destinataires finaux;</w:t>
      </w:r>
    </w:p>
    <w:p w14:paraId="2B7292A6" w14:textId="3F217F95" w:rsidR="00615C38" w:rsidRPr="00D207EA" w:rsidRDefault="008D666E" w:rsidP="008D666E">
      <w:pPr>
        <w:pStyle w:val="Point0"/>
        <w:rPr>
          <w:noProof/>
        </w:rPr>
      </w:pPr>
      <w:r w:rsidRPr="008D666E">
        <w:rPr>
          <w:noProof/>
        </w:rPr>
        <w:t>(38)</w:t>
      </w:r>
      <w:r w:rsidRPr="008D666E">
        <w:rPr>
          <w:noProof/>
        </w:rPr>
        <w:tab/>
      </w:r>
      <w:r w:rsidR="00466B4C" w:rsidRPr="00D207EA">
        <w:rPr>
          <w:noProof/>
        </w:rPr>
        <w:t>«organisme mettant en œuvre un instrument financier»: un organisme, de droit public ou privé, accomplissant les tâches d’un fonds à participation ou d’un fonds spécifique;</w:t>
      </w:r>
    </w:p>
    <w:p w14:paraId="6570BEBF" w14:textId="0CF21BCF" w:rsidR="00BB3F16" w:rsidRPr="00D207EA" w:rsidRDefault="008D666E" w:rsidP="008D666E">
      <w:pPr>
        <w:pStyle w:val="Point0"/>
        <w:rPr>
          <w:noProof/>
        </w:rPr>
      </w:pPr>
      <w:r w:rsidRPr="008D666E">
        <w:rPr>
          <w:noProof/>
        </w:rPr>
        <w:t>(39)</w:t>
      </w:r>
      <w:r w:rsidRPr="008D666E">
        <w:rPr>
          <w:noProof/>
        </w:rPr>
        <w:tab/>
      </w:r>
      <w:r w:rsidR="00BB3F16" w:rsidRPr="00D207EA">
        <w:rPr>
          <w:noProof/>
        </w:rPr>
        <w:t>«régions moins développées»: les régions dont le PIB par habitant est inférieur à 75 % du PIB moyen par habitant de l’EU-27;</w:t>
      </w:r>
    </w:p>
    <w:p w14:paraId="31529A6D" w14:textId="79715C62" w:rsidR="00BB3F16" w:rsidRPr="00D207EA" w:rsidRDefault="008D666E" w:rsidP="008D666E">
      <w:pPr>
        <w:pStyle w:val="Point0"/>
        <w:rPr>
          <w:noProof/>
        </w:rPr>
      </w:pPr>
      <w:r w:rsidRPr="008D666E">
        <w:rPr>
          <w:noProof/>
        </w:rPr>
        <w:t>(40)</w:t>
      </w:r>
      <w:r w:rsidRPr="008D666E">
        <w:rPr>
          <w:noProof/>
        </w:rPr>
        <w:tab/>
      </w:r>
      <w:r w:rsidR="00BB3F16" w:rsidRPr="00D207EA">
        <w:rPr>
          <w:noProof/>
        </w:rPr>
        <w:t>«régions en transition»: les régions dont le PIB par habitant est compris entre 75 % et 100 % du PIB moyen par habitant de l’EU-27;</w:t>
      </w:r>
    </w:p>
    <w:p w14:paraId="48FB16CC" w14:textId="6E777FDE" w:rsidR="00DE73AC" w:rsidRPr="00D207EA" w:rsidRDefault="008D666E" w:rsidP="008D666E">
      <w:pPr>
        <w:pStyle w:val="Point0"/>
        <w:rPr>
          <w:noProof/>
        </w:rPr>
      </w:pPr>
      <w:r w:rsidRPr="008D666E">
        <w:rPr>
          <w:noProof/>
        </w:rPr>
        <w:t>(41)</w:t>
      </w:r>
      <w:r w:rsidRPr="008D666E">
        <w:rPr>
          <w:noProof/>
        </w:rPr>
        <w:tab/>
      </w:r>
      <w:r w:rsidR="00BB3F16" w:rsidRPr="00D207EA">
        <w:rPr>
          <w:noProof/>
        </w:rPr>
        <w:t>«régions plus développées»: les régions dont le PIB par habitant est supérieur à 100 % du PIB moyen par habitant de l’EU-27.</w:t>
      </w:r>
    </w:p>
    <w:p w14:paraId="63A669B9" w14:textId="77777777" w:rsidR="0057550C" w:rsidRPr="00D207EA" w:rsidRDefault="007F3A98" w:rsidP="00BD329E">
      <w:pPr>
        <w:pStyle w:val="Text1"/>
        <w:rPr>
          <w:noProof/>
        </w:rPr>
      </w:pPr>
      <w:r w:rsidRPr="00D207EA">
        <w:rPr>
          <w:noProof/>
        </w:rPr>
        <w:t xml:space="preserve">Le classement des régions dans l’une des trois catégories de régions est déterminé sur la base du rapport entre le PIB </w:t>
      </w:r>
      <w:r w:rsidRPr="00D207EA">
        <w:rPr>
          <w:i/>
          <w:iCs/>
          <w:noProof/>
        </w:rPr>
        <w:t>par habitant</w:t>
      </w:r>
      <w:r w:rsidRPr="00D207EA">
        <w:rPr>
          <w:noProof/>
        </w:rPr>
        <w:t xml:space="preserve"> de chaque région, mesuré en standards de pouvoir d’achat (SPA) et calculé à partir des données de l’Union pour la période 2021-2023, et le PIB moyen </w:t>
      </w:r>
      <w:r w:rsidRPr="00D207EA">
        <w:rPr>
          <w:i/>
          <w:iCs/>
          <w:noProof/>
        </w:rPr>
        <w:t>par habitant</w:t>
      </w:r>
      <w:r w:rsidRPr="00D207EA">
        <w:rPr>
          <w:noProof/>
        </w:rPr>
        <w:t xml:space="preserve"> de l’EU-27 pour la même période de référence.</w:t>
      </w:r>
    </w:p>
    <w:p w14:paraId="0232C157" w14:textId="77777777" w:rsidR="000D3DB6" w:rsidRPr="00D207EA" w:rsidRDefault="000D3DB6" w:rsidP="00BD329E">
      <w:pPr>
        <w:pStyle w:val="Text1"/>
        <w:rPr>
          <w:noProof/>
        </w:rPr>
      </w:pPr>
      <w:r w:rsidRPr="00D207EA">
        <w:rPr>
          <w:noProof/>
        </w:rPr>
        <w:t>La Commission adopte, par voie d’acte d’exécution, une décision établissant la liste des régions qui répondent aux critères de l’une des trois catégories de région visées aux points 38 à 40, et des États membres qui répondent aux critères établis à l’article 22, paragraphe 2, point a). Cette liste est valable du 1</w:t>
      </w:r>
      <w:r w:rsidRPr="00D207EA">
        <w:rPr>
          <w:noProof/>
          <w:vertAlign w:val="superscript"/>
        </w:rPr>
        <w:t>er</w:t>
      </w:r>
      <w:r w:rsidRPr="00D207EA">
        <w:rPr>
          <w:noProof/>
        </w:rPr>
        <w:t> janvier 2028 au 31 décembre 2034.</w:t>
      </w:r>
    </w:p>
    <w:p w14:paraId="702FE5FE" w14:textId="77777777" w:rsidR="009418A6" w:rsidRPr="00D207EA" w:rsidRDefault="009418A6" w:rsidP="009418A6">
      <w:pPr>
        <w:pStyle w:val="Titrearticle"/>
        <w:rPr>
          <w:b/>
          <w:bCs/>
          <w:noProof/>
        </w:rPr>
      </w:pPr>
      <w:r w:rsidRPr="00D207EA">
        <w:rPr>
          <w:noProof/>
        </w:rPr>
        <w:t>Article 5</w:t>
      </w:r>
      <w:r w:rsidRPr="00D207EA">
        <w:rPr>
          <w:noProof/>
        </w:rPr>
        <w:br/>
      </w:r>
      <w:r w:rsidRPr="00D207EA">
        <w:rPr>
          <w:b/>
          <w:noProof/>
        </w:rPr>
        <w:t>Gestion du Fonds</w:t>
      </w:r>
    </w:p>
    <w:p w14:paraId="789734BD" w14:textId="77777777" w:rsidR="008A624B" w:rsidRPr="00D207EA" w:rsidRDefault="7F83ED7A" w:rsidP="00C21519">
      <w:pPr>
        <w:pStyle w:val="NumPar10000000"/>
        <w:numPr>
          <w:ilvl w:val="0"/>
          <w:numId w:val="132"/>
        </w:numPr>
        <w:tabs>
          <w:tab w:val="clear" w:pos="850"/>
        </w:tabs>
        <w:rPr>
          <w:noProof/>
        </w:rPr>
      </w:pPr>
      <w:r w:rsidRPr="00D207EA">
        <w:rPr>
          <w:noProof/>
        </w:rPr>
        <w:t>Les États membres et la Commission mettent en œuvre l’enveloppe financée par le budget de l’Union et toute ressource additionnelle allouée aux plans PNR et au plan Interreg dans le cadre de la gestion partagée conformément à l’article 62, paragraphe 1, premier alinéa, point b), du règlement (UE, Euratom) 2024/2509, sans préjudice du paragraphe 2 du présent article et de l’article 6, paragraphe 3, du règlement XX [Développement régional, plan Interreg] [dispositions prévoyant le recours à la gestion indirecte en cas de certains types de coopération Interreg].</w:t>
      </w:r>
    </w:p>
    <w:p w14:paraId="5BCF23FB" w14:textId="77777777" w:rsidR="008A624B" w:rsidRPr="00D207EA" w:rsidRDefault="008A624B" w:rsidP="00C21519">
      <w:pPr>
        <w:pStyle w:val="NumPar10000000"/>
        <w:numPr>
          <w:ilvl w:val="0"/>
          <w:numId w:val="132"/>
        </w:numPr>
        <w:tabs>
          <w:tab w:val="clear" w:pos="850"/>
        </w:tabs>
        <w:rPr>
          <w:noProof/>
        </w:rPr>
      </w:pPr>
      <w:r w:rsidRPr="00D207EA">
        <w:rPr>
          <w:noProof/>
        </w:rPr>
        <w:t>La Commission met en œuvre le titre IV sur la Facilité en mode direct, partagé ou indirect, conformément à l’article 62, paragraphe 1, premier alinéa, points a), b) et c), du règlement (UE, Euratom) 2024/2509.</w:t>
      </w:r>
    </w:p>
    <w:p w14:paraId="34A42EA0" w14:textId="77777777" w:rsidR="00664290" w:rsidRPr="00D207EA" w:rsidRDefault="008A624B" w:rsidP="00C21519">
      <w:pPr>
        <w:pStyle w:val="NumPar10000000"/>
        <w:numPr>
          <w:ilvl w:val="0"/>
          <w:numId w:val="132"/>
        </w:numPr>
        <w:tabs>
          <w:tab w:val="clear" w:pos="850"/>
        </w:tabs>
        <w:rPr>
          <w:noProof/>
        </w:rPr>
      </w:pPr>
      <w:r w:rsidRPr="00D207EA">
        <w:rPr>
          <w:noProof/>
        </w:rPr>
        <w:t>L’assistance technique à l’initiative de la Commission visée à l’article 10 est mise en œuvre en gestion directe ou indirecte, conformément à l’article 62, paragraphe 1, premier alinéa, points a) et c), du règlement (UE, Euratom) 2024/2509.</w:t>
      </w:r>
    </w:p>
    <w:p w14:paraId="199D6CD2" w14:textId="77777777" w:rsidR="00053CB3" w:rsidRPr="00D207EA" w:rsidRDefault="009418A6" w:rsidP="00BD329E">
      <w:pPr>
        <w:pStyle w:val="Titrearticle"/>
        <w:rPr>
          <w:i w:val="0"/>
          <w:iCs/>
          <w:noProof/>
        </w:rPr>
      </w:pPr>
      <w:r w:rsidRPr="00D207EA">
        <w:rPr>
          <w:noProof/>
        </w:rPr>
        <w:t>Article 6</w:t>
      </w:r>
      <w:r w:rsidRPr="00D207EA">
        <w:rPr>
          <w:noProof/>
        </w:rPr>
        <w:br/>
      </w:r>
      <w:r w:rsidRPr="00D207EA">
        <w:rPr>
          <w:b/>
          <w:noProof/>
        </w:rPr>
        <w:t>Partenariat et gouvernance à plusieurs niveaux</w:t>
      </w:r>
    </w:p>
    <w:p w14:paraId="47646CB6" w14:textId="77777777" w:rsidR="00053CB3" w:rsidRPr="00D207EA" w:rsidRDefault="00053CB3" w:rsidP="00C21519">
      <w:pPr>
        <w:pStyle w:val="NumPar10000000"/>
        <w:numPr>
          <w:ilvl w:val="0"/>
          <w:numId w:val="131"/>
        </w:numPr>
        <w:rPr>
          <w:noProof/>
        </w:rPr>
      </w:pPr>
      <w:r w:rsidRPr="00D207EA">
        <w:rPr>
          <w:noProof/>
        </w:rPr>
        <w:t>Pour le plan PNR et chaque chapitre, ainsi que pour le chapitre du plan Interreg visé au chapitre II du règlement XX [Développement régional, plan Interreg], chaque État membre organise et met en œuvre un partenariat global conformément à son cadre institutionnel et juridique et compte tenu des spécificités des chapitres concernés. Ce partenariat comprend une représentation équilibrée des partenaires suivants: </w:t>
      </w:r>
    </w:p>
    <w:p w14:paraId="72AB5356" w14:textId="60386495" w:rsidR="00053CB3" w:rsidRPr="00D207EA" w:rsidRDefault="008D666E" w:rsidP="008D666E">
      <w:pPr>
        <w:pStyle w:val="Point10"/>
        <w:rPr>
          <w:noProof/>
        </w:rPr>
      </w:pPr>
      <w:r w:rsidRPr="008D666E">
        <w:rPr>
          <w:noProof/>
        </w:rPr>
        <w:t>(a)</w:t>
      </w:r>
      <w:r w:rsidRPr="008D666E">
        <w:rPr>
          <w:noProof/>
        </w:rPr>
        <w:tab/>
      </w:r>
      <w:r w:rsidR="00053CB3" w:rsidRPr="00D207EA">
        <w:rPr>
          <w:noProof/>
        </w:rPr>
        <w:t>les autorités régionales, locales, urbaines, rurales et autres autorités publiques ou les associations représentant ces autorités; </w:t>
      </w:r>
    </w:p>
    <w:p w14:paraId="31A9068D" w14:textId="74B50973" w:rsidR="00053CB3" w:rsidRPr="00D207EA" w:rsidRDefault="008D666E" w:rsidP="008D666E">
      <w:pPr>
        <w:pStyle w:val="Point10"/>
        <w:rPr>
          <w:noProof/>
        </w:rPr>
      </w:pPr>
      <w:r w:rsidRPr="008D666E">
        <w:rPr>
          <w:noProof/>
        </w:rPr>
        <w:t>(b)</w:t>
      </w:r>
      <w:r w:rsidRPr="008D666E">
        <w:rPr>
          <w:noProof/>
        </w:rPr>
        <w:tab/>
      </w:r>
      <w:r w:rsidR="00053CB3" w:rsidRPr="00D207EA">
        <w:rPr>
          <w:noProof/>
        </w:rPr>
        <w:t>les partenaires économiques et sociaux, y compris les agriculteurs, les pêcheurs et leurs organisations; </w:t>
      </w:r>
    </w:p>
    <w:p w14:paraId="3C6D0FE3" w14:textId="28D0FE35" w:rsidR="00053CB3" w:rsidRPr="00D207EA" w:rsidRDefault="008D666E" w:rsidP="008D666E">
      <w:pPr>
        <w:pStyle w:val="Point10"/>
        <w:rPr>
          <w:noProof/>
        </w:rPr>
      </w:pPr>
      <w:r w:rsidRPr="008D666E">
        <w:rPr>
          <w:noProof/>
        </w:rPr>
        <w:t>(c)</w:t>
      </w:r>
      <w:r w:rsidRPr="008D666E">
        <w:rPr>
          <w:noProof/>
        </w:rPr>
        <w:tab/>
      </w:r>
      <w:r w:rsidR="00053CB3" w:rsidRPr="00D207EA">
        <w:rPr>
          <w:noProof/>
        </w:rPr>
        <w:t>les organismes concernés représentant la société civile, tels que les partenaires environnementaux, les organisations non gouvernementales, les organisations de jeunesse ainsi que les organismes chargés de promouvoir l’inclusion sociale, les droits fondamentaux, les droits des personnes handicapées, l’égalité de genre et la non-discrimination, et les institutions et les organisations de défense des droits de l’homme; </w:t>
      </w:r>
    </w:p>
    <w:p w14:paraId="3F0747F0" w14:textId="62CE8BAB" w:rsidR="00053CB3" w:rsidRPr="00D207EA" w:rsidRDefault="008D666E" w:rsidP="008D666E">
      <w:pPr>
        <w:pStyle w:val="Point10"/>
        <w:rPr>
          <w:noProof/>
        </w:rPr>
      </w:pPr>
      <w:r w:rsidRPr="008D666E">
        <w:rPr>
          <w:noProof/>
        </w:rPr>
        <w:t>(d)</w:t>
      </w:r>
      <w:r w:rsidRPr="008D666E">
        <w:rPr>
          <w:noProof/>
        </w:rPr>
        <w:tab/>
      </w:r>
      <w:r w:rsidR="00053CB3" w:rsidRPr="00D207EA">
        <w:rPr>
          <w:noProof/>
        </w:rPr>
        <w:t>le cas échéant, les organisations de recherche et les universités.</w:t>
      </w:r>
    </w:p>
    <w:p w14:paraId="155F9F2D" w14:textId="7B6FA3B7" w:rsidR="00053CB3" w:rsidRPr="00D207EA" w:rsidRDefault="00053CB3" w:rsidP="00C21519">
      <w:pPr>
        <w:pStyle w:val="NumPar10000000"/>
        <w:numPr>
          <w:ilvl w:val="0"/>
          <w:numId w:val="131"/>
        </w:numPr>
        <w:rPr>
          <w:noProof/>
        </w:rPr>
      </w:pPr>
      <w:r w:rsidRPr="00D207EA">
        <w:rPr>
          <w:noProof/>
        </w:rPr>
        <w:t>Le partenariat établi conformément au paragraphe 1 fonctionne conformément au principe de la gouvernance à plusieurs niveaux et à une approche ascendante. L’État membre associe les partenaires visés à chaque point du paragraphe 1 à l’élaboration du plan ainsi que tout au long de l’élaboration, de la mise en œuvre et de l’évaluation des chapitres, notamment en les faisant participer aux comités de suivi conformément à l’article 55.</w:t>
      </w:r>
    </w:p>
    <w:p w14:paraId="106A44C9" w14:textId="04E89D65" w:rsidR="00053CB3" w:rsidRPr="00D207EA" w:rsidRDefault="00053CB3" w:rsidP="00C21519">
      <w:pPr>
        <w:pStyle w:val="NumPar10000000"/>
        <w:numPr>
          <w:ilvl w:val="0"/>
          <w:numId w:val="131"/>
        </w:numPr>
        <w:rPr>
          <w:noProof/>
        </w:rPr>
      </w:pPr>
      <w:r w:rsidRPr="00D207EA">
        <w:rPr>
          <w:noProof/>
        </w:rPr>
        <w:t>L’organisation et la mise en œuvre du partenariat sont effectuées conformément au code de conduite européen sur le partenariat établi par le règlement délégué (UE) nº 240/2014 de la Commission.</w:t>
      </w:r>
    </w:p>
    <w:p w14:paraId="57DD98C7" w14:textId="6AEACD2F" w:rsidR="00053CB3" w:rsidRPr="00D207EA" w:rsidRDefault="00053CB3" w:rsidP="00C21519">
      <w:pPr>
        <w:pStyle w:val="NumPar10000000"/>
        <w:numPr>
          <w:ilvl w:val="0"/>
          <w:numId w:val="131"/>
        </w:numPr>
        <w:rPr>
          <w:noProof/>
        </w:rPr>
      </w:pPr>
      <w:r w:rsidRPr="00D207EA">
        <w:rPr>
          <w:noProof/>
        </w:rPr>
        <w:t>En ce qui concerne les partenaires visés au paragraphe 1, point a), l’État membre veille à ce que toutes les autorités concernées par les chapitres pertinents du plan soient correctement représentées en fonction du niveau territorial correspondant et de la couverture géographique du chapitre, le cas échéant.</w:t>
      </w:r>
    </w:p>
    <w:p w14:paraId="6B3AE840" w14:textId="77777777" w:rsidR="00053CB3" w:rsidRPr="00D207EA" w:rsidRDefault="00053CB3" w:rsidP="00C21519">
      <w:pPr>
        <w:pStyle w:val="NumPar10000000"/>
        <w:numPr>
          <w:ilvl w:val="0"/>
          <w:numId w:val="131"/>
        </w:numPr>
        <w:rPr>
          <w:noProof/>
        </w:rPr>
      </w:pPr>
      <w:r w:rsidRPr="00D207EA">
        <w:rPr>
          <w:noProof/>
        </w:rPr>
        <w:t>Les États membres peuvent déroger aux exigences en matière de partenariat et de gouvernance à plusieurs niveaux aux fins du soutien de l’Union établi par le règlement (UE) 202X/XX [gestion des frontières] et le règlement (UE) 202X/XX [sécurité intérieure] si l’État membre le motive et le justifie dans son plan. Aux fins du soutien de l’Union en matière d’asile, de migration et d’intégration établi par le règlement (UE) 202X/XX [migration, asile et intégration], les partenariats réunissent les autorités régionales, locales, urbaines et autres autorités publiques ou les associations représentant ces autorités, les organisations de la société civile, telles que les organisations de réfugiés et les organisations dirigées par des migrants, ainsi que les institutions nationales de défense des droits de l’homme et les organismes de promotion de l’égalité, et, s’il y a lieu, les organisations internationales et les partenaires économiques et sociaux.</w:t>
      </w:r>
    </w:p>
    <w:p w14:paraId="4DECD6E9" w14:textId="4CCE6555" w:rsidR="00053CB3" w:rsidRPr="00D207EA" w:rsidRDefault="00053CB3" w:rsidP="00C21519">
      <w:pPr>
        <w:pStyle w:val="NumPar10000000"/>
        <w:numPr>
          <w:ilvl w:val="0"/>
          <w:numId w:val="131"/>
        </w:numPr>
        <w:rPr>
          <w:noProof/>
        </w:rPr>
      </w:pPr>
      <w:r w:rsidRPr="00D207EA">
        <w:rPr>
          <w:noProof/>
        </w:rPr>
        <w:t>Au moins une fois par an, la Commission consulte les organisations représentant les partenaires au niveau de l’Union en ce qui concerne la mise en œuvre des plans.</w:t>
      </w:r>
    </w:p>
    <w:p w14:paraId="11FD85A2" w14:textId="77777777" w:rsidR="009418A6" w:rsidRPr="00D207EA" w:rsidRDefault="009418A6" w:rsidP="009418A6">
      <w:pPr>
        <w:pStyle w:val="Titrearticle"/>
        <w:rPr>
          <w:noProof/>
        </w:rPr>
      </w:pPr>
      <w:r w:rsidRPr="00D207EA">
        <w:rPr>
          <w:noProof/>
        </w:rPr>
        <w:t>Article 7</w:t>
      </w:r>
      <w:r w:rsidRPr="00D207EA">
        <w:rPr>
          <w:noProof/>
        </w:rPr>
        <w:br/>
      </w:r>
      <w:r w:rsidRPr="00D207EA">
        <w:rPr>
          <w:b/>
          <w:noProof/>
        </w:rPr>
        <w:t>Principes horizontaux</w:t>
      </w:r>
    </w:p>
    <w:p w14:paraId="45FC5B49" w14:textId="77777777" w:rsidR="008A624B" w:rsidRPr="00D207EA" w:rsidRDefault="008A624B" w:rsidP="00C21519">
      <w:pPr>
        <w:pStyle w:val="NumPar10000000"/>
        <w:numPr>
          <w:ilvl w:val="0"/>
          <w:numId w:val="110"/>
        </w:numPr>
        <w:rPr>
          <w:noProof/>
        </w:rPr>
      </w:pPr>
      <w:r w:rsidRPr="00D207EA">
        <w:rPr>
          <w:noProof/>
        </w:rPr>
        <w:t>Les États membres conçoivent les mesures du plan PNR et du plan Interreg de manière à garantir le respect des éléments suivants:</w:t>
      </w:r>
    </w:p>
    <w:p w14:paraId="7D46EBA3" w14:textId="008AAAFE" w:rsidR="008A624B" w:rsidRPr="00D207EA" w:rsidRDefault="008D666E" w:rsidP="008D666E">
      <w:pPr>
        <w:pStyle w:val="Point10"/>
        <w:rPr>
          <w:noProof/>
        </w:rPr>
      </w:pPr>
      <w:r w:rsidRPr="008D666E">
        <w:rPr>
          <w:noProof/>
        </w:rPr>
        <w:t>(a)</w:t>
      </w:r>
      <w:r w:rsidRPr="008D666E">
        <w:rPr>
          <w:noProof/>
        </w:rPr>
        <w:tab/>
      </w:r>
      <w:r w:rsidR="008A624B" w:rsidRPr="00D207EA">
        <w:rPr>
          <w:noProof/>
        </w:rPr>
        <w:t>les principes de l’état de droit tels qu’énoncés à l’article 2, point a), et à l’article 3, du règlement (UE, Euratom) 2020/2092;</w:t>
      </w:r>
    </w:p>
    <w:p w14:paraId="24CAD08A" w14:textId="3629E6DE" w:rsidR="008A624B" w:rsidRPr="00D207EA" w:rsidRDefault="008D666E" w:rsidP="008D666E">
      <w:pPr>
        <w:pStyle w:val="Point10"/>
        <w:rPr>
          <w:noProof/>
        </w:rPr>
      </w:pPr>
      <w:r w:rsidRPr="008D666E">
        <w:rPr>
          <w:noProof/>
        </w:rPr>
        <w:t>(b)</w:t>
      </w:r>
      <w:r w:rsidRPr="008D666E">
        <w:rPr>
          <w:noProof/>
        </w:rPr>
        <w:tab/>
      </w:r>
      <w:r w:rsidR="008A624B" w:rsidRPr="00D207EA">
        <w:rPr>
          <w:noProof/>
        </w:rPr>
        <w:t>les droits, les libertés et les principes consacrés par la charte des droits fondamentaux de l’Union européenne.</w:t>
      </w:r>
    </w:p>
    <w:p w14:paraId="13AF0F95" w14:textId="77777777" w:rsidR="008A624B" w:rsidRPr="00D207EA" w:rsidRDefault="008A624B" w:rsidP="0072238E">
      <w:pPr>
        <w:pStyle w:val="Text1"/>
        <w:rPr>
          <w:noProof/>
        </w:rPr>
      </w:pPr>
      <w:r w:rsidRPr="00D207EA">
        <w:rPr>
          <w:noProof/>
        </w:rPr>
        <w:t>Les États membres respectent ces droits, libertés et principes tout au long de la préparation et de la mise en œuvre de leurs plans respectifs.</w:t>
      </w:r>
    </w:p>
    <w:p w14:paraId="3DF58B9D" w14:textId="77777777" w:rsidR="0054409B" w:rsidRPr="00D207EA" w:rsidRDefault="000352CA" w:rsidP="00C21519">
      <w:pPr>
        <w:pStyle w:val="NumPar10000000"/>
        <w:numPr>
          <w:ilvl w:val="0"/>
          <w:numId w:val="110"/>
        </w:numPr>
        <w:rPr>
          <w:noProof/>
        </w:rPr>
      </w:pPr>
      <w:r w:rsidRPr="00D207EA">
        <w:rPr>
          <w:noProof/>
        </w:rPr>
        <w:t>Les États membres et la Commission prennent les mesures appropriées pour prévenir toute discrimination fondée sur le sexe, l’origine raciale ou ethnique, la religion ou les convictions, le handicap, l’âge ou l’orientation sexuelle lors de l’élaboration, de la mise en œuvre, du suivi et de l’évaluation des plans ainsi que lors de l’établissement de rapports les concernant. En particulier, l’accessibilité pour les personnes handicapées est prise en compte tout au long de l’élaboration et de la mise en œuvre des plans.</w:t>
      </w:r>
    </w:p>
    <w:p w14:paraId="0FF9E0A0" w14:textId="3F9DF308" w:rsidR="00896F54" w:rsidRPr="00D207EA" w:rsidRDefault="57DDFE75" w:rsidP="00C21519">
      <w:pPr>
        <w:pStyle w:val="NumPar10000000"/>
        <w:numPr>
          <w:ilvl w:val="0"/>
          <w:numId w:val="110"/>
        </w:numPr>
        <w:rPr>
          <w:noProof/>
        </w:rPr>
      </w:pPr>
      <w:r w:rsidRPr="00D207EA">
        <w:rPr>
          <w:noProof/>
        </w:rPr>
        <w:t>Les paiements au titre des interventions visées à l’article 35, paragraphe 1, points a) à f), o) et p), dans la mesure où ils concernent le soutien aux produits agricoles locaux, sont subordonnés au respect de la «gérance des exploitations agricoles» prévue à l’article 3 du règlement (UE) 202X/XXXX [règlement relatif à la PAC]. Les paiements soumis aux exigences en matière de gérance des exploitations agricoles visées à l’annexe I, parties A et C, du règlement (UE) 202X/XXXX [règlement relatif à la PAC] sont réputés conformes au principe consistant à «ne pas causer de préjudice important» énoncé à l’article 33, paragraphe 2, point d), du règlement (UE, Euratom) 2024/2509.</w:t>
      </w:r>
    </w:p>
    <w:p w14:paraId="002B24C2" w14:textId="29815791" w:rsidR="0054409B" w:rsidRPr="00D207EA" w:rsidRDefault="008A624B" w:rsidP="00C21519">
      <w:pPr>
        <w:pStyle w:val="NumPar10000000"/>
        <w:numPr>
          <w:ilvl w:val="0"/>
          <w:numId w:val="110"/>
        </w:numPr>
        <w:rPr>
          <w:noProof/>
        </w:rPr>
      </w:pPr>
      <w:r w:rsidRPr="00D207EA">
        <w:rPr>
          <w:noProof/>
        </w:rPr>
        <w:t>Le soutien du Fonds s’ajoute aux financements publics nationaux.</w:t>
      </w:r>
    </w:p>
    <w:p w14:paraId="122DD6A9" w14:textId="77777777" w:rsidR="008A624B" w:rsidRPr="00D207EA" w:rsidRDefault="008A624B" w:rsidP="00C21519">
      <w:pPr>
        <w:pStyle w:val="NumPar10000000"/>
        <w:numPr>
          <w:ilvl w:val="0"/>
          <w:numId w:val="110"/>
        </w:numPr>
        <w:rPr>
          <w:noProof/>
        </w:rPr>
      </w:pPr>
      <w:r w:rsidRPr="00D207EA">
        <w:rPr>
          <w:noProof/>
        </w:rPr>
        <w:t>La Commission et les États membres concernés assurent, proportionnellement à leurs responsabilités respectives, la coordination, la cohérence et les synergies entre le Fonds et les autres programmes et instruments de l’Union. À cette fin, ils garantissent: </w:t>
      </w:r>
    </w:p>
    <w:p w14:paraId="0390BD02" w14:textId="60FECA07" w:rsidR="008A624B" w:rsidRPr="00D207EA" w:rsidRDefault="008D666E" w:rsidP="008D666E">
      <w:pPr>
        <w:pStyle w:val="Point10"/>
        <w:rPr>
          <w:noProof/>
        </w:rPr>
      </w:pPr>
      <w:r w:rsidRPr="008D666E">
        <w:rPr>
          <w:noProof/>
        </w:rPr>
        <w:t>(a)</w:t>
      </w:r>
      <w:r w:rsidRPr="008D666E">
        <w:rPr>
          <w:noProof/>
        </w:rPr>
        <w:tab/>
      </w:r>
      <w:r w:rsidR="008A624B" w:rsidRPr="00D207EA">
        <w:rPr>
          <w:noProof/>
        </w:rPr>
        <w:t>la complémentarité et la cohérence entre les différents instruments aux niveaux national, régional et de l’Union, tant lors de la phase de planification que durant la mise en œuvre;</w:t>
      </w:r>
    </w:p>
    <w:p w14:paraId="62AFACA1" w14:textId="255C4CE6" w:rsidR="008A624B" w:rsidRPr="00D207EA" w:rsidRDefault="008D666E" w:rsidP="008D666E">
      <w:pPr>
        <w:pStyle w:val="Point10"/>
        <w:rPr>
          <w:noProof/>
        </w:rPr>
      </w:pPr>
      <w:r w:rsidRPr="008D666E">
        <w:rPr>
          <w:noProof/>
        </w:rPr>
        <w:t>(b)</w:t>
      </w:r>
      <w:r w:rsidRPr="008D666E">
        <w:rPr>
          <w:noProof/>
        </w:rPr>
        <w:tab/>
      </w:r>
      <w:r w:rsidR="008A624B" w:rsidRPr="00D207EA">
        <w:rPr>
          <w:noProof/>
        </w:rPr>
        <w:t>une coopération étroite entre les autorités responsables de la mise en œuvre et du contrôle aux niveaux national, régional et de l’Union pour atteindre les objectifs du Fonds et les synergies entre les mesures au titre des différents objectifs du Fonds.</w:t>
      </w:r>
    </w:p>
    <w:p w14:paraId="087E83A6" w14:textId="62093176" w:rsidR="008A624B" w:rsidRPr="00D207EA" w:rsidRDefault="008A624B" w:rsidP="007C1C62">
      <w:pPr>
        <w:pStyle w:val="Text1"/>
        <w:rPr>
          <w:noProof/>
        </w:rPr>
      </w:pPr>
      <w:r w:rsidRPr="00D207EA">
        <w:rPr>
          <w:noProof/>
        </w:rPr>
        <w:t>Les opérations peuvent bénéficier du soutien d’autres programmes et instruments de l’Union, à condition que ce soutien et les valeurs intermédiaires et les valeurs cibles donnant lieu à des paiements ne couvrent pas les mêmes coûts. Aux fins du premier alinéa, les États membres et la Commission coopèrent à la conception et à la mise en œuvre des opérations qui sont financées cumulativement au titre du plan et d’un autre programme de l’Union afin d’éviter tout double financement.</w:t>
      </w:r>
    </w:p>
    <w:p w14:paraId="788D3737" w14:textId="77777777" w:rsidR="004266B4" w:rsidRPr="00D207EA" w:rsidRDefault="004266B4" w:rsidP="2B51165D">
      <w:pPr>
        <w:pStyle w:val="Titrearticle"/>
        <w:rPr>
          <w:b/>
          <w:bCs/>
          <w:noProof/>
        </w:rPr>
      </w:pPr>
      <w:r w:rsidRPr="00D207EA">
        <w:rPr>
          <w:noProof/>
        </w:rPr>
        <w:t>Article 8</w:t>
      </w:r>
      <w:r w:rsidRPr="00D207EA">
        <w:rPr>
          <w:noProof/>
        </w:rPr>
        <w:br/>
      </w:r>
      <w:r w:rsidRPr="00D207EA">
        <w:rPr>
          <w:b/>
          <w:noProof/>
        </w:rPr>
        <w:t>Respect des droits, des libertés et des principes consacrés par la charte des droits fondamentaux</w:t>
      </w:r>
    </w:p>
    <w:p w14:paraId="5C8C36DC" w14:textId="77777777" w:rsidR="00D70928" w:rsidRPr="00D207EA" w:rsidRDefault="00AB592B" w:rsidP="00C21519">
      <w:pPr>
        <w:pStyle w:val="NumPar10000000"/>
        <w:numPr>
          <w:ilvl w:val="0"/>
          <w:numId w:val="112"/>
        </w:numPr>
        <w:rPr>
          <w:noProof/>
        </w:rPr>
      </w:pPr>
      <w:r w:rsidRPr="00D207EA">
        <w:rPr>
          <w:noProof/>
        </w:rPr>
        <w:t xml:space="preserve">Les États membres mettent et maintiennent en place des mécanismes efficaces pour que les mesures soutenues par leurs plans et leur mise en œuvre soient conformes aux dispositions pertinentes de la charte des droits fondamentaux de l’Union européenne pendant toute la mise en œuvre du Fonds («condition horizontale relative à la charte»). </w:t>
      </w:r>
    </w:p>
    <w:p w14:paraId="0A2175C2" w14:textId="77777777" w:rsidR="008E0E94" w:rsidRPr="00D207EA" w:rsidRDefault="00AB592B" w:rsidP="000B75DE">
      <w:pPr>
        <w:pStyle w:val="Text1"/>
        <w:rPr>
          <w:noProof/>
        </w:rPr>
      </w:pPr>
      <w:r w:rsidRPr="00D207EA">
        <w:rPr>
          <w:noProof/>
        </w:rPr>
        <w:t>Ils fournissent une évaluation de ces mécanismes, conformément à l’article 22, paragraphe 2, point q) [exigences relatives au plan PNR], et informent la Commission de toute modification ayant une incidence sur le respect de la condition horizontale relative à la charte.</w:t>
      </w:r>
    </w:p>
    <w:p w14:paraId="40AF532A" w14:textId="77777777" w:rsidR="004266B4" w:rsidRPr="00D207EA" w:rsidRDefault="004266B4" w:rsidP="00C21519">
      <w:pPr>
        <w:pStyle w:val="NumPar10000000"/>
        <w:numPr>
          <w:ilvl w:val="0"/>
          <w:numId w:val="110"/>
        </w:numPr>
        <w:rPr>
          <w:noProof/>
        </w:rPr>
      </w:pPr>
      <w:r w:rsidRPr="00D207EA">
        <w:rPr>
          <w:noProof/>
        </w:rPr>
        <w:t>Lorsque la Commission considère qu’un État membre ne remplit pas ou plus la condition horizontale relative à la charte, comme prévu au paragraphe 1, elle informe l’État membre concerné de son évaluation, fondée sur des informations fournies par l’État membre concerné dans son plan PNR en réponse aux observations de la Commission, et compte tenu des informations pertinentes, y compris les rapports nationaux sur l’état de droit et le Semestre européen.</w:t>
      </w:r>
    </w:p>
    <w:p w14:paraId="21165B3C" w14:textId="77777777" w:rsidR="008E0E94" w:rsidRPr="00D207EA" w:rsidRDefault="004266B4" w:rsidP="00C21519">
      <w:pPr>
        <w:pStyle w:val="NumPar10000000"/>
        <w:numPr>
          <w:ilvl w:val="0"/>
          <w:numId w:val="110"/>
        </w:numPr>
        <w:rPr>
          <w:noProof/>
        </w:rPr>
      </w:pPr>
      <w:r w:rsidRPr="00D207EA">
        <w:rPr>
          <w:noProof/>
        </w:rPr>
        <w:t>L’État membre concerné peut présenter ses observations et d’éventuelles mesures correctives, y compris des modifications du plan PNR, dans les deux mois suivant la notification de l’évaluation conformément au paragraphe 2.</w:t>
      </w:r>
    </w:p>
    <w:p w14:paraId="71B6D2A1" w14:textId="15BB6944" w:rsidR="004266B4" w:rsidRPr="00D207EA" w:rsidRDefault="004266B4" w:rsidP="00C21519">
      <w:pPr>
        <w:pStyle w:val="NumPar10000000"/>
        <w:numPr>
          <w:ilvl w:val="0"/>
          <w:numId w:val="110"/>
        </w:numPr>
        <w:rPr>
          <w:noProof/>
        </w:rPr>
      </w:pPr>
      <w:r w:rsidRPr="00D207EA">
        <w:rPr>
          <w:noProof/>
        </w:rPr>
        <w:t>Lorsque la Commission conclut que la condition horizontale relative à la charte n’est pas remplie, elle adopte une décision d’exécution constatant le non-respect de ladite condition et précisant les mesures spécifiques du plan PNR concernées par ce non-respect, dans les deux mois suivant la réception des observations de l’État membre visées au paragraphe 3.</w:t>
      </w:r>
    </w:p>
    <w:p w14:paraId="0DBB4F6C" w14:textId="77777777" w:rsidR="004266B4" w:rsidRPr="00D207EA" w:rsidRDefault="004266B4" w:rsidP="004266B4">
      <w:pPr>
        <w:pStyle w:val="Text1"/>
        <w:rPr>
          <w:noProof/>
        </w:rPr>
      </w:pPr>
      <w:r w:rsidRPr="00D207EA">
        <w:rPr>
          <w:noProof/>
        </w:rPr>
        <w:t>À cette fin, les aspects suivants du non-respect de la condition horizontale relative à la charte sont pris en considération:</w:t>
      </w:r>
    </w:p>
    <w:p w14:paraId="65E2891F" w14:textId="71E97C8E" w:rsidR="004266B4" w:rsidRPr="00D207EA" w:rsidRDefault="008D666E" w:rsidP="008D666E">
      <w:pPr>
        <w:pStyle w:val="Point10"/>
        <w:rPr>
          <w:noProof/>
        </w:rPr>
      </w:pPr>
      <w:r w:rsidRPr="008D666E">
        <w:rPr>
          <w:noProof/>
        </w:rPr>
        <w:t>(a)</w:t>
      </w:r>
      <w:r w:rsidRPr="008D666E">
        <w:rPr>
          <w:noProof/>
        </w:rPr>
        <w:tab/>
      </w:r>
      <w:r w:rsidR="004266B4" w:rsidRPr="00D207EA">
        <w:rPr>
          <w:noProof/>
        </w:rPr>
        <w:t>l’incidence réelle ou potentielle sur la bonne gestion financière du budget de l’Union ou sur les intérêts financiers de l’Union;</w:t>
      </w:r>
    </w:p>
    <w:p w14:paraId="3EB34E84" w14:textId="77F7A107" w:rsidR="004266B4" w:rsidRPr="00D207EA" w:rsidRDefault="008D666E" w:rsidP="008D666E">
      <w:pPr>
        <w:pStyle w:val="Point10"/>
        <w:rPr>
          <w:noProof/>
        </w:rPr>
      </w:pPr>
      <w:r w:rsidRPr="008D666E">
        <w:rPr>
          <w:noProof/>
        </w:rPr>
        <w:t>(b)</w:t>
      </w:r>
      <w:r w:rsidRPr="008D666E">
        <w:rPr>
          <w:noProof/>
        </w:rPr>
        <w:tab/>
      </w:r>
      <w:r w:rsidR="004266B4" w:rsidRPr="00D207EA">
        <w:rPr>
          <w:noProof/>
        </w:rPr>
        <w:t>la nature, la durée, la gravité et la portée.</w:t>
      </w:r>
    </w:p>
    <w:p w14:paraId="7FD7F923" w14:textId="77777777" w:rsidR="004266B4" w:rsidRPr="00D207EA" w:rsidRDefault="004266B4" w:rsidP="00C21519">
      <w:pPr>
        <w:pStyle w:val="NumPar10000000"/>
        <w:numPr>
          <w:ilvl w:val="0"/>
          <w:numId w:val="110"/>
        </w:numPr>
        <w:rPr>
          <w:noProof/>
        </w:rPr>
      </w:pPr>
      <w:r w:rsidRPr="00D207EA">
        <w:rPr>
          <w:noProof/>
        </w:rPr>
        <w:t>L’État membre peut présenter des demandes de paiement pour les mesures spécifiques déterminées dans la décision visée au paragraphe 4, mais la Commission n’effectue pas les paiements correspondants tant que la condition horizontale relative à la charte n’est pas remplie.</w:t>
      </w:r>
    </w:p>
    <w:p w14:paraId="1B7DB618" w14:textId="77777777" w:rsidR="004266B4" w:rsidRPr="00D207EA" w:rsidRDefault="004266B4" w:rsidP="00C21519">
      <w:pPr>
        <w:pStyle w:val="NumPar10000000"/>
        <w:numPr>
          <w:ilvl w:val="0"/>
          <w:numId w:val="110"/>
        </w:numPr>
        <w:rPr>
          <w:noProof/>
        </w:rPr>
      </w:pPr>
      <w:r w:rsidRPr="00D207EA">
        <w:rPr>
          <w:noProof/>
        </w:rPr>
        <w:t>L’État membre concerné informe la Commission dès qu’il considère que la condition horizontale relative à la charte est remplie. La Commission évalue ces informations dans les deux mois suivant leur réception. Lorsqu’elle considère que la condition horizontale relative à la charte est remplie, elle abroge la décision visée au paragraphe 4.</w:t>
      </w:r>
    </w:p>
    <w:p w14:paraId="40BF6C4B" w14:textId="77777777" w:rsidR="004266B4" w:rsidRPr="00D207EA" w:rsidRDefault="004266B4" w:rsidP="004266B4">
      <w:pPr>
        <w:pStyle w:val="Text1"/>
        <w:rPr>
          <w:noProof/>
        </w:rPr>
      </w:pPr>
      <w:r w:rsidRPr="00D207EA">
        <w:rPr>
          <w:noProof/>
        </w:rPr>
        <w:t>Lorsque la Commission n’est pas d’accord avec l’État membre sur le respect de la condition horizontale relative à la charte, elle en informe ce dernier et lui fait part de son évaluation.</w:t>
      </w:r>
    </w:p>
    <w:p w14:paraId="0AAA4E38" w14:textId="77777777" w:rsidR="004266B4" w:rsidRPr="00D207EA" w:rsidRDefault="004266B4" w:rsidP="00C21519">
      <w:pPr>
        <w:pStyle w:val="NumPar10000000"/>
        <w:numPr>
          <w:ilvl w:val="0"/>
          <w:numId w:val="110"/>
        </w:numPr>
        <w:rPr>
          <w:noProof/>
        </w:rPr>
      </w:pPr>
      <w:r w:rsidRPr="00D207EA">
        <w:rPr>
          <w:noProof/>
        </w:rPr>
        <w:t>La Commission réduit proportionnellement la contribution financière de l’Union de l’État membre pour ce qui est des mesures spécifiques concernées ou, pour ce qui est du soutien sous forme de prêt, prend toute mesure disponible dans le cadre du contrat de prêt, lorsque la décision visée au paragraphe 4 n’a pas été abrogée dans un délai d’un an à compter de son adoption.</w:t>
      </w:r>
    </w:p>
    <w:p w14:paraId="42876D12" w14:textId="77777777" w:rsidR="00B677CC" w:rsidRPr="00D207EA" w:rsidRDefault="00B677CC" w:rsidP="00C21519">
      <w:pPr>
        <w:pStyle w:val="NumPar10000000"/>
        <w:numPr>
          <w:ilvl w:val="0"/>
          <w:numId w:val="110"/>
        </w:numPr>
        <w:rPr>
          <w:noProof/>
        </w:rPr>
      </w:pPr>
      <w:r w:rsidRPr="00D207EA">
        <w:rPr>
          <w:noProof/>
        </w:rPr>
        <w:t>Si la violation constatée par la Commission peut également constituer une violation de la condition horizontale de l’état de droit, la procédure prévue à l’article 9 est activée en priorité.</w:t>
      </w:r>
    </w:p>
    <w:p w14:paraId="60702441" w14:textId="77777777" w:rsidR="009418A6" w:rsidRPr="00D207EA" w:rsidRDefault="009418A6" w:rsidP="2B51165D">
      <w:pPr>
        <w:pStyle w:val="Titrearticle"/>
        <w:rPr>
          <w:b/>
          <w:bCs/>
          <w:noProof/>
        </w:rPr>
      </w:pPr>
      <w:r w:rsidRPr="00D207EA">
        <w:rPr>
          <w:noProof/>
        </w:rPr>
        <w:t>Article 9</w:t>
      </w:r>
      <w:r w:rsidRPr="00D207EA">
        <w:rPr>
          <w:noProof/>
        </w:rPr>
        <w:br/>
      </w:r>
      <w:r w:rsidRPr="00D207EA">
        <w:rPr>
          <w:b/>
          <w:noProof/>
        </w:rPr>
        <w:t>Respect des principes de l’état de droit</w:t>
      </w:r>
    </w:p>
    <w:p w14:paraId="492BADDA" w14:textId="1D066E74" w:rsidR="00EB047D" w:rsidRPr="00D207EA" w:rsidRDefault="00EB047D" w:rsidP="00C21519">
      <w:pPr>
        <w:pStyle w:val="NumPar10000000"/>
        <w:numPr>
          <w:ilvl w:val="0"/>
          <w:numId w:val="115"/>
        </w:numPr>
        <w:rPr>
          <w:noProof/>
        </w:rPr>
      </w:pPr>
      <w:r w:rsidRPr="00D207EA">
        <w:rPr>
          <w:noProof/>
        </w:rPr>
        <w:t>Les États membres veillent au respect des principes de l’état de droit énoncés à l’article 2, point a), et à l’article 3 du règlement (UE, Euratom) 2020/2092 pendant toute la mise en œuvre du Fonds (la «condition horizontale relative à l’état de droit»). Ils informent la Commission de toute modification ayant une incidence sur le respect de ladite condition.</w:t>
      </w:r>
    </w:p>
    <w:p w14:paraId="2BB94EAD" w14:textId="77777777" w:rsidR="008C289D" w:rsidRPr="00D207EA" w:rsidRDefault="008C289D" w:rsidP="00C21519">
      <w:pPr>
        <w:pStyle w:val="NumPar10000000"/>
        <w:numPr>
          <w:ilvl w:val="0"/>
          <w:numId w:val="110"/>
        </w:numPr>
        <w:rPr>
          <w:noProof/>
        </w:rPr>
      </w:pPr>
      <w:r w:rsidRPr="00D207EA">
        <w:rPr>
          <w:noProof/>
        </w:rPr>
        <w:t>Lorsque la Commission considère qu’un État membre ne remplit pas ou plus la condition horizontale relative à l’état de droit, elle informe l’État membre concerné de son évaluation, en tenant compte des informations pertinentes, y compris celles fournies par l’État membre concerné dans son plan PNR en réponse aux observations de la Commission et dans les rapports nationaux sur l’état de droit et le Semestre européen.</w:t>
      </w:r>
    </w:p>
    <w:p w14:paraId="7F0C0B73" w14:textId="77777777" w:rsidR="00073574" w:rsidRPr="00D207EA" w:rsidRDefault="00EB047D" w:rsidP="00C21519">
      <w:pPr>
        <w:pStyle w:val="NumPar10000000"/>
        <w:numPr>
          <w:ilvl w:val="0"/>
          <w:numId w:val="110"/>
        </w:numPr>
        <w:rPr>
          <w:noProof/>
        </w:rPr>
      </w:pPr>
      <w:r w:rsidRPr="00D207EA">
        <w:rPr>
          <w:noProof/>
        </w:rPr>
        <w:t>L’État membre concerné peut présenter ses observations et d’éventuelles mesures correctives, y compris des modifications du plan PNR, dans les deux mois suivant la notification de l’évaluation conformément au paragraphe 3.</w:t>
      </w:r>
    </w:p>
    <w:p w14:paraId="0C203B5C" w14:textId="77777777" w:rsidR="005900AA" w:rsidRPr="00D207EA" w:rsidRDefault="005900AA" w:rsidP="00C21519">
      <w:pPr>
        <w:pStyle w:val="NumPar10000000"/>
        <w:numPr>
          <w:ilvl w:val="0"/>
          <w:numId w:val="110"/>
        </w:numPr>
        <w:rPr>
          <w:noProof/>
        </w:rPr>
      </w:pPr>
      <w:r w:rsidRPr="00D207EA">
        <w:rPr>
          <w:noProof/>
        </w:rPr>
        <w:t>Lorsque la Commission conclut que la condition horizontale relative à l’état de droit n’est pas remplie, elle propose au conseil une décision d’exécution constatant le non-respect de ladite condition et précisant les mesures spécifiques du plan PNR concernées par ce non-respect, dans les deux mois suivant la réception des observations de l’État membre visées au paragraphe 4.</w:t>
      </w:r>
    </w:p>
    <w:p w14:paraId="4B91E035" w14:textId="77777777" w:rsidR="00D816FC" w:rsidRPr="00D207EA" w:rsidRDefault="00BC7E73" w:rsidP="00D816FC">
      <w:pPr>
        <w:pStyle w:val="Text1"/>
        <w:rPr>
          <w:noProof/>
        </w:rPr>
      </w:pPr>
      <w:r w:rsidRPr="00D207EA">
        <w:rPr>
          <w:noProof/>
        </w:rPr>
        <w:t>À cette fin, les aspects suivants du non-respect de la condition horizontale relative à l’état de droit sont pris en considération:</w:t>
      </w:r>
    </w:p>
    <w:p w14:paraId="36533C67" w14:textId="5BBCE059" w:rsidR="00504BDB" w:rsidRPr="00D207EA" w:rsidRDefault="008D666E" w:rsidP="008D666E">
      <w:pPr>
        <w:pStyle w:val="Point10"/>
        <w:rPr>
          <w:noProof/>
        </w:rPr>
      </w:pPr>
      <w:r w:rsidRPr="008D666E">
        <w:rPr>
          <w:noProof/>
        </w:rPr>
        <w:t>(a)</w:t>
      </w:r>
      <w:r w:rsidRPr="008D666E">
        <w:rPr>
          <w:noProof/>
        </w:rPr>
        <w:tab/>
      </w:r>
      <w:r w:rsidR="00504BDB" w:rsidRPr="00D207EA">
        <w:rPr>
          <w:noProof/>
        </w:rPr>
        <w:t>l’incidence réelle ou potentielle sur la bonne gestion financière du budget de l’Union ou sur les intérêts financiers de l’Union;</w:t>
      </w:r>
    </w:p>
    <w:p w14:paraId="32410B84" w14:textId="1D0ECC35" w:rsidR="001C07AC" w:rsidRPr="00D207EA" w:rsidRDefault="008D666E" w:rsidP="008D666E">
      <w:pPr>
        <w:pStyle w:val="Point10"/>
        <w:rPr>
          <w:noProof/>
        </w:rPr>
      </w:pPr>
      <w:r w:rsidRPr="008D666E">
        <w:rPr>
          <w:noProof/>
        </w:rPr>
        <w:t>(b)</w:t>
      </w:r>
      <w:r w:rsidRPr="008D666E">
        <w:rPr>
          <w:noProof/>
        </w:rPr>
        <w:tab/>
      </w:r>
      <w:r w:rsidR="001C07AC" w:rsidRPr="00D207EA">
        <w:rPr>
          <w:noProof/>
        </w:rPr>
        <w:t>la nature, la durée, la gravité et la portée.</w:t>
      </w:r>
    </w:p>
    <w:p w14:paraId="0463A777" w14:textId="77777777" w:rsidR="00662477" w:rsidRPr="00D207EA" w:rsidRDefault="00662477" w:rsidP="00662477">
      <w:pPr>
        <w:pStyle w:val="Text1"/>
        <w:rPr>
          <w:noProof/>
        </w:rPr>
      </w:pPr>
      <w:r w:rsidRPr="00D207EA">
        <w:rPr>
          <w:rStyle w:val="normaltextrun"/>
          <w:noProof/>
        </w:rPr>
        <w:t>Le Conseil adopte la décision d’exécution dans les quatre semaines suivant l’adoption de la proposition de la Commission.</w:t>
      </w:r>
    </w:p>
    <w:p w14:paraId="7E1C31E8" w14:textId="77777777" w:rsidR="00EB047D" w:rsidRPr="00D207EA" w:rsidRDefault="00EB047D" w:rsidP="00C21519">
      <w:pPr>
        <w:pStyle w:val="NumPar10000000"/>
        <w:numPr>
          <w:ilvl w:val="0"/>
          <w:numId w:val="110"/>
        </w:numPr>
        <w:rPr>
          <w:noProof/>
        </w:rPr>
      </w:pPr>
      <w:r w:rsidRPr="00D207EA">
        <w:rPr>
          <w:noProof/>
        </w:rPr>
        <w:t>L’État membre peut présenter des demandes de paiement pour les mesures spécifiques déterminées dans la décision visée au paragraphe 4, mais la Commission n’effectue pas les paiements correspondants tant que la condition horizontale relative à l’état de droit n’est pas remplie.</w:t>
      </w:r>
    </w:p>
    <w:p w14:paraId="1AB37B88" w14:textId="77777777" w:rsidR="00280720" w:rsidRPr="00D207EA" w:rsidRDefault="00EB047D" w:rsidP="00C21519">
      <w:pPr>
        <w:pStyle w:val="NumPar10000000"/>
        <w:numPr>
          <w:ilvl w:val="0"/>
          <w:numId w:val="110"/>
        </w:numPr>
        <w:rPr>
          <w:noProof/>
        </w:rPr>
      </w:pPr>
      <w:r w:rsidRPr="00D207EA">
        <w:rPr>
          <w:noProof/>
        </w:rPr>
        <w:t>L’État membre informe la Commission dès qu’il considère que le non-respect de la condition horizontale relative à l’état de droit a été corrigé. La Commission évalue ces informations dans les deux mois suivant leur réception. Si la Commission estime que le non-respect a été entièrement corrigé, elle propose au Conseil d’abroger la décision visée au paragraphe 4. Si elle estime que le non-respect a été partiellement corrigé, elle propose au Conseil d’abroger en conséquence la décision visée au paragraphe 4. Le Conseil adopte la décision d’exécution dans les quatre semaines suivant l’adoption de la proposition de la Commission.</w:t>
      </w:r>
    </w:p>
    <w:p w14:paraId="7296D9C2" w14:textId="77777777" w:rsidR="007B50DC" w:rsidRPr="00D207EA" w:rsidRDefault="007B50DC" w:rsidP="00C21519">
      <w:pPr>
        <w:pStyle w:val="NumPar10000000"/>
        <w:numPr>
          <w:ilvl w:val="0"/>
          <w:numId w:val="110"/>
        </w:numPr>
        <w:rPr>
          <w:noProof/>
        </w:rPr>
      </w:pPr>
      <w:r w:rsidRPr="00D207EA">
        <w:rPr>
          <w:noProof/>
        </w:rPr>
        <w:t>La Commission réduit proportionnellement la contribution financière de l’Union de l’État membre pour ce qui est des mesures spécifiques du plan concernées ou, en ce qui concerne le soutien sous forme de prêt, prend toute mesure disponible dans le cadre du contrat de prêt, lorsque la décision visée au paragraphe 4 n’a pas été abrogée [dans un délai d’[un] an à compter de son adoption].</w:t>
      </w:r>
    </w:p>
    <w:p w14:paraId="202CE103" w14:textId="77777777" w:rsidR="00C448EB" w:rsidRPr="00D207EA" w:rsidRDefault="00934D2D" w:rsidP="00C21519">
      <w:pPr>
        <w:pStyle w:val="NumPar10000000"/>
        <w:numPr>
          <w:ilvl w:val="0"/>
          <w:numId w:val="110"/>
        </w:numPr>
        <w:rPr>
          <w:noProof/>
        </w:rPr>
      </w:pPr>
      <w:r w:rsidRPr="00D207EA">
        <w:rPr>
          <w:noProof/>
        </w:rPr>
        <w:t>La Commission informe immédiatement le Parlement européen de toute décision proposée, adoptée, modifiée ou abrogée en application des paragraphes 4 et 6.</w:t>
      </w:r>
    </w:p>
    <w:p w14:paraId="74C0FB8A" w14:textId="77777777" w:rsidR="00EB047D" w:rsidRPr="00D207EA" w:rsidRDefault="00EB047D" w:rsidP="00EB047D">
      <w:pPr>
        <w:pStyle w:val="SectionTitle"/>
        <w:rPr>
          <w:noProof/>
        </w:rPr>
      </w:pPr>
      <w:r w:rsidRPr="00D207EA">
        <w:rPr>
          <w:noProof/>
        </w:rPr>
        <w:t>TITRE II</w:t>
      </w:r>
      <w:r w:rsidRPr="00D207EA">
        <w:rPr>
          <w:noProof/>
        </w:rPr>
        <w:br/>
        <w:t>CADRE FINANCIER</w:t>
      </w:r>
    </w:p>
    <w:p w14:paraId="2A7ED9F7" w14:textId="5A75E14C" w:rsidR="00D57DAF" w:rsidRPr="00D207EA" w:rsidRDefault="00D57DAF" w:rsidP="00D57DAF">
      <w:pPr>
        <w:pStyle w:val="ChapterTitle0"/>
        <w:rPr>
          <w:noProof/>
        </w:rPr>
      </w:pPr>
      <w:r w:rsidRPr="00D207EA">
        <w:rPr>
          <w:noProof/>
        </w:rPr>
        <w:t>CHAPITRE</w:t>
      </w:r>
      <w:r w:rsidR="0022061E" w:rsidRPr="00D207EA">
        <w:rPr>
          <w:noProof/>
        </w:rPr>
        <w:t> </w:t>
      </w:r>
      <w:r w:rsidRPr="00D207EA">
        <w:rPr>
          <w:noProof/>
        </w:rPr>
        <w:t>1</w:t>
      </w:r>
      <w:r w:rsidRPr="00D207EA">
        <w:rPr>
          <w:noProof/>
        </w:rPr>
        <w:br/>
        <w:t>Dispositions communes</w:t>
      </w:r>
    </w:p>
    <w:p w14:paraId="5F7CA3E2" w14:textId="77777777" w:rsidR="009418A6" w:rsidRPr="00D207EA" w:rsidRDefault="009418A6" w:rsidP="009418A6">
      <w:pPr>
        <w:pStyle w:val="Titrearticle"/>
        <w:rPr>
          <w:noProof/>
        </w:rPr>
      </w:pPr>
      <w:bookmarkStart w:id="4" w:name="_Hlk203428890"/>
      <w:bookmarkStart w:id="5" w:name="_Hlk203240508"/>
      <w:r w:rsidRPr="00D207EA">
        <w:rPr>
          <w:noProof/>
        </w:rPr>
        <w:t>Article 10</w:t>
      </w:r>
      <w:r w:rsidRPr="00D207EA">
        <w:rPr>
          <w:noProof/>
        </w:rPr>
        <w:br/>
      </w:r>
      <w:r w:rsidRPr="00D207EA">
        <w:rPr>
          <w:b/>
          <w:noProof/>
        </w:rPr>
        <w:t>Budget</w:t>
      </w:r>
    </w:p>
    <w:p w14:paraId="4BA7F60F" w14:textId="77777777" w:rsidR="004029F5" w:rsidRPr="00D207EA" w:rsidRDefault="00047A9F" w:rsidP="00C21519">
      <w:pPr>
        <w:pStyle w:val="NumPar10000000"/>
        <w:numPr>
          <w:ilvl w:val="0"/>
          <w:numId w:val="116"/>
        </w:numPr>
        <w:rPr>
          <w:noProof/>
        </w:rPr>
      </w:pPr>
      <w:r w:rsidRPr="00D207EA">
        <w:rPr>
          <w:noProof/>
        </w:rPr>
        <w:t>L’enveloppe financière pour la mise en œuvre du Fonds, pour la période allant du 1</w:t>
      </w:r>
      <w:r w:rsidRPr="00D207EA">
        <w:rPr>
          <w:noProof/>
          <w:vertAlign w:val="superscript"/>
        </w:rPr>
        <w:t>er</w:t>
      </w:r>
      <w:r w:rsidRPr="00D207EA">
        <w:rPr>
          <w:noProof/>
        </w:rPr>
        <w:t> janvier 2028 au 31 décembre 2034, est établie à 865 076 000 000 EUR en prix courants.</w:t>
      </w:r>
    </w:p>
    <w:p w14:paraId="059778F1" w14:textId="77777777" w:rsidR="00047A9F" w:rsidRPr="00D207EA" w:rsidRDefault="00047A9F" w:rsidP="00C21519">
      <w:pPr>
        <w:pStyle w:val="NumPar10000000"/>
        <w:numPr>
          <w:ilvl w:val="0"/>
          <w:numId w:val="75"/>
        </w:numPr>
        <w:rPr>
          <w:noProof/>
        </w:rPr>
      </w:pPr>
      <w:bookmarkStart w:id="6" w:name="_Hlk203234421"/>
      <w:r w:rsidRPr="00D207EA">
        <w:rPr>
          <w:noProof/>
        </w:rPr>
        <w:t>L’enveloppe financière est allouée comme suit:</w:t>
      </w:r>
    </w:p>
    <w:p w14:paraId="1F0760B6" w14:textId="34D2FBB3" w:rsidR="004E214E" w:rsidRPr="00D207EA" w:rsidRDefault="008D666E" w:rsidP="008D666E">
      <w:pPr>
        <w:pStyle w:val="Point10"/>
        <w:rPr>
          <w:noProof/>
        </w:rPr>
      </w:pPr>
      <w:r w:rsidRPr="008D666E">
        <w:rPr>
          <w:noProof/>
        </w:rPr>
        <w:t>(a)</w:t>
      </w:r>
      <w:r w:rsidRPr="008D666E">
        <w:rPr>
          <w:noProof/>
        </w:rPr>
        <w:tab/>
      </w:r>
      <w:r w:rsidR="00047A9F" w:rsidRPr="00D207EA">
        <w:rPr>
          <w:noProof/>
        </w:rPr>
        <w:t>782 879 000 000 EUR sont alloués aux plans PNR visés au titre III conformément à l’annexe I [clé de répartition], dont:</w:t>
      </w:r>
    </w:p>
    <w:p w14:paraId="7915F191" w14:textId="77777777" w:rsidR="006E6AE2" w:rsidRPr="00D207EA" w:rsidRDefault="006E6AE2" w:rsidP="00C21519">
      <w:pPr>
        <w:pStyle w:val="Point2n"/>
        <w:numPr>
          <w:ilvl w:val="0"/>
          <w:numId w:val="178"/>
        </w:numPr>
        <w:jc w:val="both"/>
        <w:rPr>
          <w:noProof/>
        </w:rPr>
      </w:pPr>
      <w:r w:rsidRPr="00D207EA">
        <w:rPr>
          <w:noProof/>
        </w:rPr>
        <w:t>au moins 217 798 000 000 EUR pour les régions moins développées en établissant des montants minimaux par État membre en s’appuyant sur la méthode exposée à l’annexe II;</w:t>
      </w:r>
    </w:p>
    <w:p w14:paraId="59E14481" w14:textId="77777777" w:rsidR="00BF4B7A" w:rsidRPr="00D207EA" w:rsidRDefault="00C60744" w:rsidP="00C21519">
      <w:pPr>
        <w:pStyle w:val="Point2n"/>
        <w:numPr>
          <w:ilvl w:val="0"/>
          <w:numId w:val="178"/>
        </w:numPr>
        <w:jc w:val="both"/>
        <w:rPr>
          <w:noProof/>
        </w:rPr>
      </w:pPr>
      <w:r w:rsidRPr="00D207EA">
        <w:rPr>
          <w:noProof/>
        </w:rPr>
        <w:t>au moins 295 700 000 000 EUR pour les interventions au titre de la PAC visées à l’article 35 [types d’interventions], paragraphe 1, points a) à k) et r), et à l’article 35, paragraphe 10, et pour les interventions énumérées à l’article 35, paragraphe 11;</w:t>
      </w:r>
    </w:p>
    <w:p w14:paraId="320DFA61" w14:textId="77777777" w:rsidR="00047A9F" w:rsidRPr="00D207EA" w:rsidRDefault="00C60744" w:rsidP="4C2D5AAA">
      <w:pPr>
        <w:pStyle w:val="Point2n"/>
        <w:jc w:val="both"/>
        <w:rPr>
          <w:noProof/>
        </w:rPr>
      </w:pPr>
      <w:r w:rsidRPr="00D207EA">
        <w:rPr>
          <w:noProof/>
        </w:rPr>
        <w:t>au moins 34 215 510 000 EUR, répartis comme suit: 11 975 428 500 EUR, comme énoncé à l’article 4 du règlement (UE) 202X/XXX [établissant le soutien de l’Union pour l’asile, la migration et l’intégration pour la période allant de 2028 à 2034], 15 396 750 000 EUR, comme énoncé à l’article 4 du règlement (UE) 202X/XXX [établissant le soutien de l’Union pour la zone Schengen, la gestion européenne intégrée des frontières et la politique commune en matière de visas pour la période allant de 2028 à 2034], et 6 843 331 500 EUR, comme énoncé à l’article 4 du règlement (UE) 202X/XXX [établissant le soutien de l’Union pour la sécurité intérieure pour la période allant de 2028 à 2034], pour les objectifs énumérés à l’article 3 de ces règlements;</w:t>
      </w:r>
    </w:p>
    <w:p w14:paraId="5D4B3C32" w14:textId="0FD33633" w:rsidR="00047A9F" w:rsidRPr="00D207EA" w:rsidRDefault="008D666E" w:rsidP="008D666E">
      <w:pPr>
        <w:pStyle w:val="Point10"/>
        <w:rPr>
          <w:noProof/>
        </w:rPr>
      </w:pPr>
      <w:r w:rsidRPr="008D666E">
        <w:rPr>
          <w:noProof/>
        </w:rPr>
        <w:t>(b)</w:t>
      </w:r>
      <w:r w:rsidRPr="008D666E">
        <w:rPr>
          <w:noProof/>
        </w:rPr>
        <w:tab/>
      </w:r>
      <w:r w:rsidR="00047A9F" w:rsidRPr="00D207EA">
        <w:rPr>
          <w:noProof/>
        </w:rPr>
        <w:t>71 933 000 000 EUR sont affectés à la Facilité visée au titre IV; </w:t>
      </w:r>
    </w:p>
    <w:p w14:paraId="2A5125A7" w14:textId="15DB0ECB" w:rsidR="00047A9F" w:rsidRPr="00D207EA" w:rsidRDefault="008D666E" w:rsidP="008D666E">
      <w:pPr>
        <w:pStyle w:val="Point10"/>
        <w:rPr>
          <w:rFonts w:eastAsiaTheme="minorEastAsia"/>
          <w:noProof/>
        </w:rPr>
      </w:pPr>
      <w:r w:rsidRPr="008D666E">
        <w:rPr>
          <w:noProof/>
        </w:rPr>
        <w:t>(c)</w:t>
      </w:r>
      <w:r w:rsidRPr="008D666E">
        <w:rPr>
          <w:noProof/>
        </w:rPr>
        <w:tab/>
      </w:r>
      <w:r w:rsidR="5AB2DF85" w:rsidRPr="00D207EA">
        <w:rPr>
          <w:noProof/>
        </w:rPr>
        <w:t>10 264 000 000 EUR sont affectés au plan Interreg visé au chapitre II du règlement XX [développement régional, plan Interreg];</w:t>
      </w:r>
    </w:p>
    <w:p w14:paraId="061E4932" w14:textId="1F9E4573" w:rsidR="00047A9F" w:rsidRPr="00D207EA" w:rsidRDefault="008D666E" w:rsidP="008D666E">
      <w:pPr>
        <w:pStyle w:val="Point10"/>
        <w:rPr>
          <w:noProof/>
        </w:rPr>
      </w:pPr>
      <w:r w:rsidRPr="008D666E">
        <w:rPr>
          <w:noProof/>
        </w:rPr>
        <w:t>(d)</w:t>
      </w:r>
      <w:r w:rsidRPr="008D666E">
        <w:rPr>
          <w:noProof/>
        </w:rPr>
        <w:tab/>
      </w:r>
      <w:r w:rsidR="00047A9F" w:rsidRPr="00D207EA">
        <w:rPr>
          <w:noProof/>
        </w:rPr>
        <w:t>À l’initiative de la Commission, un montant pouvant atteindre 0,5 % de l’enveloppe financière est alloué à l’assistance technique visée à l’article 12 [assistance technique].</w:t>
      </w:r>
    </w:p>
    <w:bookmarkEnd w:id="4"/>
    <w:bookmarkEnd w:id="6"/>
    <w:p w14:paraId="52EAA841" w14:textId="08DCADC7" w:rsidR="003E0062" w:rsidRPr="00D207EA" w:rsidRDefault="4CFC543C" w:rsidP="00C21519">
      <w:pPr>
        <w:pStyle w:val="NumPar10000000"/>
        <w:numPr>
          <w:ilvl w:val="0"/>
          <w:numId w:val="110"/>
        </w:numPr>
        <w:rPr>
          <w:noProof/>
        </w:rPr>
      </w:pPr>
      <w:r w:rsidRPr="00D207EA">
        <w:rPr>
          <w:noProof/>
        </w:rPr>
        <w:t>Outre l’allocation prévue au paragraphe 2, point a), la contribution financière de l’Union comprend 50 100 000 000 EUR provenant des montants destinés au Fonds social pour le climat visés à l’article 30 quinquies, paragraphe 4, quatrième alinéa, points c) à g), de la directive 2003/87/CE, à mettre en œuvre dans le cadre des plans, conformément à la répartition établie à l’annexe II du règlement (UE) 2023/955. Ce montant constitue des recettes affectées externes au sens de l’article 21, paragraphe 5, du règlement (UE, Euratom) 2024/2509.</w:t>
      </w:r>
    </w:p>
    <w:p w14:paraId="0F459C15" w14:textId="77777777" w:rsidR="00047A9F" w:rsidRPr="00D207EA" w:rsidRDefault="00047A9F" w:rsidP="00C21519">
      <w:pPr>
        <w:pStyle w:val="NumPar10000000"/>
        <w:numPr>
          <w:ilvl w:val="0"/>
          <w:numId w:val="110"/>
        </w:numPr>
        <w:rPr>
          <w:noProof/>
        </w:rPr>
      </w:pPr>
      <w:r w:rsidRPr="00D207EA">
        <w:rPr>
          <w:noProof/>
        </w:rPr>
        <w:t>Un montant de 150 000 000 000 EUR de soutien sous forme de prêt est mis à la disposition des États membres pour la mise en œuvre de leurs plans.</w:t>
      </w:r>
    </w:p>
    <w:p w14:paraId="7C819CA1" w14:textId="77777777" w:rsidR="002875B3" w:rsidRPr="00D207EA" w:rsidRDefault="003E0062" w:rsidP="00C21519">
      <w:pPr>
        <w:pStyle w:val="NumPar10000000"/>
        <w:numPr>
          <w:ilvl w:val="0"/>
          <w:numId w:val="110"/>
        </w:numPr>
        <w:rPr>
          <w:noProof/>
        </w:rPr>
      </w:pPr>
      <w:r w:rsidRPr="00D207EA">
        <w:rPr>
          <w:noProof/>
        </w:rPr>
        <w:t>Au moins 14 % de l’enveloppe financière visée au paragraphe 2 et du montant visé au paragraphe 4 sont consacrés à la réalisation des objectifs sociaux de l’Union, calculés à l’aide des coefficients visés à l’article 6, paragraphe 1, du règlement (UE) [règlement relatif à la performance]. Le montant visé au paragraphe 2, point a), ii), ainsi que les recettes affectées externes du Fonds social pour le climat sont exclus de la base de calcul de cette allocation minimale.</w:t>
      </w:r>
    </w:p>
    <w:bookmarkEnd w:id="5"/>
    <w:p w14:paraId="1362C5E0" w14:textId="15037028" w:rsidR="00B433AD" w:rsidRPr="00D207EA" w:rsidRDefault="00B433AD" w:rsidP="00C21519">
      <w:pPr>
        <w:pStyle w:val="NumPar10000000"/>
        <w:numPr>
          <w:ilvl w:val="0"/>
          <w:numId w:val="110"/>
        </w:numPr>
        <w:rPr>
          <w:noProof/>
        </w:rPr>
      </w:pPr>
      <w:r w:rsidRPr="00D207EA">
        <w:rPr>
          <w:noProof/>
        </w:rPr>
        <w:t>La Commission adopte un acte d’exécution pour établir le montant maximal à allouer par État membre en appliquant la méthode décrite à l’annexe I, en ce qui concerne les objectifs visés aux articles 2 et 3.</w:t>
      </w:r>
    </w:p>
    <w:p w14:paraId="4F4DDFBE" w14:textId="77777777" w:rsidR="00EB047D" w:rsidRPr="00D207EA" w:rsidRDefault="00EB047D" w:rsidP="00EB047D">
      <w:pPr>
        <w:pStyle w:val="Titrearticle"/>
        <w:rPr>
          <w:rFonts w:eastAsia="Times New Roman"/>
          <w:b/>
          <w:bCs/>
          <w:iCs/>
          <w:noProof/>
        </w:rPr>
      </w:pPr>
      <w:r w:rsidRPr="00D207EA">
        <w:rPr>
          <w:noProof/>
        </w:rPr>
        <w:t>Article 11</w:t>
      </w:r>
      <w:r w:rsidRPr="00D207EA">
        <w:rPr>
          <w:noProof/>
        </w:rPr>
        <w:br/>
      </w:r>
      <w:r w:rsidRPr="00D207EA">
        <w:rPr>
          <w:b/>
          <w:noProof/>
        </w:rPr>
        <w:t>Ressources complémentaires et utilisation des ressources</w:t>
      </w:r>
    </w:p>
    <w:p w14:paraId="798D4CCB" w14:textId="77777777" w:rsidR="008A564D" w:rsidRPr="00D207EA" w:rsidRDefault="004C74F1" w:rsidP="00C21519">
      <w:pPr>
        <w:pStyle w:val="NumPar10000000"/>
        <w:numPr>
          <w:ilvl w:val="0"/>
          <w:numId w:val="126"/>
        </w:numPr>
        <w:rPr>
          <w:noProof/>
        </w:rPr>
      </w:pPr>
      <w:r w:rsidRPr="00D207EA">
        <w:rPr>
          <w:noProof/>
        </w:rPr>
        <w:t>Les États membres, les institutions, organismes et agences de l’Union, les pays tiers, les organisations internationales, les institutions financières internationales ou d’autres tiers peuvent apporter des contributions supplémentaires au Fonds. Les contributions financières supplémentaires constituent des recettes affectées externes au sens de l’article 21, paragraphe 2, points a), d) ou e), ou de l’article 21, paragraphe 5, du règlement (UE, Euratom) 2024/2509.</w:t>
      </w:r>
    </w:p>
    <w:p w14:paraId="3CC8009B" w14:textId="77777777" w:rsidR="00EA6EDA" w:rsidRPr="00D207EA" w:rsidRDefault="008A564D" w:rsidP="00C21519">
      <w:pPr>
        <w:pStyle w:val="NumPar10000000"/>
        <w:numPr>
          <w:ilvl w:val="0"/>
          <w:numId w:val="126"/>
        </w:numPr>
        <w:rPr>
          <w:noProof/>
        </w:rPr>
      </w:pPr>
      <w:r w:rsidRPr="00D207EA">
        <w:rPr>
          <w:noProof/>
        </w:rPr>
        <w:t>Aux fins de la mise en œuvre d’une mesure dans le cadre de leur plan PNR, les États membres peuvent proposer d’inclure dans leur plan PNR, au titre de coûts estimés, les montants des contributions financières à verser par les États membres aux programmes ou instruments de l’Union mettant en œuvre des politiques alignées sur les objectifs du plan PNR, aux fins de la mise en œuvre de la mesure au moyen de ces programmes ou instruments. Il est également possible d’apporter ces contributions pour le provisionnement de la garantie budgétaire, pour le financement de l’instrument financier ou pour tout montant de soutien non remboursable combiné à la garantie budgétaire ou à l’instrument financier dans le cadre d’une opération de mixage, conformément à [l’instrument InvestEU – Fonds européen pour la compétitivité]. La mesure est conforme aux exigences du présent règlement. Lorsque ces montants contribuent au provisionnement de la garantie budgétaire au titre de [l’instrument InvestEU – Fonds européen pour la compétitivité], ils sont, s’il y a lieu, complétés par une contre-garantie de l’État membre couvrant le passif éventuel non provisionné.</w:t>
      </w:r>
    </w:p>
    <w:p w14:paraId="5FCC13B2" w14:textId="77777777" w:rsidR="003E0868" w:rsidRPr="00D207EA" w:rsidRDefault="003E0868" w:rsidP="00C21519">
      <w:pPr>
        <w:pStyle w:val="NumPar10000000"/>
        <w:numPr>
          <w:ilvl w:val="0"/>
          <w:numId w:val="126"/>
        </w:numPr>
        <w:rPr>
          <w:noProof/>
        </w:rPr>
      </w:pPr>
      <w:r w:rsidRPr="00D207EA">
        <w:rPr>
          <w:noProof/>
        </w:rPr>
        <w:t>Les États membres peuvent, au moment de la présentation de leur plan initial ou lors de toute demande de modification, demander à réaffecter une partie du montant fixé à l’article 4 du règlement (UE) XX (MIGRATION), à l’article 4 du règlement (UE) XX (FRONTIÈRES) et à l’article 4 du règlement (UE) XX (SÉCURITÉ) pour mettre en œuvre les objectifs fixés dans un autre de ces règlements. La Commission ne s’oppose à une demande de réaffectation que si cette réaffectation compromet la conformité du plan modifié avec les exigences de l’article 22 du présent règlement.</w:t>
      </w:r>
    </w:p>
    <w:p w14:paraId="331C8841" w14:textId="77777777" w:rsidR="00EB047D" w:rsidRPr="00D207EA" w:rsidRDefault="00EB047D" w:rsidP="00EB047D">
      <w:pPr>
        <w:pStyle w:val="Titrearticle"/>
        <w:rPr>
          <w:b/>
          <w:bCs/>
          <w:noProof/>
        </w:rPr>
      </w:pPr>
      <w:r w:rsidRPr="00D207EA">
        <w:rPr>
          <w:noProof/>
        </w:rPr>
        <w:t>Article 12</w:t>
      </w:r>
      <w:r w:rsidRPr="00D207EA">
        <w:rPr>
          <w:noProof/>
        </w:rPr>
        <w:br/>
      </w:r>
      <w:r w:rsidRPr="00D207EA">
        <w:rPr>
          <w:b/>
          <w:noProof/>
        </w:rPr>
        <w:t>Assistance technique à l’initiative de la Commission</w:t>
      </w:r>
    </w:p>
    <w:p w14:paraId="68A3F15D" w14:textId="3FF25F3C" w:rsidR="00004723" w:rsidRPr="00D207EA" w:rsidRDefault="166155D0" w:rsidP="00C21519">
      <w:pPr>
        <w:pStyle w:val="NumPar10000000"/>
        <w:numPr>
          <w:ilvl w:val="0"/>
          <w:numId w:val="142"/>
        </w:numPr>
        <w:rPr>
          <w:noProof/>
        </w:rPr>
      </w:pPr>
      <w:r w:rsidRPr="00D207EA">
        <w:rPr>
          <w:noProof/>
        </w:rPr>
        <w:t>À l’initiative de la Commission, le Fonds peut soutenir l’assistance technique et administrative pour la mise en œuvre du plan PNR et du plan Interreg, telle que les activités de préparation, de suivi, de contrôle, d’audit et d’évaluation, les systèmes et plateformes informatiques des entreprises, les activités d’information et de communication, y compris par la mise en place de réseaux à l’échelle de l’Union regroupant les autorités des États membres et d’autres parties prenantes, la communication des entreprises sur les priorités politiques de l’Union, ainsi que toute autre assistance technique et administrative ou toute dépense de personnel engagée par la Commission pour la gestion du Fonds et, le cas échéant, avec des pays tiers.</w:t>
      </w:r>
    </w:p>
    <w:p w14:paraId="746F6F1F" w14:textId="4808BE84" w:rsidR="00004723" w:rsidRPr="00D207EA" w:rsidRDefault="7273E4B9" w:rsidP="00C21519">
      <w:pPr>
        <w:pStyle w:val="NumPar10000000"/>
        <w:numPr>
          <w:ilvl w:val="0"/>
          <w:numId w:val="126"/>
        </w:numPr>
        <w:rPr>
          <w:noProof/>
        </w:rPr>
      </w:pPr>
      <w:r w:rsidRPr="00D207EA">
        <w:rPr>
          <w:noProof/>
        </w:rPr>
        <w:t>Le Fonds soutient également toute autre assistance technique et administrative nécessaire à la mise en œuvre et à la gestion de la politique agricole commune et de la politique commune de la pêche, y compris les mesures de contrôle et d’exécution en matière de pêche, les contrôles du marché, la collecte ou l’achat de données, y compris les données satellitaires, géospatiales et météorologiques, la surveillance des ressources, le développement et le maintien à jour de la certification électronique des produits biologiques et des systèmes informatiques d’entreprise connexes, le développement, l’enregistrement et la protection des indications, abréviations et symboles se rapportant aux systèmes de qualité de l’Union, ainsi que les contributions au titre d’accords internationaux.</w:t>
      </w:r>
    </w:p>
    <w:p w14:paraId="7206FF81" w14:textId="77777777" w:rsidR="00004723" w:rsidRPr="00D207EA" w:rsidRDefault="166155D0" w:rsidP="00C21519">
      <w:pPr>
        <w:pStyle w:val="NumPar10000000"/>
        <w:numPr>
          <w:ilvl w:val="0"/>
          <w:numId w:val="126"/>
        </w:numPr>
        <w:rPr>
          <w:noProof/>
        </w:rPr>
      </w:pPr>
      <w:r w:rsidRPr="00D207EA">
        <w:rPr>
          <w:noProof/>
        </w:rPr>
        <w:t>Les mesures visées au paragraphe 1 peuvent concerner des périodes de programmation antérieures et postérieures.</w:t>
      </w:r>
    </w:p>
    <w:p w14:paraId="1184F2D3" w14:textId="1281B907" w:rsidR="00004723" w:rsidRPr="00D207EA" w:rsidRDefault="166155D0" w:rsidP="00C21519">
      <w:pPr>
        <w:pStyle w:val="NumPar10000000"/>
        <w:numPr>
          <w:ilvl w:val="0"/>
          <w:numId w:val="126"/>
        </w:numPr>
        <w:rPr>
          <w:noProof/>
        </w:rPr>
      </w:pPr>
      <w:r w:rsidRPr="00D207EA">
        <w:rPr>
          <w:noProof/>
        </w:rPr>
        <w:t>La Commission adopte une décision de financement lorsqu’une contribution du Fonds est envisagée conformément à l’article 110 du règlement (UE, Euratom) 2024/2509.</w:t>
      </w:r>
    </w:p>
    <w:p w14:paraId="34643EFA" w14:textId="77777777" w:rsidR="00004723" w:rsidRPr="00D207EA" w:rsidRDefault="00004723" w:rsidP="00C21519">
      <w:pPr>
        <w:pStyle w:val="NumPar10000000"/>
        <w:numPr>
          <w:ilvl w:val="0"/>
          <w:numId w:val="126"/>
        </w:numPr>
        <w:rPr>
          <w:rFonts w:eastAsiaTheme="minorEastAsia"/>
          <w:noProof/>
        </w:rPr>
      </w:pPr>
      <w:r w:rsidRPr="00D207EA">
        <w:rPr>
          <w:noProof/>
        </w:rPr>
        <w:t>Selon leur finalité, les mesures visées au présent article peuvent être financées en tant que dépenses opérationnelles ou administratives.</w:t>
      </w:r>
    </w:p>
    <w:p w14:paraId="04D0CAC0" w14:textId="77777777" w:rsidR="00004723" w:rsidRPr="00D207EA" w:rsidRDefault="00004723" w:rsidP="00C21519">
      <w:pPr>
        <w:pStyle w:val="NumPar10000000"/>
        <w:numPr>
          <w:ilvl w:val="0"/>
          <w:numId w:val="126"/>
        </w:numPr>
        <w:rPr>
          <w:noProof/>
        </w:rPr>
      </w:pPr>
      <w:r w:rsidRPr="00D207EA">
        <w:rPr>
          <w:noProof/>
        </w:rPr>
        <w:t>Conformément à l’article 196, paragraphe 2, deuxième alinéa, point a), du règlement (UE, Euratom) 2024/2509, dans des cas dûment justifiés précisés dans la décision de financement et pour une durée limitée, les mesures d’assistance technique prises à l’initiative de la Commission qui bénéficient d’un soutien en gestion directe au titre du présent règlement et les coûts sous-jacents peuvent être considérés comme éligibles à partir du 1</w:t>
      </w:r>
      <w:r w:rsidRPr="00D207EA">
        <w:rPr>
          <w:noProof/>
          <w:vertAlign w:val="superscript"/>
        </w:rPr>
        <w:t>er</w:t>
      </w:r>
      <w:r w:rsidRPr="00D207EA">
        <w:rPr>
          <w:noProof/>
        </w:rPr>
        <w:t> janvier 2028, même si ces mesures ont été mises en œuvre et exposées avant le dépôt de la demande de subvention.</w:t>
      </w:r>
    </w:p>
    <w:p w14:paraId="58FED7A1" w14:textId="77777777" w:rsidR="00EB047D" w:rsidRPr="00D207EA" w:rsidRDefault="00EB047D" w:rsidP="00EB047D">
      <w:pPr>
        <w:pStyle w:val="Titrearticle"/>
        <w:rPr>
          <w:noProof/>
        </w:rPr>
      </w:pPr>
      <w:r w:rsidRPr="00D207EA">
        <w:rPr>
          <w:noProof/>
        </w:rPr>
        <w:t>Article 13</w:t>
      </w:r>
      <w:r w:rsidRPr="00D207EA">
        <w:rPr>
          <w:noProof/>
        </w:rPr>
        <w:br/>
      </w:r>
      <w:r w:rsidRPr="00D207EA">
        <w:rPr>
          <w:b/>
          <w:noProof/>
        </w:rPr>
        <w:t>Assistance technique à l’initiative de l’État membre</w:t>
      </w:r>
    </w:p>
    <w:p w14:paraId="43A317F3" w14:textId="77777777" w:rsidR="00143164" w:rsidRPr="00D207EA" w:rsidRDefault="00820D42" w:rsidP="00C21519">
      <w:pPr>
        <w:pStyle w:val="NumPar10000000"/>
        <w:numPr>
          <w:ilvl w:val="0"/>
          <w:numId w:val="117"/>
        </w:numPr>
        <w:rPr>
          <w:noProof/>
        </w:rPr>
      </w:pPr>
      <w:r w:rsidRPr="00D207EA">
        <w:rPr>
          <w:noProof/>
        </w:rPr>
        <w:t>À l’initiative d’un État membre, le Fonds peut soutenir des actions, qui peuvent concerner des périodes de programmation antérieures et postérieures, nécessaires à une mise en œuvre efficace du Fonds, notamment pour fournir un financement nécessaire à l’exercice, entre autres, des fonctions telles que la préparation, la formation, la gestion, le suivi, l’évaluation, la visibilité et la communication.</w:t>
      </w:r>
    </w:p>
    <w:p w14:paraId="62DAA4A9" w14:textId="77777777" w:rsidR="00100A03" w:rsidRPr="00D207EA" w:rsidRDefault="00100A03" w:rsidP="00C21519">
      <w:pPr>
        <w:pStyle w:val="NumPar10000000"/>
        <w:numPr>
          <w:ilvl w:val="0"/>
          <w:numId w:val="126"/>
        </w:numPr>
        <w:rPr>
          <w:noProof/>
        </w:rPr>
      </w:pPr>
      <w:r w:rsidRPr="00D207EA">
        <w:rPr>
          <w:noProof/>
        </w:rPr>
        <w:t>L’assistance technique à chaque plan PNR et à chaque chapitre du plan Interreg est établie sous la forme d’un taux forfaitaire de 3 % et 8 % respectivement, appliqué au montant inclus dans chaque demande de paiement conformément à l’article 65 [demandes de paiement]. Le taux forfaitaire est de 10 % pour les chapitres du plan Interreg qui soutiennent la coopération des régions ultrapériphériques et la coopération aux frontières extérieures.</w:t>
      </w:r>
    </w:p>
    <w:p w14:paraId="78EBC9FF" w14:textId="503C5D2F" w:rsidR="00143164" w:rsidRPr="00D207EA" w:rsidRDefault="00143164" w:rsidP="00C21519">
      <w:pPr>
        <w:pStyle w:val="NumPar10000000"/>
        <w:numPr>
          <w:ilvl w:val="0"/>
          <w:numId w:val="126"/>
        </w:numPr>
        <w:rPr>
          <w:noProof/>
        </w:rPr>
      </w:pPr>
      <w:r w:rsidRPr="00D207EA">
        <w:rPr>
          <w:noProof/>
        </w:rPr>
        <w:t>En cas de réduction de la contribution financière de l’Union, y compris en raison d’un dégagement ou d’une correction financière, l’État membre restitue au budget de l’Union, à la clôture du plan PNR, les ressources versées au titre de l’assistance technique conformément au paragraphe 1 qui dépassent le pourcentage de la contribution financière de l’Union fixé au paragraphe 2.</w:t>
      </w:r>
    </w:p>
    <w:p w14:paraId="08B13D57" w14:textId="36CFAC7E" w:rsidR="00FC5BD4" w:rsidRPr="00D207EA" w:rsidRDefault="00586F2F" w:rsidP="00C21519">
      <w:pPr>
        <w:pStyle w:val="NumPar10000000"/>
        <w:numPr>
          <w:ilvl w:val="0"/>
          <w:numId w:val="126"/>
        </w:numPr>
        <w:rPr>
          <w:noProof/>
        </w:rPr>
      </w:pPr>
      <w:r w:rsidRPr="00D207EA">
        <w:rPr>
          <w:noProof/>
        </w:rPr>
        <w:t>Les États membres veillent à ce que les montants versés par la Commission pour les plans PNR soient répartis de manière équilibrée et proportionnée entre tous les chapitres du plan afin de faire progresser tous les objectifs soutenus.</w:t>
      </w:r>
    </w:p>
    <w:p w14:paraId="128AF645" w14:textId="58191E23" w:rsidR="00BD329E" w:rsidRPr="00D207EA" w:rsidRDefault="009125E3" w:rsidP="00C21519">
      <w:pPr>
        <w:pStyle w:val="NumPar10000000"/>
        <w:numPr>
          <w:ilvl w:val="0"/>
          <w:numId w:val="126"/>
        </w:numPr>
        <w:rPr>
          <w:noProof/>
        </w:rPr>
      </w:pPr>
      <w:r w:rsidRPr="00D207EA">
        <w:rPr>
          <w:noProof/>
        </w:rPr>
        <w:t>Les États membres peuvent demander un soutien pour préparer les réformes comprises dans leur plan PNR.</w:t>
      </w:r>
    </w:p>
    <w:p w14:paraId="7816695D" w14:textId="7D424A4B" w:rsidR="00586F2F" w:rsidRPr="00D207EA" w:rsidRDefault="00586F2F" w:rsidP="00586F2F">
      <w:pPr>
        <w:pStyle w:val="ChapterTitle0"/>
        <w:rPr>
          <w:noProof/>
        </w:rPr>
      </w:pPr>
      <w:r w:rsidRPr="00D207EA">
        <w:rPr>
          <w:noProof/>
        </w:rPr>
        <w:t>CHAPITRE</w:t>
      </w:r>
      <w:r w:rsidR="0022061E" w:rsidRPr="00D207EA">
        <w:rPr>
          <w:noProof/>
        </w:rPr>
        <w:t> </w:t>
      </w:r>
      <w:r w:rsidRPr="00D207EA">
        <w:rPr>
          <w:noProof/>
        </w:rPr>
        <w:t>2</w:t>
      </w:r>
      <w:r w:rsidRPr="00D207EA">
        <w:rPr>
          <w:noProof/>
        </w:rPr>
        <w:br/>
        <w:t>Soutien dans le cadre des plans</w:t>
      </w:r>
    </w:p>
    <w:p w14:paraId="0ED50CC0" w14:textId="77777777" w:rsidR="00EB047D" w:rsidRPr="00D207EA" w:rsidRDefault="00EB047D" w:rsidP="00EB047D">
      <w:pPr>
        <w:pStyle w:val="Titrearticle"/>
        <w:rPr>
          <w:noProof/>
        </w:rPr>
      </w:pPr>
      <w:r w:rsidRPr="00D207EA">
        <w:rPr>
          <w:noProof/>
        </w:rPr>
        <w:t>Article 14</w:t>
      </w:r>
      <w:r w:rsidRPr="00D207EA">
        <w:rPr>
          <w:noProof/>
        </w:rPr>
        <w:br/>
      </w:r>
      <w:r w:rsidRPr="00D207EA">
        <w:rPr>
          <w:b/>
          <w:noProof/>
        </w:rPr>
        <w:t>Engagements budgétaires</w:t>
      </w:r>
    </w:p>
    <w:p w14:paraId="1E56CDE3" w14:textId="77777777" w:rsidR="005005DC" w:rsidRPr="00D207EA" w:rsidRDefault="005A012F" w:rsidP="00C21519">
      <w:pPr>
        <w:pStyle w:val="NumPar10000000"/>
        <w:numPr>
          <w:ilvl w:val="0"/>
          <w:numId w:val="118"/>
        </w:numPr>
        <w:tabs>
          <w:tab w:val="clear" w:pos="850"/>
        </w:tabs>
        <w:rPr>
          <w:noProof/>
        </w:rPr>
      </w:pPr>
      <w:r w:rsidRPr="00D207EA">
        <w:rPr>
          <w:noProof/>
        </w:rPr>
        <w:t>Les engagements budgétaires de l’Union au titre de l’enveloppe financière de chaque plan sont réalisés par la Commission par tranches annuelles conformément à l’article 112, paragraphe 2, du règlement (UE, Euratom) 2024/2509 au cours de la période comprise entre le 1</w:t>
      </w:r>
      <w:r w:rsidRPr="00D207EA">
        <w:rPr>
          <w:noProof/>
          <w:vertAlign w:val="superscript"/>
        </w:rPr>
        <w:t>er</w:t>
      </w:r>
      <w:r w:rsidRPr="00D207EA">
        <w:rPr>
          <w:noProof/>
        </w:rPr>
        <w:t xml:space="preserve"> janvier 2028 et le 31 décembre 2034; ils se présentent comme suit (arrondis): </w:t>
      </w:r>
    </w:p>
    <w:p w14:paraId="0325306C" w14:textId="5BEFF531" w:rsidR="000F353F" w:rsidRPr="00D207EA" w:rsidRDefault="008D666E" w:rsidP="008D666E">
      <w:pPr>
        <w:pStyle w:val="Point10"/>
        <w:rPr>
          <w:noProof/>
        </w:rPr>
      </w:pPr>
      <w:r w:rsidRPr="008D666E">
        <w:rPr>
          <w:noProof/>
        </w:rPr>
        <w:t>(a)</w:t>
      </w:r>
      <w:r w:rsidRPr="008D666E">
        <w:rPr>
          <w:noProof/>
        </w:rPr>
        <w:tab/>
      </w:r>
      <w:r w:rsidR="000F353F" w:rsidRPr="00D207EA">
        <w:rPr>
          <w:noProof/>
        </w:rPr>
        <w:t>15,8 % en 2028;</w:t>
      </w:r>
    </w:p>
    <w:p w14:paraId="44BF4021" w14:textId="530AAF32" w:rsidR="000F353F" w:rsidRPr="00D207EA" w:rsidRDefault="008D666E" w:rsidP="008D666E">
      <w:pPr>
        <w:pStyle w:val="Point10"/>
        <w:rPr>
          <w:noProof/>
        </w:rPr>
      </w:pPr>
      <w:r w:rsidRPr="008D666E">
        <w:rPr>
          <w:noProof/>
        </w:rPr>
        <w:t>(b)</w:t>
      </w:r>
      <w:r w:rsidRPr="008D666E">
        <w:rPr>
          <w:noProof/>
        </w:rPr>
        <w:tab/>
      </w:r>
      <w:r w:rsidR="000F353F" w:rsidRPr="00D207EA">
        <w:rPr>
          <w:noProof/>
        </w:rPr>
        <w:t>15,5 % en 2029;</w:t>
      </w:r>
    </w:p>
    <w:p w14:paraId="780C01DC" w14:textId="643B53CC" w:rsidR="000F353F" w:rsidRPr="00D207EA" w:rsidRDefault="008D666E" w:rsidP="008D666E">
      <w:pPr>
        <w:pStyle w:val="Point10"/>
        <w:rPr>
          <w:noProof/>
        </w:rPr>
      </w:pPr>
      <w:r w:rsidRPr="008D666E">
        <w:rPr>
          <w:noProof/>
        </w:rPr>
        <w:t>(c)</w:t>
      </w:r>
      <w:r w:rsidRPr="008D666E">
        <w:rPr>
          <w:noProof/>
        </w:rPr>
        <w:tab/>
      </w:r>
      <w:r w:rsidR="000F353F" w:rsidRPr="00D207EA">
        <w:rPr>
          <w:noProof/>
        </w:rPr>
        <w:t>15,1 % en 2030;</w:t>
      </w:r>
    </w:p>
    <w:p w14:paraId="7FB05DE3" w14:textId="09B79E29" w:rsidR="000F353F" w:rsidRPr="00D207EA" w:rsidRDefault="008D666E" w:rsidP="008D666E">
      <w:pPr>
        <w:pStyle w:val="Point10"/>
        <w:rPr>
          <w:noProof/>
        </w:rPr>
      </w:pPr>
      <w:r w:rsidRPr="008D666E">
        <w:rPr>
          <w:noProof/>
        </w:rPr>
        <w:t>(d)</w:t>
      </w:r>
      <w:r w:rsidRPr="008D666E">
        <w:rPr>
          <w:noProof/>
        </w:rPr>
        <w:tab/>
      </w:r>
      <w:r w:rsidR="000F353F" w:rsidRPr="00D207EA">
        <w:rPr>
          <w:noProof/>
        </w:rPr>
        <w:t>14,8 % en 2031;</w:t>
      </w:r>
    </w:p>
    <w:p w14:paraId="2C0ECF2B" w14:textId="64CF8F41" w:rsidR="000F353F" w:rsidRPr="00D207EA" w:rsidRDefault="008D666E" w:rsidP="008D666E">
      <w:pPr>
        <w:pStyle w:val="Point10"/>
        <w:rPr>
          <w:noProof/>
        </w:rPr>
      </w:pPr>
      <w:r w:rsidRPr="008D666E">
        <w:rPr>
          <w:noProof/>
        </w:rPr>
        <w:t>(e)</w:t>
      </w:r>
      <w:r w:rsidRPr="008D666E">
        <w:rPr>
          <w:noProof/>
        </w:rPr>
        <w:tab/>
      </w:r>
      <w:r w:rsidR="000F353F" w:rsidRPr="00D207EA">
        <w:rPr>
          <w:noProof/>
        </w:rPr>
        <w:t>14,4 % en 2032;</w:t>
      </w:r>
    </w:p>
    <w:p w14:paraId="4F2E6848" w14:textId="1BF3C796" w:rsidR="000F353F" w:rsidRPr="00D207EA" w:rsidRDefault="008D666E" w:rsidP="008D666E">
      <w:pPr>
        <w:pStyle w:val="Point10"/>
        <w:rPr>
          <w:noProof/>
        </w:rPr>
      </w:pPr>
      <w:r w:rsidRPr="008D666E">
        <w:rPr>
          <w:noProof/>
        </w:rPr>
        <w:t>(f)</w:t>
      </w:r>
      <w:r w:rsidRPr="008D666E">
        <w:rPr>
          <w:noProof/>
        </w:rPr>
        <w:tab/>
      </w:r>
      <w:r w:rsidR="000F353F" w:rsidRPr="00D207EA">
        <w:rPr>
          <w:noProof/>
        </w:rPr>
        <w:t>12,8 % en 2033;</w:t>
      </w:r>
    </w:p>
    <w:p w14:paraId="42636CD2" w14:textId="4B913039" w:rsidR="005005DC" w:rsidRPr="00D207EA" w:rsidRDefault="008D666E" w:rsidP="008D666E">
      <w:pPr>
        <w:pStyle w:val="Point10"/>
        <w:rPr>
          <w:noProof/>
        </w:rPr>
      </w:pPr>
      <w:r w:rsidRPr="008D666E">
        <w:rPr>
          <w:noProof/>
        </w:rPr>
        <w:t>(g)</w:t>
      </w:r>
      <w:r w:rsidRPr="008D666E">
        <w:rPr>
          <w:noProof/>
        </w:rPr>
        <w:tab/>
      </w:r>
      <w:r w:rsidR="000F353F" w:rsidRPr="00D207EA">
        <w:rPr>
          <w:noProof/>
        </w:rPr>
        <w:t>11,7 % en 2034.</w:t>
      </w:r>
    </w:p>
    <w:p w14:paraId="7B5285E2" w14:textId="77777777" w:rsidR="00586F2F" w:rsidRPr="00D207EA" w:rsidRDefault="00586F2F" w:rsidP="00C21519">
      <w:pPr>
        <w:pStyle w:val="NumPar10000000"/>
        <w:numPr>
          <w:ilvl w:val="0"/>
          <w:numId w:val="126"/>
        </w:numPr>
        <w:rPr>
          <w:noProof/>
        </w:rPr>
      </w:pPr>
      <w:r w:rsidRPr="00D207EA">
        <w:rPr>
          <w:noProof/>
        </w:rPr>
        <w:t>Un montant de la flexibilité, correspondant à 25 % de la contribution financière de l’Union d’un État membre telle que définie à l’annexe I [méthode de répartition], n’est disponible pour la programmation que comme suit:</w:t>
      </w:r>
    </w:p>
    <w:p w14:paraId="27E727E3" w14:textId="14DF0A0C" w:rsidR="00586F2F" w:rsidRPr="00D207EA" w:rsidRDefault="008D666E" w:rsidP="008D666E">
      <w:pPr>
        <w:pStyle w:val="Point10"/>
        <w:rPr>
          <w:noProof/>
        </w:rPr>
      </w:pPr>
      <w:r w:rsidRPr="008D666E">
        <w:rPr>
          <w:noProof/>
        </w:rPr>
        <w:t>(a)</w:t>
      </w:r>
      <w:r w:rsidRPr="008D666E">
        <w:rPr>
          <w:noProof/>
        </w:rPr>
        <w:tab/>
      </w:r>
      <w:r w:rsidR="00586F2F" w:rsidRPr="00D207EA">
        <w:rPr>
          <w:noProof/>
        </w:rPr>
        <w:t xml:space="preserve">un cinquième au maximum peut être demandé par un État membre conformément à l’article 34 (Modification du plan en cas de situation de crise), le montant restant devant être programmé conformément à l’article 25 (examen à mi-parcours); </w:t>
      </w:r>
    </w:p>
    <w:p w14:paraId="69F201CF" w14:textId="789F5DD1" w:rsidR="00586F2F" w:rsidRPr="00D207EA" w:rsidRDefault="008D666E" w:rsidP="008D666E">
      <w:pPr>
        <w:pStyle w:val="Point10"/>
        <w:rPr>
          <w:noProof/>
        </w:rPr>
      </w:pPr>
      <w:r w:rsidRPr="008D666E">
        <w:rPr>
          <w:noProof/>
        </w:rPr>
        <w:t>(b)</w:t>
      </w:r>
      <w:r w:rsidRPr="008D666E">
        <w:rPr>
          <w:noProof/>
        </w:rPr>
        <w:tab/>
      </w:r>
      <w:r w:rsidR="1E055A0A" w:rsidRPr="00D207EA">
        <w:rPr>
          <w:noProof/>
        </w:rPr>
        <w:t>trois cinquièmes peuvent être demandés par un État membre conformément à l’article 25 [examen à mi-parcours], dont une partie peut être demandée avant l’examen à mi-parcours dans des circonstances exceptionnelles et dûment justifiées;</w:t>
      </w:r>
    </w:p>
    <w:p w14:paraId="043C53F2" w14:textId="1143FF21" w:rsidR="00820D42" w:rsidRPr="00D207EA" w:rsidRDefault="008D666E" w:rsidP="008D666E">
      <w:pPr>
        <w:pStyle w:val="Point10"/>
        <w:rPr>
          <w:noProof/>
        </w:rPr>
      </w:pPr>
      <w:r w:rsidRPr="008D666E">
        <w:rPr>
          <w:noProof/>
        </w:rPr>
        <w:t>(c)</w:t>
      </w:r>
      <w:r w:rsidRPr="008D666E">
        <w:rPr>
          <w:noProof/>
        </w:rPr>
        <w:tab/>
      </w:r>
      <w:r w:rsidR="5B08F64A" w:rsidRPr="00D207EA">
        <w:rPr>
          <w:noProof/>
        </w:rPr>
        <w:t>un cinquième ne peut être demandé par l’État membre qu’à partir de 2031, conformément à l’article 34 (Modification du plan en cas de situation de crise). Au 30 juin 2033, tout montant non programmé sera disponible pour la programmation de toute modification du plan.</w:t>
      </w:r>
    </w:p>
    <w:p w14:paraId="196D140D" w14:textId="77777777" w:rsidR="00B83DCC" w:rsidRPr="00D207EA" w:rsidRDefault="00586F2F" w:rsidP="007C1C62">
      <w:pPr>
        <w:pStyle w:val="Text1"/>
        <w:rPr>
          <w:noProof/>
        </w:rPr>
      </w:pPr>
      <w:r w:rsidRPr="00D207EA">
        <w:rPr>
          <w:noProof/>
        </w:rPr>
        <w:t>La partie de la contribution financière allouée aux interventions visées à l’article 35, paragraphe 1, points a) à h), j), k) et r) [types d’intervention] n’est pas prise en compte dans le montant de la flexibilité.</w:t>
      </w:r>
    </w:p>
    <w:p w14:paraId="08A705DA" w14:textId="56A5FFAD" w:rsidR="00586F2F" w:rsidRPr="00D207EA" w:rsidRDefault="60F577A4" w:rsidP="007C1C62">
      <w:pPr>
        <w:pStyle w:val="Text1"/>
        <w:rPr>
          <w:noProof/>
        </w:rPr>
      </w:pPr>
      <w:r w:rsidRPr="00D207EA">
        <w:rPr>
          <w:noProof/>
        </w:rPr>
        <w:t>Pour le montant de la flexibilité, le délai fixé à l’article 15, paragraphe 1, ne commence à courir que lorsque les montants sont programmés conformément aux points a), b) et c).</w:t>
      </w:r>
    </w:p>
    <w:p w14:paraId="0A98287B" w14:textId="15A40AAD" w:rsidR="00BC7E7B" w:rsidRPr="00D207EA" w:rsidRDefault="00BC7E7B" w:rsidP="007C1C62">
      <w:pPr>
        <w:pStyle w:val="Text1"/>
        <w:rPr>
          <w:noProof/>
        </w:rPr>
      </w:pPr>
      <w:r w:rsidRPr="00D207EA">
        <w:rPr>
          <w:noProof/>
        </w:rPr>
        <w:t>Le présent paragraphe ne s’applique pas à la contribution financière de l’Union d’un État membre au plan Interreg.</w:t>
      </w:r>
    </w:p>
    <w:p w14:paraId="0A55B793" w14:textId="77777777" w:rsidR="00EB047D" w:rsidRPr="00D207EA" w:rsidRDefault="00EB047D" w:rsidP="00EB047D">
      <w:pPr>
        <w:pStyle w:val="Titrearticle"/>
        <w:rPr>
          <w:noProof/>
        </w:rPr>
      </w:pPr>
      <w:r w:rsidRPr="00D207EA">
        <w:rPr>
          <w:noProof/>
        </w:rPr>
        <w:t>Article 15</w:t>
      </w:r>
      <w:r w:rsidRPr="00D207EA">
        <w:rPr>
          <w:noProof/>
        </w:rPr>
        <w:br/>
      </w:r>
      <w:r w:rsidRPr="00D207EA">
        <w:rPr>
          <w:b/>
          <w:noProof/>
        </w:rPr>
        <w:t>Dégagements</w:t>
      </w:r>
    </w:p>
    <w:p w14:paraId="1570416C" w14:textId="513A4D1D" w:rsidR="00A97529" w:rsidRPr="00D207EA" w:rsidRDefault="00586F2F" w:rsidP="00C21519">
      <w:pPr>
        <w:pStyle w:val="NumPar10000000"/>
        <w:numPr>
          <w:ilvl w:val="0"/>
          <w:numId w:val="76"/>
        </w:numPr>
        <w:rPr>
          <w:noProof/>
        </w:rPr>
      </w:pPr>
      <w:r w:rsidRPr="00D207EA">
        <w:rPr>
          <w:noProof/>
        </w:rPr>
        <w:t>La Commission procède au dégagement de tout montant d’un plan PNR et d’un chapitre du plan Interreg qui n’a pas été utilisé aux fins du préfinancement, conformément à l’article 17 [préfinancement], ou pour lequel aucune demande de paiement n’a été présentée, conformément à l’article 65 [présentation et évaluation des demandes de paiement] au plus tard le 31 octobre de la troisième année civile qui suit l’année des engagements budgétaires.</w:t>
      </w:r>
    </w:p>
    <w:p w14:paraId="0E8A767F" w14:textId="77777777" w:rsidR="00586F2F" w:rsidRPr="00D207EA" w:rsidRDefault="00586F2F" w:rsidP="00C21519">
      <w:pPr>
        <w:pStyle w:val="NumPar10000000"/>
        <w:numPr>
          <w:ilvl w:val="0"/>
          <w:numId w:val="76"/>
        </w:numPr>
        <w:rPr>
          <w:noProof/>
        </w:rPr>
      </w:pPr>
      <w:r w:rsidRPr="00D207EA">
        <w:rPr>
          <w:noProof/>
        </w:rPr>
        <w:t>Le montant concerné par le dégagement est diminué des montants équivalents à la partie de l’engagement budgétaire:</w:t>
      </w:r>
    </w:p>
    <w:p w14:paraId="70F0AAB2" w14:textId="4CAC83AA" w:rsidR="00586F2F" w:rsidRPr="00D207EA" w:rsidRDefault="008D666E" w:rsidP="008D666E">
      <w:pPr>
        <w:pStyle w:val="Point10"/>
        <w:rPr>
          <w:noProof/>
        </w:rPr>
      </w:pPr>
      <w:r w:rsidRPr="008D666E">
        <w:rPr>
          <w:noProof/>
        </w:rPr>
        <w:t>(a)</w:t>
      </w:r>
      <w:r w:rsidRPr="008D666E">
        <w:rPr>
          <w:noProof/>
        </w:rPr>
        <w:tab/>
      </w:r>
      <w:r w:rsidR="00586F2F" w:rsidRPr="00D207EA">
        <w:rPr>
          <w:noProof/>
        </w:rPr>
        <w:t>qui fait l’objet d’une suspension des opérations par une procédure judiciaire ou un recours administratif ayant un effet suspensif; ou</w:t>
      </w:r>
    </w:p>
    <w:p w14:paraId="5BD15038" w14:textId="77713288" w:rsidR="00820D42" w:rsidRPr="00D207EA" w:rsidRDefault="008D666E" w:rsidP="008D666E">
      <w:pPr>
        <w:pStyle w:val="Point10"/>
        <w:rPr>
          <w:noProof/>
        </w:rPr>
      </w:pPr>
      <w:r w:rsidRPr="008D666E">
        <w:rPr>
          <w:noProof/>
        </w:rPr>
        <w:t>(b)</w:t>
      </w:r>
      <w:r w:rsidRPr="008D666E">
        <w:rPr>
          <w:noProof/>
        </w:rPr>
        <w:tab/>
      </w:r>
      <w:r w:rsidR="00586F2F" w:rsidRPr="00D207EA">
        <w:rPr>
          <w:noProof/>
        </w:rPr>
        <w:t>qui n’a pas pu faire l’objet d’une demande de paiement pour des raisons de force majeure ayant des répercussions sérieuses sur la mise en œuvre de tout ou partie du plan PNR et du chapitre du plan Interreg.</w:t>
      </w:r>
    </w:p>
    <w:p w14:paraId="07FF615E" w14:textId="77777777" w:rsidR="00586F2F" w:rsidRPr="00D207EA" w:rsidRDefault="77841830" w:rsidP="007C1C62">
      <w:pPr>
        <w:pStyle w:val="Text1"/>
        <w:rPr>
          <w:noProof/>
        </w:rPr>
      </w:pPr>
      <w:r w:rsidRPr="00D207EA">
        <w:rPr>
          <w:noProof/>
        </w:rPr>
        <w:t>Les autorités nationales qui invoquent la force majeure visée au premier alinéa, point b), démontrent les conséquences directes de la force majeure sur la mise en œuvre de tout ou partie du plan PNR ou du chapitre du plan Interreg.</w:t>
      </w:r>
    </w:p>
    <w:p w14:paraId="6B4711A3" w14:textId="77777777" w:rsidR="00586F2F" w:rsidRPr="00D207EA" w:rsidRDefault="00586F2F" w:rsidP="00C21519">
      <w:pPr>
        <w:pStyle w:val="NumPar10000000"/>
        <w:numPr>
          <w:ilvl w:val="0"/>
          <w:numId w:val="126"/>
        </w:numPr>
        <w:rPr>
          <w:noProof/>
        </w:rPr>
      </w:pPr>
      <w:r w:rsidRPr="00D207EA">
        <w:rPr>
          <w:noProof/>
        </w:rPr>
        <w:t>Au plus tard le 31 janvier, l’État membre transmet à la Commission des informations sur les exceptions visées au paragraphe 2, premier alinéa, points a) et b), concernant le montant qu’il devait déclarer au plus tard le 31 décembre de l’année précédente.</w:t>
      </w:r>
    </w:p>
    <w:p w14:paraId="207C86CA" w14:textId="77777777" w:rsidR="00877F87" w:rsidRPr="00D207EA" w:rsidRDefault="57A1E0C2" w:rsidP="00C21519">
      <w:pPr>
        <w:pStyle w:val="NumPar10000000"/>
        <w:numPr>
          <w:ilvl w:val="0"/>
          <w:numId w:val="126"/>
        </w:numPr>
        <w:rPr>
          <w:rFonts w:eastAsiaTheme="minorEastAsia"/>
          <w:noProof/>
        </w:rPr>
      </w:pPr>
      <w:r w:rsidRPr="00D207EA">
        <w:rPr>
          <w:noProof/>
        </w:rPr>
        <w:t>Les crédits correspondant aux dégagements conformément à l’article 7, paragraphe 3, du règlement (UE, Euratom) 2020/2092 et aux articles 8 [condition horizontale relative à la charte] et 9 [condition horizontale relative à l’état de droit] du présent règlement peuvent être remis à disposition pour être utilisés dans le cadre d’autres instruments ou programmes de l’Union mis en œuvre en gestion directe ou indirecte, notamment ceux contribuant à soutenir la démocratie et la société civile européennes, les valeurs de l’Union ou la lutte contre la corruption.</w:t>
      </w:r>
    </w:p>
    <w:p w14:paraId="644BAE80" w14:textId="77777777" w:rsidR="00295F45" w:rsidRPr="00D207EA" w:rsidRDefault="00134112" w:rsidP="00C21519">
      <w:pPr>
        <w:pStyle w:val="NumPar10000000"/>
        <w:numPr>
          <w:ilvl w:val="0"/>
          <w:numId w:val="126"/>
        </w:numPr>
        <w:rPr>
          <w:rFonts w:eastAsiaTheme="minorEastAsia"/>
          <w:noProof/>
        </w:rPr>
      </w:pPr>
      <w:r w:rsidRPr="00D207EA">
        <w:rPr>
          <w:noProof/>
        </w:rPr>
        <w:t>Le présent article ne s’applique pas aux montants mis à disposition en tant que recettes affectées externes et les paragraphes 1 à 3 ne s’appliquent pas aux interventions énumérées à l’article 35, paragraphe 1, points a) à g) [types d’intervention].</w:t>
      </w:r>
    </w:p>
    <w:p w14:paraId="46724A67" w14:textId="77777777" w:rsidR="00EB047D" w:rsidRPr="00D207EA" w:rsidRDefault="00EB047D" w:rsidP="00004723">
      <w:pPr>
        <w:pStyle w:val="Titrearticle"/>
        <w:rPr>
          <w:noProof/>
        </w:rPr>
      </w:pPr>
      <w:r w:rsidRPr="00D207EA">
        <w:rPr>
          <w:noProof/>
        </w:rPr>
        <w:t>Article 16</w:t>
      </w:r>
      <w:r w:rsidRPr="00D207EA">
        <w:rPr>
          <w:noProof/>
        </w:rPr>
        <w:br/>
      </w:r>
      <w:r w:rsidRPr="00D207EA">
        <w:rPr>
          <w:b/>
          <w:noProof/>
        </w:rPr>
        <w:t>Procédure de dégagement</w:t>
      </w:r>
    </w:p>
    <w:p w14:paraId="299D2C75" w14:textId="77777777" w:rsidR="00586F2F" w:rsidRPr="00D207EA" w:rsidRDefault="00586F2F" w:rsidP="00C21519">
      <w:pPr>
        <w:pStyle w:val="NumPar10000000"/>
        <w:numPr>
          <w:ilvl w:val="0"/>
          <w:numId w:val="119"/>
        </w:numPr>
        <w:rPr>
          <w:noProof/>
        </w:rPr>
      </w:pPr>
      <w:r w:rsidRPr="00D207EA">
        <w:rPr>
          <w:noProof/>
        </w:rPr>
        <w:t>Sur la base des informations qu’elle a reçues au 31 janvier, la Commission informe l’État membre du montant du dégagement.</w:t>
      </w:r>
    </w:p>
    <w:p w14:paraId="0DBF5295" w14:textId="77777777" w:rsidR="00586F2F" w:rsidRPr="00D207EA" w:rsidRDefault="00586F2F" w:rsidP="00C21519">
      <w:pPr>
        <w:pStyle w:val="NumPar10000000"/>
        <w:numPr>
          <w:ilvl w:val="0"/>
          <w:numId w:val="119"/>
        </w:numPr>
        <w:rPr>
          <w:noProof/>
        </w:rPr>
      </w:pPr>
      <w:r w:rsidRPr="00D207EA">
        <w:rPr>
          <w:noProof/>
        </w:rPr>
        <w:t>L’État membre dispose d’un délai de deux mois à compter de l’avis visé au paragraphe 1 pour marquer son accord sur le montant devant faire l’objet du dégagement ou pour faire part de ses observations.</w:t>
      </w:r>
    </w:p>
    <w:p w14:paraId="7FCFDBF1" w14:textId="77777777" w:rsidR="000F2D2A" w:rsidRPr="00D207EA" w:rsidRDefault="002E6281" w:rsidP="00C21519">
      <w:pPr>
        <w:pStyle w:val="NumPar10000000"/>
        <w:numPr>
          <w:ilvl w:val="0"/>
          <w:numId w:val="119"/>
        </w:numPr>
        <w:rPr>
          <w:noProof/>
        </w:rPr>
      </w:pPr>
      <w:r w:rsidRPr="00D207EA">
        <w:rPr>
          <w:noProof/>
        </w:rPr>
        <w:t>Lorsque le dégagement concerne des montants engagés dans le cadre du plan PNR, l’État membre soumet à la Commission, avant le 30 juin, une demande de modification du plan PNR qui illustre le montant réduit du soutien. Les montants concernés par le dégagement et la réduction correspondante sont répartis dans le plan PNR en fonction des progrès réalisés dans la mise en œuvre des mesures sur l’ensemble de ses chapitres.</w:t>
      </w:r>
    </w:p>
    <w:p w14:paraId="6435A722" w14:textId="394E7D52" w:rsidR="00262F7B" w:rsidRPr="00D207EA" w:rsidRDefault="008E613F" w:rsidP="00C21519">
      <w:pPr>
        <w:pStyle w:val="NumPar10000000"/>
        <w:numPr>
          <w:ilvl w:val="0"/>
          <w:numId w:val="119"/>
        </w:numPr>
        <w:rPr>
          <w:noProof/>
        </w:rPr>
      </w:pPr>
      <w:r w:rsidRPr="00D207EA">
        <w:rPr>
          <w:noProof/>
        </w:rPr>
        <w:t>Pour le plan Interreg, les engagements financiers sont pris au niveau du chapitre. Lorsque le dégagement concerne des montants engagés dans le cadre d’un chapitre du plan Interreg, l’État membre qui héberge l’autorité de gestion soumet à la Commission, avant le 30 juin, une demande de modification du chapitre du plan Interreg qui illustre le montant réduit du soutien.</w:t>
      </w:r>
    </w:p>
    <w:p w14:paraId="7959A37B" w14:textId="77777777" w:rsidR="002D4138" w:rsidRPr="00D207EA" w:rsidRDefault="00586F2F" w:rsidP="00C21519">
      <w:pPr>
        <w:pStyle w:val="NumPar10000000"/>
        <w:numPr>
          <w:ilvl w:val="0"/>
          <w:numId w:val="119"/>
        </w:numPr>
        <w:rPr>
          <w:noProof/>
        </w:rPr>
      </w:pPr>
      <w:r w:rsidRPr="00D207EA">
        <w:rPr>
          <w:noProof/>
        </w:rPr>
        <w:t>En l’absence d’une demande visée aux paragraphes 3 et 4, la Commission réduit, au plus tard le 31 octobre, la contribution du Fonds pour l’année civile concernée conformément auxdits paragraphes.</w:t>
      </w:r>
    </w:p>
    <w:p w14:paraId="7EE1A79B" w14:textId="77777777" w:rsidR="002D4138" w:rsidRPr="00D207EA" w:rsidRDefault="002D4138" w:rsidP="00C21519">
      <w:pPr>
        <w:pStyle w:val="NumPar10000000"/>
        <w:numPr>
          <w:ilvl w:val="0"/>
          <w:numId w:val="119"/>
        </w:numPr>
        <w:rPr>
          <w:noProof/>
        </w:rPr>
      </w:pPr>
      <w:r w:rsidRPr="00D207EA">
        <w:rPr>
          <w:noProof/>
        </w:rPr>
        <w:t>À l’issue de la procédure de dégagement prévue au présent article, la Commission présente une proposition de nouvelle décision d’exécution du Conseil approuvant le plan PNR conformément à l’article 23, qui illustre les montants concernés par le dégagement.</w:t>
      </w:r>
    </w:p>
    <w:p w14:paraId="31E7E450" w14:textId="77777777" w:rsidR="00004723" w:rsidRPr="00D207EA" w:rsidRDefault="00004723" w:rsidP="00004723">
      <w:pPr>
        <w:pStyle w:val="Titrearticle"/>
        <w:rPr>
          <w:noProof/>
        </w:rPr>
      </w:pPr>
      <w:r w:rsidRPr="00D207EA">
        <w:rPr>
          <w:noProof/>
        </w:rPr>
        <w:t>Article 17</w:t>
      </w:r>
      <w:r w:rsidRPr="00D207EA">
        <w:rPr>
          <w:noProof/>
        </w:rPr>
        <w:br/>
      </w:r>
      <w:r w:rsidRPr="00D207EA">
        <w:rPr>
          <w:b/>
          <w:noProof/>
        </w:rPr>
        <w:t>Préfinancement</w:t>
      </w:r>
    </w:p>
    <w:p w14:paraId="282EA668" w14:textId="132A74BB" w:rsidR="007C1C62" w:rsidRPr="00D207EA" w:rsidRDefault="006504BC" w:rsidP="00C21519">
      <w:pPr>
        <w:pStyle w:val="NumPar10000000"/>
        <w:numPr>
          <w:ilvl w:val="0"/>
          <w:numId w:val="141"/>
        </w:numPr>
        <w:rPr>
          <w:noProof/>
        </w:rPr>
      </w:pPr>
      <w:r w:rsidRPr="00D207EA">
        <w:rPr>
          <w:noProof/>
        </w:rPr>
        <w:t>Sous réserve de l’adoption par le Conseil de la décision d’exécution visée à l’article 23 et de la disponibilité des fonds, la Commission effectue un préfinancement. Le montant du préfinancement s’élève à 10 % de la dotation financière de l’Union visée à l’article 14 [engagements budgétaires] et est versé par tranches sur trois années consécutives, comme suit: 4 % en 2028, 3 % en 2029 et 3 % en 2030. Lorsque la décision d’exécution est adoptée par le Conseil après le 31 juillet 2028, seules les tranches 2029 et 2030 sont payées.</w:t>
      </w:r>
    </w:p>
    <w:p w14:paraId="20B2B95A" w14:textId="77777777" w:rsidR="007C1C62" w:rsidRPr="00D207EA" w:rsidRDefault="00756221" w:rsidP="00C21519">
      <w:pPr>
        <w:pStyle w:val="NumPar10000000"/>
        <w:numPr>
          <w:ilvl w:val="0"/>
          <w:numId w:val="119"/>
        </w:numPr>
        <w:rPr>
          <w:noProof/>
        </w:rPr>
      </w:pPr>
      <w:r w:rsidRPr="00D207EA">
        <w:rPr>
          <w:noProof/>
        </w:rPr>
        <w:t>La Commission verse un préfinancement d’un montant de 12 % de la contribution financière de l’Union provenant du Fonds à chaque chapitre du plan Interreg, comme indiqué dans l’acte d’exécution approuvant le chapitre du plan Interreg conformément à l’article 8 du règlement XX [Développement régional, plan Interreg], dans la limite des fonds disponibles. Ce montant est versé en trois tranches égales de 4 % sur trois années consécutives.</w:t>
      </w:r>
    </w:p>
    <w:p w14:paraId="037D75CF" w14:textId="5ECCD76A" w:rsidR="000F2D2A" w:rsidRPr="00D207EA" w:rsidRDefault="27CE45F5" w:rsidP="000F2D2A">
      <w:pPr>
        <w:pStyle w:val="Text1"/>
        <w:rPr>
          <w:noProof/>
        </w:rPr>
      </w:pPr>
      <w:r w:rsidRPr="00D207EA">
        <w:rPr>
          <w:noProof/>
        </w:rPr>
        <w:t>Lorsqu’un chapitre du plan Interreg bénéficie d’un soutien de l’instrument IVCDCI – Europe dans le monde, des règles spécifiques de préfinancement dérogeant au présent paragraphe peuvent être établies dans l’acte d’exécution visé à l’article 8, paragraphe 1, du règlement XX [Développement régional, plan Interreg] [Approbation et modification du plan Interreg].</w:t>
      </w:r>
    </w:p>
    <w:p w14:paraId="7F1D3DF1" w14:textId="77777777" w:rsidR="00495584" w:rsidRPr="00D207EA" w:rsidRDefault="00495584" w:rsidP="00C21519">
      <w:pPr>
        <w:pStyle w:val="NumPar10000000"/>
        <w:numPr>
          <w:ilvl w:val="0"/>
          <w:numId w:val="119"/>
        </w:numPr>
        <w:rPr>
          <w:noProof/>
        </w:rPr>
      </w:pPr>
      <w:r w:rsidRPr="00D207EA">
        <w:rPr>
          <w:noProof/>
        </w:rPr>
        <w:t>Les montants versés au titre du préfinancement sont apurés des comptes de la Commission au plus tard à la réception du dossier «assurance» annuel pour la dernière année de mise en œuvre.</w:t>
      </w:r>
    </w:p>
    <w:p w14:paraId="1FDE4C26" w14:textId="77777777" w:rsidR="00004723" w:rsidRPr="00D207EA" w:rsidRDefault="00004723" w:rsidP="00004723">
      <w:pPr>
        <w:pStyle w:val="Titrearticle"/>
        <w:rPr>
          <w:noProof/>
        </w:rPr>
      </w:pPr>
      <w:r w:rsidRPr="00D207EA">
        <w:rPr>
          <w:noProof/>
        </w:rPr>
        <w:t>Article 18</w:t>
      </w:r>
      <w:r w:rsidRPr="00D207EA">
        <w:rPr>
          <w:noProof/>
        </w:rPr>
        <w:br/>
      </w:r>
      <w:r w:rsidRPr="00D207EA">
        <w:rPr>
          <w:b/>
          <w:noProof/>
        </w:rPr>
        <w:t>Demande d’un soutien sous forme de prêt</w:t>
      </w:r>
    </w:p>
    <w:p w14:paraId="2E1C228D" w14:textId="7370E129" w:rsidR="00FF5BE2" w:rsidRPr="00D207EA" w:rsidRDefault="00FF5BE2" w:rsidP="00C21519">
      <w:pPr>
        <w:pStyle w:val="NumPar10000000"/>
        <w:numPr>
          <w:ilvl w:val="0"/>
          <w:numId w:val="120"/>
        </w:numPr>
        <w:rPr>
          <w:noProof/>
        </w:rPr>
      </w:pPr>
      <w:r w:rsidRPr="00D207EA">
        <w:rPr>
          <w:noProof/>
        </w:rPr>
        <w:t>La demande de soutien sous forme de prêt effectuée par un État membre indique les informations suivantes:</w:t>
      </w:r>
    </w:p>
    <w:p w14:paraId="08663F69" w14:textId="7D606E37" w:rsidR="00F37BD9" w:rsidRPr="00D207EA" w:rsidRDefault="008D666E" w:rsidP="008D666E">
      <w:pPr>
        <w:pStyle w:val="Point10"/>
        <w:rPr>
          <w:noProof/>
        </w:rPr>
      </w:pPr>
      <w:r w:rsidRPr="008D666E">
        <w:rPr>
          <w:noProof/>
        </w:rPr>
        <w:t>(a)</w:t>
      </w:r>
      <w:r w:rsidRPr="008D666E">
        <w:rPr>
          <w:noProof/>
        </w:rPr>
        <w:tab/>
      </w:r>
      <w:r w:rsidR="00FF5BE2" w:rsidRPr="00D207EA">
        <w:rPr>
          <w:noProof/>
        </w:rPr>
        <w:t xml:space="preserve">le montant du soutien sous forme de prêt demandé; </w:t>
      </w:r>
    </w:p>
    <w:p w14:paraId="559B5DDC" w14:textId="10969F0D" w:rsidR="00FF5BE2" w:rsidRPr="00D207EA" w:rsidRDefault="008D666E" w:rsidP="008D666E">
      <w:pPr>
        <w:pStyle w:val="Point10"/>
        <w:rPr>
          <w:noProof/>
        </w:rPr>
      </w:pPr>
      <w:r w:rsidRPr="008D666E">
        <w:rPr>
          <w:noProof/>
        </w:rPr>
        <w:t>(b)</w:t>
      </w:r>
      <w:r w:rsidRPr="008D666E">
        <w:rPr>
          <w:noProof/>
        </w:rPr>
        <w:tab/>
      </w:r>
      <w:r w:rsidR="00FF5BE2" w:rsidRPr="00D207EA">
        <w:rPr>
          <w:noProof/>
        </w:rPr>
        <w:t>les mesures conformément à l’article 21 [Préparation et présentation du plan] à financer par le soutien sous forme de prêt;</w:t>
      </w:r>
    </w:p>
    <w:p w14:paraId="446C9C09" w14:textId="1B832106" w:rsidR="00FF5BE2" w:rsidRPr="00D207EA" w:rsidRDefault="008D666E" w:rsidP="008D666E">
      <w:pPr>
        <w:pStyle w:val="Point10"/>
        <w:rPr>
          <w:noProof/>
        </w:rPr>
      </w:pPr>
      <w:r w:rsidRPr="008D666E">
        <w:rPr>
          <w:noProof/>
        </w:rPr>
        <w:t>(c)</w:t>
      </w:r>
      <w:r w:rsidRPr="008D666E">
        <w:rPr>
          <w:noProof/>
        </w:rPr>
        <w:tab/>
      </w:r>
      <w:r w:rsidR="00FF5BE2" w:rsidRPr="00D207EA">
        <w:rPr>
          <w:noProof/>
        </w:rPr>
        <w:t>les besoins financiers liés aux mesures visées au point b);</w:t>
      </w:r>
    </w:p>
    <w:p w14:paraId="15AADA51" w14:textId="6147D354" w:rsidR="00FF5BE2" w:rsidRPr="00D207EA" w:rsidRDefault="008D666E" w:rsidP="008D666E">
      <w:pPr>
        <w:pStyle w:val="Point10"/>
        <w:rPr>
          <w:noProof/>
        </w:rPr>
      </w:pPr>
      <w:r w:rsidRPr="008D666E">
        <w:rPr>
          <w:noProof/>
        </w:rPr>
        <w:t>(d)</w:t>
      </w:r>
      <w:r w:rsidRPr="008D666E">
        <w:rPr>
          <w:noProof/>
        </w:rPr>
        <w:tab/>
      </w:r>
      <w:r w:rsidR="00FF1FCF" w:rsidRPr="00D207EA">
        <w:rPr>
          <w:noProof/>
        </w:rPr>
        <w:t>une explication de la raison pour laquelle le coût estimé du plan PNR est supérieur au total de la contribution financière de l’Union, compte tenu de la contribution nationale.</w:t>
      </w:r>
    </w:p>
    <w:p w14:paraId="56860F1F" w14:textId="77777777" w:rsidR="00FF5BE2" w:rsidRPr="00D207EA" w:rsidRDefault="00FF5BE2" w:rsidP="00C21519">
      <w:pPr>
        <w:pStyle w:val="NumPar10000000"/>
        <w:numPr>
          <w:ilvl w:val="0"/>
          <w:numId w:val="119"/>
        </w:numPr>
        <w:rPr>
          <w:noProof/>
        </w:rPr>
      </w:pPr>
      <w:r w:rsidRPr="00D207EA">
        <w:rPr>
          <w:noProof/>
        </w:rPr>
        <w:t>Le soutien sous forme de prêt n’est pas supérieur à la différence entre le coût total estimé du plan, tel que révisé le cas échéant, et le total de la contribution financière de l’Union ajouté à la contribution nationale.</w:t>
      </w:r>
    </w:p>
    <w:p w14:paraId="6FFEECDA" w14:textId="77777777" w:rsidR="00FF5BE2" w:rsidRPr="00D207EA" w:rsidRDefault="00FF5BE2" w:rsidP="00C21519">
      <w:pPr>
        <w:pStyle w:val="NumPar10000000"/>
        <w:numPr>
          <w:ilvl w:val="0"/>
          <w:numId w:val="119"/>
        </w:numPr>
        <w:rPr>
          <w:noProof/>
        </w:rPr>
      </w:pPr>
      <w:r w:rsidRPr="00D207EA">
        <w:rPr>
          <w:noProof/>
        </w:rPr>
        <w:t>Les États membres soumettent à la Commission la demande de soutien sous forme de prêt au plus tard le 31 janvier 2028.</w:t>
      </w:r>
    </w:p>
    <w:p w14:paraId="21D16A2C" w14:textId="4A566D08" w:rsidR="00FF5BE2" w:rsidRPr="00D207EA" w:rsidRDefault="00FF5BE2" w:rsidP="00C21519">
      <w:pPr>
        <w:pStyle w:val="NumPar10000000"/>
        <w:numPr>
          <w:ilvl w:val="0"/>
          <w:numId w:val="119"/>
        </w:numPr>
        <w:rPr>
          <w:noProof/>
        </w:rPr>
      </w:pPr>
      <w:r w:rsidRPr="00D207EA">
        <w:rPr>
          <w:noProof/>
        </w:rPr>
        <w:t>La Commission attribue aux États membres les montants des soutiens sous forme de prêt visés à l’article 10, paragraphe 4, compte tenu des principes d’égalité de traitement, de solidarité, de proportionnalité et de transparence. La part des prêts octroyés aux trois États membres qui sont les plus grands bénéficiaires des prêts octroyés ne dépasse pas 60 pour cent du montant maximal indiqué à l’article 10, paragraphe 4.</w:t>
      </w:r>
    </w:p>
    <w:p w14:paraId="79E2E0F0" w14:textId="77777777" w:rsidR="00FF5BE2" w:rsidRPr="00D207EA" w:rsidRDefault="00FF5BE2" w:rsidP="007C1C62">
      <w:pPr>
        <w:pStyle w:val="Text1"/>
        <w:rPr>
          <w:noProof/>
        </w:rPr>
      </w:pPr>
      <w:r w:rsidRPr="00D207EA">
        <w:rPr>
          <w:noProof/>
        </w:rPr>
        <w:t xml:space="preserve">Si, à la suite de l’attribution des prêts visés au paragraphe 3, des montants restent disponibles pour le soutien sous forme de prêt, la Commission peut publier de nouveaux appels à manifestation d’intérêt pour le soutien sous forme de prêt. En pareil cas, la procédure prévue aux paragraphes 1 à 5 du présent article et à l’article 19 s’applique </w:t>
      </w:r>
      <w:r w:rsidRPr="00D207EA">
        <w:rPr>
          <w:i/>
          <w:noProof/>
        </w:rPr>
        <w:t>mutatis mutandis</w:t>
      </w:r>
      <w:r w:rsidRPr="00D207EA">
        <w:rPr>
          <w:noProof/>
        </w:rPr>
        <w:t>.</w:t>
      </w:r>
    </w:p>
    <w:p w14:paraId="0FDC57EB" w14:textId="77777777" w:rsidR="00FF5BE2" w:rsidRPr="00D207EA" w:rsidRDefault="00FF5BE2" w:rsidP="00C21519">
      <w:pPr>
        <w:pStyle w:val="NumPar10000000"/>
        <w:numPr>
          <w:ilvl w:val="0"/>
          <w:numId w:val="119"/>
        </w:numPr>
        <w:rPr>
          <w:noProof/>
        </w:rPr>
      </w:pPr>
      <w:r w:rsidRPr="00D207EA">
        <w:rPr>
          <w:noProof/>
        </w:rPr>
        <w:t>Le prêt est versé sous réserve du respect de valeurs intermédiaires et de valeurs cibles conformément à l’article 65 [demande de paiement].</w:t>
      </w:r>
    </w:p>
    <w:p w14:paraId="1325883F" w14:textId="4C7AD210" w:rsidR="00FF5BE2" w:rsidRPr="00D207EA" w:rsidRDefault="00FF5BE2" w:rsidP="00C21519">
      <w:pPr>
        <w:pStyle w:val="NumPar10000000"/>
        <w:numPr>
          <w:ilvl w:val="0"/>
          <w:numId w:val="119"/>
        </w:numPr>
        <w:rPr>
          <w:noProof/>
        </w:rPr>
      </w:pPr>
      <w:r w:rsidRPr="00D207EA">
        <w:rPr>
          <w:noProof/>
        </w:rPr>
        <w:t>La Commission évalue la demande de soutien sous forme de prêt conformément à l’article 23 [proposition de la Commission et décision d’exécution du Conseil].</w:t>
      </w:r>
    </w:p>
    <w:p w14:paraId="21E8A35E" w14:textId="77777777" w:rsidR="00004723" w:rsidRPr="00D207EA" w:rsidRDefault="00004723" w:rsidP="00004723">
      <w:pPr>
        <w:pStyle w:val="Titrearticle"/>
        <w:rPr>
          <w:b/>
          <w:bCs/>
          <w:noProof/>
        </w:rPr>
      </w:pPr>
      <w:r w:rsidRPr="00D207EA">
        <w:rPr>
          <w:noProof/>
        </w:rPr>
        <w:t>Article 19</w:t>
      </w:r>
      <w:r w:rsidRPr="00D207EA">
        <w:rPr>
          <w:noProof/>
        </w:rPr>
        <w:br/>
      </w:r>
      <w:r w:rsidRPr="00D207EA">
        <w:rPr>
          <w:b/>
          <w:noProof/>
        </w:rPr>
        <w:t>Accord de prêt et opérations d’emprunt et de prêt</w:t>
      </w:r>
    </w:p>
    <w:p w14:paraId="74D015C0" w14:textId="77777777" w:rsidR="00FA06C0" w:rsidRPr="00D207EA" w:rsidRDefault="00FF5BE2" w:rsidP="00C21519">
      <w:pPr>
        <w:pStyle w:val="NumPar10000000"/>
        <w:numPr>
          <w:ilvl w:val="0"/>
          <w:numId w:val="121"/>
        </w:numPr>
        <w:rPr>
          <w:rFonts w:eastAsia="Times New Roman"/>
          <w:noProof/>
        </w:rPr>
      </w:pPr>
      <w:bookmarkStart w:id="7" w:name="_Hlk201856262"/>
      <w:r w:rsidRPr="00D207EA">
        <w:rPr>
          <w:noProof/>
        </w:rPr>
        <w:t>Afin de financer le soutien accordé au titre du plan sous forme de prêts, la Commission est habilitée, au nom de l’Union, à emprunter les fonds nécessaires sur les marchés des capitaux ou auprès d’établissements financiers conformément à l’article 224 du règlement (UE, Euratom) 2024/2509.</w:t>
      </w:r>
    </w:p>
    <w:p w14:paraId="6DDF6753" w14:textId="1ED98682" w:rsidR="00FF5BE2" w:rsidRPr="00D207EA" w:rsidRDefault="00FF5BE2" w:rsidP="00C21519">
      <w:pPr>
        <w:pStyle w:val="NumPar10000000"/>
        <w:numPr>
          <w:ilvl w:val="0"/>
          <w:numId w:val="75"/>
        </w:numPr>
        <w:rPr>
          <w:rFonts w:eastAsia="Times New Roman"/>
          <w:noProof/>
        </w:rPr>
      </w:pPr>
      <w:r w:rsidRPr="00D207EA">
        <w:rPr>
          <w:noProof/>
        </w:rPr>
        <w:t>Dès l’adoption de la décision d’exécution du Conseil visée à l’article 23 [proposition de la Commission et décision d’exécution du Conseil], la Commission conclut un accord de prêt avec l’État membre. Outre les éléments prévus à l’article 223, paragraphe 4, du règlement (UE, Euratom) 2024/2509, l’accord de prêt fixe le montant maximal du prêt, la période de mise à disposition, la durée maximale de chaque décaissement du prêt et les conditions détaillées du soutien. Ces accords peuvent également contenir le montant du préfinancement et les règles relatives à l’apurement du préfinancement.</w:t>
      </w:r>
      <w:bookmarkEnd w:id="7"/>
    </w:p>
    <w:p w14:paraId="2E8BCFAB" w14:textId="77777777" w:rsidR="00004723" w:rsidRPr="00D207EA" w:rsidRDefault="00004723" w:rsidP="00004723">
      <w:pPr>
        <w:pStyle w:val="Titrearticle"/>
        <w:rPr>
          <w:noProof/>
        </w:rPr>
      </w:pPr>
      <w:r w:rsidRPr="00D207EA">
        <w:rPr>
          <w:noProof/>
        </w:rPr>
        <w:t>Article 20</w:t>
      </w:r>
      <w:r w:rsidRPr="00D207EA">
        <w:rPr>
          <w:noProof/>
        </w:rPr>
        <w:br/>
      </w:r>
      <w:r w:rsidRPr="00D207EA">
        <w:rPr>
          <w:b/>
          <w:noProof/>
        </w:rPr>
        <w:t>Contribution nationale aux coûts estimés</w:t>
      </w:r>
    </w:p>
    <w:p w14:paraId="44AA97FB" w14:textId="77777777" w:rsidR="00FA06C0" w:rsidRPr="00D207EA" w:rsidRDefault="00FF5BE2" w:rsidP="00C21519">
      <w:pPr>
        <w:pStyle w:val="NumPar10000000"/>
        <w:numPr>
          <w:ilvl w:val="0"/>
          <w:numId w:val="122"/>
        </w:numPr>
        <w:rPr>
          <w:noProof/>
        </w:rPr>
      </w:pPr>
      <w:r w:rsidRPr="00D207EA">
        <w:rPr>
          <w:noProof/>
        </w:rPr>
        <w:t>Le taux minimal de la contribution nationale aux coûts estimés des mesures du plan n’est pas inférieur à:</w:t>
      </w:r>
    </w:p>
    <w:p w14:paraId="5F954F40" w14:textId="1EACABCE" w:rsidR="00A90F2F" w:rsidRPr="00D207EA" w:rsidRDefault="008D666E" w:rsidP="008D666E">
      <w:pPr>
        <w:pStyle w:val="Point10"/>
        <w:rPr>
          <w:noProof/>
        </w:rPr>
      </w:pPr>
      <w:r w:rsidRPr="008D666E">
        <w:rPr>
          <w:noProof/>
        </w:rPr>
        <w:t>(a)</w:t>
      </w:r>
      <w:r w:rsidRPr="008D666E">
        <w:rPr>
          <w:noProof/>
        </w:rPr>
        <w:tab/>
      </w:r>
      <w:r w:rsidR="009653C3" w:rsidRPr="00D207EA">
        <w:rPr>
          <w:noProof/>
        </w:rPr>
        <w:t>15 % pour les régions moins développées;</w:t>
      </w:r>
    </w:p>
    <w:p w14:paraId="7E0E26A2" w14:textId="6D7E3B0F" w:rsidR="00A90F2F" w:rsidRPr="00D207EA" w:rsidRDefault="008D666E" w:rsidP="008D666E">
      <w:pPr>
        <w:pStyle w:val="Point10"/>
        <w:rPr>
          <w:noProof/>
        </w:rPr>
      </w:pPr>
      <w:r w:rsidRPr="008D666E">
        <w:rPr>
          <w:noProof/>
        </w:rPr>
        <w:t>(b)</w:t>
      </w:r>
      <w:r w:rsidRPr="008D666E">
        <w:rPr>
          <w:noProof/>
        </w:rPr>
        <w:tab/>
      </w:r>
      <w:r w:rsidR="009653C3" w:rsidRPr="00D207EA">
        <w:rPr>
          <w:noProof/>
        </w:rPr>
        <w:t>40 % pour les régions en transition;</w:t>
      </w:r>
    </w:p>
    <w:p w14:paraId="7FED13A0" w14:textId="4ADF243E" w:rsidR="00ED5957" w:rsidRPr="00D207EA" w:rsidRDefault="008D666E" w:rsidP="008D666E">
      <w:pPr>
        <w:pStyle w:val="Point10"/>
        <w:rPr>
          <w:noProof/>
        </w:rPr>
      </w:pPr>
      <w:r w:rsidRPr="008D666E">
        <w:rPr>
          <w:noProof/>
        </w:rPr>
        <w:t>(c)</w:t>
      </w:r>
      <w:r w:rsidRPr="008D666E">
        <w:rPr>
          <w:noProof/>
        </w:rPr>
        <w:tab/>
      </w:r>
      <w:r w:rsidR="00427451" w:rsidRPr="00D207EA">
        <w:rPr>
          <w:noProof/>
        </w:rPr>
        <w:t>60 % pour les régions plus développées.</w:t>
      </w:r>
    </w:p>
    <w:p w14:paraId="4516EE37" w14:textId="77777777" w:rsidR="002C3CE0" w:rsidRPr="00D207EA" w:rsidRDefault="002C3CE0" w:rsidP="00C21519">
      <w:pPr>
        <w:pStyle w:val="NumPar10000000"/>
        <w:numPr>
          <w:ilvl w:val="0"/>
          <w:numId w:val="119"/>
        </w:numPr>
        <w:rPr>
          <w:noProof/>
        </w:rPr>
      </w:pPr>
      <w:r w:rsidRPr="00D207EA">
        <w:rPr>
          <w:noProof/>
        </w:rPr>
        <w:t>Lorsque, pour une mesure donnée, il n’est pas possible de déterminer la proportion de la mise en œuvre dans les régions moins développées, le taux de contribution nationale aux coûts estimés n’est pas inférieur à la moyenne pondérée en fonction de la population des taux de contribution applicables à ses régions, fixés au paragraphe 1.</w:t>
      </w:r>
    </w:p>
    <w:p w14:paraId="1BBD8F05" w14:textId="77777777" w:rsidR="00FF5BE2" w:rsidRPr="00D207EA" w:rsidRDefault="008E2B38" w:rsidP="00C21519">
      <w:pPr>
        <w:pStyle w:val="NumPar10000000"/>
        <w:numPr>
          <w:ilvl w:val="0"/>
          <w:numId w:val="119"/>
        </w:numPr>
        <w:rPr>
          <w:noProof/>
        </w:rPr>
      </w:pPr>
      <w:r w:rsidRPr="00D207EA">
        <w:rPr>
          <w:noProof/>
        </w:rPr>
        <w:t>Le taux de la contribution nationale au niveau de chaque chapitre Interreg n’est pas inférieur à 20 %. Le taux est diminué de [5] points de pourcentage pour les chapitres soutenant la coopération des régions ultrapériphériques et la coopération transfrontalière aux frontières extérieures.</w:t>
      </w:r>
    </w:p>
    <w:p w14:paraId="522480E4" w14:textId="77777777" w:rsidR="004F49F8" w:rsidRPr="00D207EA" w:rsidRDefault="004F49F8" w:rsidP="00C21519">
      <w:pPr>
        <w:pStyle w:val="NumPar10000000"/>
        <w:numPr>
          <w:ilvl w:val="0"/>
          <w:numId w:val="119"/>
        </w:numPr>
        <w:rPr>
          <w:noProof/>
        </w:rPr>
      </w:pPr>
      <w:r w:rsidRPr="00D207EA">
        <w:rPr>
          <w:noProof/>
        </w:rPr>
        <w:t>Aucune contribution nationale n’est demandée pour les interventions visées à l’article 35, points a), b), c) et g). Aucun financement national supplémentaire n’est prévu pour ces interventions. Tout taux de contribution dérogeant à ceux du paragraphe 1 fixés pour les interventions visées au titre V, y compris lorsqu’aucune contribution nationale n’est demandée, ne s’applique qu’à un montant total d’interventions ne dépassant pas la part de l’État membre dans le montant fixé à l’article 10, paragraphe 2, point a), ii), tel qu’il figure à l’annexe I.</w:t>
      </w:r>
    </w:p>
    <w:p w14:paraId="5D718F01" w14:textId="77777777" w:rsidR="00FA06C0" w:rsidRPr="00D207EA" w:rsidRDefault="009B073F" w:rsidP="16E6631B">
      <w:pPr>
        <w:pStyle w:val="SectionTitle"/>
        <w:rPr>
          <w:noProof/>
        </w:rPr>
      </w:pPr>
      <w:r w:rsidRPr="00D207EA">
        <w:rPr>
          <w:noProof/>
        </w:rPr>
        <w:t>TITRE III</w:t>
      </w:r>
      <w:r w:rsidRPr="00D207EA">
        <w:rPr>
          <w:noProof/>
        </w:rPr>
        <w:br/>
        <w:t>PLANS DE PARTENARIAT NATIONAL ET RÉGIONAL</w:t>
      </w:r>
    </w:p>
    <w:p w14:paraId="688813F2" w14:textId="77777777" w:rsidR="00FA06C0" w:rsidRPr="00D207EA" w:rsidRDefault="00C330EA" w:rsidP="00952967">
      <w:pPr>
        <w:pStyle w:val="Chaptertitle"/>
        <w:rPr>
          <w:noProof/>
        </w:rPr>
      </w:pPr>
      <w:r w:rsidRPr="00D207EA">
        <w:rPr>
          <w:b/>
          <w:i w:val="0"/>
          <w:noProof/>
          <w:sz w:val="32"/>
        </w:rPr>
        <w:t>CHAPITRE 1</w:t>
      </w:r>
      <w:r w:rsidRPr="00D207EA">
        <w:rPr>
          <w:noProof/>
        </w:rPr>
        <w:br/>
      </w:r>
      <w:r w:rsidRPr="00D207EA">
        <w:rPr>
          <w:b/>
          <w:i w:val="0"/>
          <w:noProof/>
          <w:sz w:val="32"/>
        </w:rPr>
        <w:t>Préparation et adoption du plan</w:t>
      </w:r>
    </w:p>
    <w:p w14:paraId="47720B0C" w14:textId="77777777" w:rsidR="004E3138" w:rsidRPr="00D207EA" w:rsidRDefault="00004723" w:rsidP="004E3138">
      <w:pPr>
        <w:pStyle w:val="Titrearticle"/>
        <w:rPr>
          <w:noProof/>
        </w:rPr>
      </w:pPr>
      <w:r w:rsidRPr="00D207EA">
        <w:rPr>
          <w:noProof/>
        </w:rPr>
        <w:t>Article 21</w:t>
      </w:r>
      <w:r w:rsidRPr="00D207EA">
        <w:rPr>
          <w:noProof/>
        </w:rPr>
        <w:br/>
      </w:r>
      <w:r w:rsidRPr="00D207EA">
        <w:rPr>
          <w:b/>
          <w:noProof/>
        </w:rPr>
        <w:t>Préparation et présentation du plan</w:t>
      </w:r>
    </w:p>
    <w:p w14:paraId="7D1EA6EB" w14:textId="1A09E2C6" w:rsidR="009F0A87" w:rsidRPr="00D207EA" w:rsidRDefault="005C49E8" w:rsidP="00C21519">
      <w:pPr>
        <w:pStyle w:val="NumPar10000000"/>
        <w:numPr>
          <w:ilvl w:val="0"/>
          <w:numId w:val="123"/>
        </w:numPr>
        <w:rPr>
          <w:noProof/>
        </w:rPr>
      </w:pPr>
      <w:r w:rsidRPr="00D207EA">
        <w:rPr>
          <w:noProof/>
        </w:rPr>
        <w:t>Chaque État membre prépare et présente à la Commission le plan PNR qui met en place son programme de réformes, d’investissements et d’autres interventions. Chaque plan comprend des mesures qui forment un ensemble complet et cohérent. L’État membre met le plan présenté à la Commission à la disposition du public sur le site web visé à l’article 64 [Transparence].</w:t>
      </w:r>
    </w:p>
    <w:p w14:paraId="1BF6843A" w14:textId="084D8C97" w:rsidR="009F0A87" w:rsidRPr="00D207EA" w:rsidRDefault="005C49E8" w:rsidP="00C21519">
      <w:pPr>
        <w:pStyle w:val="NumPar10000000"/>
        <w:numPr>
          <w:ilvl w:val="0"/>
          <w:numId w:val="119"/>
        </w:numPr>
        <w:rPr>
          <w:noProof/>
        </w:rPr>
      </w:pPr>
      <w:r w:rsidRPr="00D207EA">
        <w:rPr>
          <w:noProof/>
        </w:rPr>
        <w:t>Chaque État membre élabore et met en œuvre le plan en partenariat avec les partenaires visés à l’article 6 [Partenariat], y compris les autorités régionales et locales, et conformément à leur cadre institutionnel, juridique et financier. Le plan comprend des chapitres nationaux, sectoriels et, s’il y a lieu, régionaux et territoriaux.</w:t>
      </w:r>
    </w:p>
    <w:p w14:paraId="5B3B6C7A" w14:textId="22173B59" w:rsidR="009F0A87" w:rsidRPr="00D207EA" w:rsidRDefault="005C49E8" w:rsidP="00C21519">
      <w:pPr>
        <w:pStyle w:val="NumPar10000000"/>
        <w:numPr>
          <w:ilvl w:val="0"/>
          <w:numId w:val="119"/>
        </w:numPr>
        <w:rPr>
          <w:noProof/>
        </w:rPr>
      </w:pPr>
      <w:r w:rsidRPr="00D207EA">
        <w:rPr>
          <w:noProof/>
        </w:rPr>
        <w:t>Seules les mesures dont la mise en œuvre a commencé à partir du 1</w:t>
      </w:r>
      <w:r w:rsidRPr="00D207EA">
        <w:rPr>
          <w:noProof/>
          <w:vertAlign w:val="superscript"/>
        </w:rPr>
        <w:t>er</w:t>
      </w:r>
      <w:r w:rsidRPr="00D207EA">
        <w:rPr>
          <w:noProof/>
        </w:rPr>
        <w:t> janvier 2028 sont éligibles au financement, à condition qu’elles soient conformes aux exigences énoncées dans le présent règlement et dans les règlements énumérés à l’article 1</w:t>
      </w:r>
      <w:r w:rsidRPr="00D207EA">
        <w:rPr>
          <w:noProof/>
          <w:vertAlign w:val="superscript"/>
        </w:rPr>
        <w:t>er</w:t>
      </w:r>
      <w:r w:rsidRPr="00D207EA">
        <w:rPr>
          <w:noProof/>
        </w:rPr>
        <w:t>, paragraphe 1.</w:t>
      </w:r>
    </w:p>
    <w:p w14:paraId="11BD6222" w14:textId="77777777" w:rsidR="00E747C1" w:rsidRPr="00D207EA" w:rsidRDefault="00E747C1" w:rsidP="004E0CDA">
      <w:pPr>
        <w:pStyle w:val="Text1"/>
        <w:rPr>
          <w:noProof/>
        </w:rPr>
      </w:pPr>
      <w:r w:rsidRPr="00D207EA">
        <w:rPr>
          <w:noProof/>
        </w:rPr>
        <w:t>Par dérogation au premier alinéa, les dépenses liées aux engagements juridiques envers les bénéficiaires dans le cadre des interventions financées au titre du règlement (UE) 2021/2115 peuvent être éligibles à une contribution, à condition que ces dépenses soient prévues dans le plan PNR concerné conformément au présent règlement et au règlement (UE) 202X/XXXX [règlement relatif à la PAC].</w:t>
      </w:r>
    </w:p>
    <w:p w14:paraId="296A75B7" w14:textId="77777777" w:rsidR="009F0A87" w:rsidRPr="00D207EA" w:rsidRDefault="00004723" w:rsidP="009F0A87">
      <w:pPr>
        <w:pStyle w:val="Titrearticle"/>
        <w:rPr>
          <w:noProof/>
        </w:rPr>
      </w:pPr>
      <w:r w:rsidRPr="00D207EA">
        <w:rPr>
          <w:noProof/>
        </w:rPr>
        <w:t>Article 22</w:t>
      </w:r>
      <w:r w:rsidRPr="00D207EA">
        <w:rPr>
          <w:noProof/>
        </w:rPr>
        <w:br/>
      </w:r>
      <w:r w:rsidRPr="00D207EA">
        <w:rPr>
          <w:b/>
          <w:noProof/>
        </w:rPr>
        <w:t>Exigences relatives au plan PNR</w:t>
      </w:r>
    </w:p>
    <w:p w14:paraId="7432AC44" w14:textId="704C8B8A" w:rsidR="008D06C5" w:rsidRPr="00D207EA" w:rsidRDefault="005C49E8" w:rsidP="00C21519">
      <w:pPr>
        <w:pStyle w:val="NumPar10000000"/>
        <w:numPr>
          <w:ilvl w:val="0"/>
          <w:numId w:val="125"/>
        </w:numPr>
        <w:rPr>
          <w:noProof/>
        </w:rPr>
      </w:pPr>
      <w:r w:rsidRPr="00D207EA">
        <w:rPr>
          <w:noProof/>
        </w:rPr>
        <w:t>Chaque plan PNR est dûment motivé et étayé, et présente les éléments visés au paragraphe 2 du présent article, conformément au modèle figurant à l’annexe V.</w:t>
      </w:r>
    </w:p>
    <w:p w14:paraId="5707B525" w14:textId="77777777" w:rsidR="009F0A87" w:rsidRPr="00D207EA" w:rsidRDefault="005C49E8" w:rsidP="00C21519">
      <w:pPr>
        <w:pStyle w:val="NumPar10000000"/>
        <w:numPr>
          <w:ilvl w:val="0"/>
          <w:numId w:val="75"/>
        </w:numPr>
        <w:rPr>
          <w:noProof/>
        </w:rPr>
      </w:pPr>
      <w:r w:rsidRPr="00D207EA">
        <w:rPr>
          <w:noProof/>
        </w:rPr>
        <w:t>Le plan PNR:</w:t>
      </w:r>
    </w:p>
    <w:p w14:paraId="5DBD43CD" w14:textId="02C496F0" w:rsidR="001E1709" w:rsidRPr="00D207EA" w:rsidRDefault="008D666E" w:rsidP="008D666E">
      <w:pPr>
        <w:pStyle w:val="Point10"/>
        <w:rPr>
          <w:noProof/>
        </w:rPr>
      </w:pPr>
      <w:r w:rsidRPr="008D666E">
        <w:rPr>
          <w:noProof/>
        </w:rPr>
        <w:t>(a)</w:t>
      </w:r>
      <w:r w:rsidRPr="008D666E">
        <w:rPr>
          <w:noProof/>
        </w:rPr>
        <w:tab/>
      </w:r>
      <w:r w:rsidR="00F83BD1" w:rsidRPr="00D207EA">
        <w:rPr>
          <w:noProof/>
        </w:rPr>
        <w:t>soutient les objectifs généraux définis à l’article 2 et contribue de manière exhaustive et appropriée à tous les objectifs spécifiques définis à l’article 3, en tenant compte des défis propres à l’État membre concerné, et présente une stratégie d’intervention démontrant comment ces objectifs seront abordés et financés par le plan, quel niveau de financement est nécessaire pour assurer la réalisation des objectifs généraux, et comment ce niveau de financement est justifié. Le plan PNR d’un État membre dont le revenu national brut par habitant est inférieur à 90 % de la moyenne de l’Union démontre en particulier qu’il contribue de manière adéquate aux objectifs spécifiques énoncés à l’article 3, point a), vii) et ix), et à l’article 3, point d), v);</w:t>
      </w:r>
    </w:p>
    <w:p w14:paraId="40DEF6E0" w14:textId="395EBEA5" w:rsidR="001E1709" w:rsidRPr="00D207EA" w:rsidRDefault="008D666E" w:rsidP="008D666E">
      <w:pPr>
        <w:pStyle w:val="Point10"/>
        <w:rPr>
          <w:noProof/>
        </w:rPr>
      </w:pPr>
      <w:r w:rsidRPr="008D666E">
        <w:rPr>
          <w:noProof/>
        </w:rPr>
        <w:t>(b)</w:t>
      </w:r>
      <w:r w:rsidRPr="008D666E">
        <w:rPr>
          <w:noProof/>
        </w:rPr>
        <w:tab/>
      </w:r>
      <w:r w:rsidR="00F365D7" w:rsidRPr="00D207EA">
        <w:rPr>
          <w:noProof/>
        </w:rPr>
        <w:t>relève efficacement tous les défis constatés ou un sous-ensemble important d’entre eux:</w:t>
      </w:r>
    </w:p>
    <w:p w14:paraId="44B1BC54" w14:textId="77777777" w:rsidR="001E1709" w:rsidRPr="00D207EA" w:rsidRDefault="005C49E8" w:rsidP="00C21519">
      <w:pPr>
        <w:pStyle w:val="Point2n"/>
        <w:numPr>
          <w:ilvl w:val="0"/>
          <w:numId w:val="60"/>
        </w:numPr>
        <w:spacing w:line="240" w:lineRule="auto"/>
        <w:jc w:val="both"/>
        <w:rPr>
          <w:noProof/>
        </w:rPr>
      </w:pPr>
      <w:r w:rsidRPr="00D207EA">
        <w:rPr>
          <w:noProof/>
        </w:rPr>
        <w:t>dans le cadre du Semestre européen, en particulier dans les recommandations spécifiques par pays adressées à l’État membre, y compris celles relatives au socle européen des droits sociaux;</w:t>
      </w:r>
    </w:p>
    <w:p w14:paraId="7192AAE5" w14:textId="77777777" w:rsidR="001E1709" w:rsidRPr="00D207EA" w:rsidRDefault="00DD73C1" w:rsidP="004E0CDA">
      <w:pPr>
        <w:pStyle w:val="Point2n"/>
        <w:spacing w:line="240" w:lineRule="auto"/>
        <w:jc w:val="both"/>
        <w:rPr>
          <w:noProof/>
        </w:rPr>
      </w:pPr>
      <w:r w:rsidRPr="00D207EA">
        <w:rPr>
          <w:noProof/>
        </w:rPr>
        <w:t>dans les autres documents pertinents officiellement adoptés ou évalués par la Commission en rapport avec les objectifs définis à l’article 3 [objectifs spécifiques], y compris les recommandations nationales relatives à la PAC prévues à l’article 2 du règlement (UE) 202X/XXXX [règlement relatif à la PAC], les recommandations relatives à la décennie numérique fondées sur l’article 6 de la décision établissant le programme d’action pour la décennie numérique et les plans nationaux en matière d’énergie et de climat;</w:t>
      </w:r>
    </w:p>
    <w:p w14:paraId="22B2FEDE" w14:textId="77777777" w:rsidR="001E1709" w:rsidRPr="00D207EA" w:rsidRDefault="264CD1EB" w:rsidP="004E0CDA">
      <w:pPr>
        <w:pStyle w:val="Point2n"/>
        <w:spacing w:line="240" w:lineRule="auto"/>
        <w:jc w:val="both"/>
        <w:rPr>
          <w:noProof/>
        </w:rPr>
      </w:pPr>
      <w:r w:rsidRPr="00D207EA">
        <w:rPr>
          <w:noProof/>
        </w:rPr>
        <w:t>dans les stratégies et documents pertinents adoptés par le Conseil ou la Commission dans le domaine de la sécurité intérieure, de la gestion européenne intégrée des frontières, de la politique des visas, de l’asile et de la migration, compte tenu de l’architecture informatique de Schengen, du mécanisme d’évaluation de Schengen conformément au règlement (UE) 2022/922, des évaluations de la vulnérabilité conformément au règlement (UE) 2019/1896 et du mécanisme de surveillance de l’Agence de l’UE pour l’asile conformément au règlement (UE) 2021/2303.</w:t>
      </w:r>
    </w:p>
    <w:p w14:paraId="47E83EE0" w14:textId="77777777" w:rsidR="001E1709" w:rsidRPr="00D207EA" w:rsidRDefault="005C49E8" w:rsidP="001E1709">
      <w:pPr>
        <w:pStyle w:val="Text1"/>
        <w:rPr>
          <w:noProof/>
        </w:rPr>
      </w:pPr>
      <w:r w:rsidRPr="00D207EA">
        <w:rPr>
          <w:noProof/>
        </w:rPr>
        <w:t>L’État membre fournit une explication sur la manière dont les questions et les recommandations spécifiques par pays sont abordés par le plan PNR, sur le niveau de financement envisagé et sur la manière dont le plan PNR:</w:t>
      </w:r>
    </w:p>
    <w:p w14:paraId="33C0E201" w14:textId="5A95A16D" w:rsidR="001E1709" w:rsidRPr="00D207EA" w:rsidRDefault="008D666E" w:rsidP="008D666E">
      <w:pPr>
        <w:pStyle w:val="Point10"/>
        <w:rPr>
          <w:noProof/>
        </w:rPr>
      </w:pPr>
      <w:r w:rsidRPr="008D666E">
        <w:rPr>
          <w:noProof/>
        </w:rPr>
        <w:t>(a)</w:t>
      </w:r>
      <w:r w:rsidRPr="008D666E">
        <w:rPr>
          <w:noProof/>
        </w:rPr>
        <w:tab/>
      </w:r>
      <w:r w:rsidR="00F365D7" w:rsidRPr="00D207EA">
        <w:rPr>
          <w:noProof/>
        </w:rPr>
        <w:t>sera conforme, en particulier, aux plans budgétaires et structurels nationaux à moyen terme au titre du règlement (UE) 2024/1263, aux plans nationaux de restauration au titre du règlement (UE) 2024/1991 du Parlement européen et du Conseil</w:t>
      </w:r>
      <w:r w:rsidR="00DF7A6C" w:rsidRPr="00D207EA">
        <w:rPr>
          <w:rStyle w:val="FootnoteReference"/>
          <w:noProof/>
        </w:rPr>
        <w:footnoteReference w:id="18"/>
      </w:r>
      <w:r w:rsidR="00F365D7" w:rsidRPr="00D207EA">
        <w:rPr>
          <w:noProof/>
        </w:rPr>
        <w:t>, aux plans nationaux intégrés en matière d’énergie et de climat au titre du règlement (UE) 2018/1999 du Parlement européen et du Conseil</w:t>
      </w:r>
      <w:r w:rsidR="00B24F29" w:rsidRPr="00D207EA">
        <w:rPr>
          <w:rStyle w:val="FootnoteReference"/>
          <w:noProof/>
        </w:rPr>
        <w:footnoteReference w:id="19"/>
      </w:r>
      <w:r w:rsidR="00F365D7" w:rsidRPr="00D207EA">
        <w:rPr>
          <w:noProof/>
        </w:rPr>
        <w:t>; et aux feuilles de route stratégiques nationales relatives à la décennie numérique en application de la décision (UE) 2022/2481 du Parlement européen et du Conseil</w:t>
      </w:r>
      <w:r w:rsidR="005F6B94" w:rsidRPr="00D207EA">
        <w:rPr>
          <w:rStyle w:val="FootnoteReference"/>
          <w:noProof/>
        </w:rPr>
        <w:footnoteReference w:id="20"/>
      </w:r>
      <w:r w:rsidR="00F365D7" w:rsidRPr="00D207EA">
        <w:rPr>
          <w:noProof/>
        </w:rPr>
        <w:t>;</w:t>
      </w:r>
    </w:p>
    <w:p w14:paraId="09AB16E9" w14:textId="5A49C19E" w:rsidR="001E1709" w:rsidRPr="00D207EA" w:rsidRDefault="008D666E" w:rsidP="008D666E">
      <w:pPr>
        <w:pStyle w:val="Point10"/>
        <w:rPr>
          <w:noProof/>
        </w:rPr>
      </w:pPr>
      <w:r w:rsidRPr="008D666E">
        <w:rPr>
          <w:noProof/>
        </w:rPr>
        <w:t>(b)</w:t>
      </w:r>
      <w:r w:rsidRPr="008D666E">
        <w:rPr>
          <w:noProof/>
        </w:rPr>
        <w:tab/>
      </w:r>
      <w:r w:rsidR="00F365D7" w:rsidRPr="00D207EA">
        <w:rPr>
          <w:noProof/>
        </w:rPr>
        <w:t>contribuera à l’achèvement du marché unique, notamment en prévoyant des mesures ayant une dimension transfrontalière, transnationale ou plurinationale, y compris en tenant compte des projets situés sur le réseau central et le réseau central étendu tels que définis dans le règlement (UE) 2024/1679 du Parlement européen et du Conseil</w:t>
      </w:r>
      <w:r w:rsidR="009B032B" w:rsidRPr="00D207EA">
        <w:rPr>
          <w:rStyle w:val="FootnoteReference"/>
          <w:noProof/>
        </w:rPr>
        <w:footnoteReference w:id="21"/>
      </w:r>
      <w:r w:rsidR="00F365D7" w:rsidRPr="00D207EA">
        <w:rPr>
          <w:noProof/>
        </w:rPr>
        <w:t>, en considérant et en favorisant, par le développement de réseaux nationaux, des projets d’intérêt commun tels que définis dans le règlement (UE) 2022/869 du Parlement européen et du Conseil</w:t>
      </w:r>
      <w:r w:rsidR="002452F0" w:rsidRPr="00D207EA">
        <w:rPr>
          <w:rStyle w:val="FootnoteReference"/>
          <w:noProof/>
        </w:rPr>
        <w:footnoteReference w:id="22"/>
      </w:r>
      <w:r w:rsidR="00F365D7" w:rsidRPr="00D207EA">
        <w:rPr>
          <w:noProof/>
        </w:rPr>
        <w:t xml:space="preserve">, en soutenant les projets importants d’intérêt européen commun (PIIEC) et les opérations qui ont reçu un sceau de compétitivité, et en mettant en œuvre les mesures qui sous-tendent l’union européenne de l’épargne et des investissements; </w:t>
      </w:r>
    </w:p>
    <w:p w14:paraId="039A9442" w14:textId="267E6732" w:rsidR="00566210" w:rsidRPr="00D207EA" w:rsidRDefault="008D666E" w:rsidP="008D666E">
      <w:pPr>
        <w:pStyle w:val="Point10"/>
        <w:rPr>
          <w:noProof/>
        </w:rPr>
      </w:pPr>
      <w:r w:rsidRPr="008D666E">
        <w:rPr>
          <w:noProof/>
        </w:rPr>
        <w:t>(c)</w:t>
      </w:r>
      <w:r w:rsidRPr="008D666E">
        <w:rPr>
          <w:noProof/>
        </w:rPr>
        <w:tab/>
      </w:r>
      <w:r w:rsidR="4D734DE3" w:rsidRPr="00D207EA">
        <w:rPr>
          <w:noProof/>
        </w:rPr>
        <w:t>fournira la liste et la description des mesures regroupées en chapitres, notamment les objectifs généraux et spécifiques que chacune d’entre elles poursuit en premier lieu, ainsi que la liste des valeurs intermédiaires et des valeurs cibles envisagées, avec leur date d’achèvement indicative au cours de la période de programmation, y compris les mesures supplémentaires et les valeurs intermédiaires et les valeurs cibles connexes au cas où l’État membre concerné demanderait un soutien sous forme de prêt. Les mesures liées à la PAC sont conformes aux exigences énoncées au titre V [PAC], au règlement (UE) 202X/XXXX [règlement relatif à la PAC] et au règlement (UE) 202X/XXXX [OCM] et celles liées à la politique commune de la pêche aux exigences énoncées à l’article XX du règlement XX [PCP]. Les indicateurs proposés pour les valeurs cibles s’appuient sur les indicateurs de réalisation énumérés à l’annexe I du règlement (UE) 202X/XXXX [règlement relatif à la performance], sauf dans les cas dûment justifiés;</w:t>
      </w:r>
    </w:p>
    <w:p w14:paraId="5C365083" w14:textId="115C8C48" w:rsidR="00566210" w:rsidRPr="00D207EA" w:rsidRDefault="008D666E" w:rsidP="008D666E">
      <w:pPr>
        <w:pStyle w:val="Point10"/>
        <w:rPr>
          <w:rStyle w:val="CommentReference"/>
          <w:noProof/>
          <w:sz w:val="24"/>
          <w:szCs w:val="22"/>
        </w:rPr>
      </w:pPr>
      <w:r w:rsidRPr="008D666E">
        <w:rPr>
          <w:rStyle w:val="CommentReference"/>
          <w:noProof/>
        </w:rPr>
        <w:t>(d)</w:t>
      </w:r>
      <w:r w:rsidRPr="008D666E">
        <w:rPr>
          <w:rStyle w:val="CommentReference"/>
          <w:noProof/>
        </w:rPr>
        <w:tab/>
      </w:r>
      <w:r w:rsidR="00B34E44" w:rsidRPr="00D207EA">
        <w:rPr>
          <w:noProof/>
        </w:rPr>
        <w:t>présentera le coût total estimé des mesures conformément au modèle figurant à l’annexe V, dans le cadre du plan ou d’une demande de modification de celui-ci, pour un montant total au moins équivalent à la somme de la contribution financière de l’Union, des prêts demandés et de la contribution nationale, ainsi que des informations sur le financement de l’Union existant ou prévu, le cas échéant, étayé par des justifications appropriées et des explications sur la manière dont le montant est cohérent et raisonnable, conforme au principe d’efficacité économique, à la bonne gestion financière et proportionné à l’incidence économique et sociale attendue. Le montant non programmé mis de côté en tant que montant de la flexibilité est considéré comme faisant partie du coût total estimé des mesures;</w:t>
      </w:r>
    </w:p>
    <w:p w14:paraId="2ABB95B2" w14:textId="014363E9" w:rsidR="00566210" w:rsidRPr="00D207EA" w:rsidRDefault="008D666E" w:rsidP="008D666E">
      <w:pPr>
        <w:pStyle w:val="Point10"/>
        <w:rPr>
          <w:noProof/>
        </w:rPr>
      </w:pPr>
      <w:r w:rsidRPr="008D666E">
        <w:rPr>
          <w:noProof/>
        </w:rPr>
        <w:t>(e)</w:t>
      </w:r>
      <w:r w:rsidRPr="008D666E">
        <w:rPr>
          <w:noProof/>
        </w:rPr>
        <w:tab/>
      </w:r>
      <w:r w:rsidR="00566210" w:rsidRPr="00D207EA">
        <w:rPr>
          <w:noProof/>
        </w:rPr>
        <w:t>définira des dispositions claires pour le suivi et la mise en œuvre efficaces du plan par l’État membre concerné, y compris les autorités responsables et les comités de suivi, qui visent à établir un système de gouvernance à plusieurs niveaux solide fondé sur le principe de partenariat, l’approche envisagée en matière de communication et de visibilité, une définition des besoins potentiels d’assistance technique, ainsi que des accords clairs et efficaces entre les autorités nationales et régionales définissant les responsabilités pour la programmation, la mise en œuvre, la gestion financière, le suivi et l’évaluation, conformément au cadre institutionnel et juridique de l’État membre;</w:t>
      </w:r>
    </w:p>
    <w:p w14:paraId="796A9AE9" w14:textId="06DA56DF" w:rsidR="00CC50CE" w:rsidRPr="00D207EA" w:rsidRDefault="008D666E" w:rsidP="008D666E">
      <w:pPr>
        <w:pStyle w:val="Point10"/>
        <w:rPr>
          <w:noProof/>
        </w:rPr>
      </w:pPr>
      <w:r w:rsidRPr="008D666E">
        <w:rPr>
          <w:noProof/>
        </w:rPr>
        <w:t>(f)</w:t>
      </w:r>
      <w:r w:rsidRPr="008D666E">
        <w:rPr>
          <w:noProof/>
        </w:rPr>
        <w:tab/>
      </w:r>
      <w:r w:rsidR="005C49E8" w:rsidRPr="00D207EA">
        <w:rPr>
          <w:noProof/>
        </w:rPr>
        <w:t xml:space="preserve">réduira les disparités économiques, sociales et territoriales dans les régions moins développées, en transition et plus développées, notamment: </w:t>
      </w:r>
    </w:p>
    <w:p w14:paraId="09C5E744" w14:textId="77777777" w:rsidR="00255C55" w:rsidRPr="00D207EA" w:rsidRDefault="00032711" w:rsidP="00C21519">
      <w:pPr>
        <w:pStyle w:val="Point2n"/>
        <w:numPr>
          <w:ilvl w:val="0"/>
          <w:numId w:val="188"/>
        </w:numPr>
        <w:spacing w:line="240" w:lineRule="auto"/>
        <w:jc w:val="both"/>
        <w:rPr>
          <w:noProof/>
        </w:rPr>
      </w:pPr>
      <w:r w:rsidRPr="00D207EA">
        <w:rPr>
          <w:noProof/>
        </w:rPr>
        <w:t xml:space="preserve">en allouant des ressources aux régions moins développées, en transition et plus développées, en fonction de leurs difficultés spécifiques, à préciser à l’annexe V en s’appuyant sur la méthode exposée à l’annexe VII; </w:t>
      </w:r>
    </w:p>
    <w:p w14:paraId="0845D0AE" w14:textId="77777777" w:rsidR="00950316" w:rsidRPr="00D207EA" w:rsidRDefault="00950316" w:rsidP="00DD73C1">
      <w:pPr>
        <w:pStyle w:val="Point2n"/>
        <w:spacing w:line="240" w:lineRule="auto"/>
        <w:jc w:val="both"/>
        <w:rPr>
          <w:noProof/>
        </w:rPr>
      </w:pPr>
      <w:r w:rsidRPr="00D207EA">
        <w:rPr>
          <w:noProof/>
        </w:rPr>
        <w:t>en concentrant les ressources sur les régions moins développées par l’établissement de montants minimaux par État membre en s’appuyant sur la méthode exposée à l’annexe II;</w:t>
      </w:r>
    </w:p>
    <w:p w14:paraId="796366CB" w14:textId="77777777" w:rsidR="00032711" w:rsidRPr="00D207EA" w:rsidRDefault="00032711" w:rsidP="00C21519">
      <w:pPr>
        <w:pStyle w:val="Point2n"/>
        <w:numPr>
          <w:ilvl w:val="0"/>
          <w:numId w:val="54"/>
        </w:numPr>
        <w:spacing w:line="240" w:lineRule="auto"/>
        <w:jc w:val="both"/>
        <w:rPr>
          <w:noProof/>
        </w:rPr>
      </w:pPr>
      <w:r w:rsidRPr="00D207EA">
        <w:rPr>
          <w:noProof/>
        </w:rPr>
        <w:t>en prêtant particulièrement attention aux besoins spécifiques des régions frontalières, des régions septentrionales peu peuplées, des zones rurales et urbaines, des zones touchées par la transition industrielle et des îles, à présenter à l’annexe V en s’appuyant sur la méthode exposée à l’annexe VII;</w:t>
      </w:r>
    </w:p>
    <w:p w14:paraId="756B73CD" w14:textId="77777777" w:rsidR="00032711" w:rsidRPr="00D207EA" w:rsidRDefault="00032711" w:rsidP="00C21519">
      <w:pPr>
        <w:pStyle w:val="Point2n"/>
        <w:numPr>
          <w:ilvl w:val="0"/>
          <w:numId w:val="54"/>
        </w:numPr>
        <w:spacing w:line="240" w:lineRule="auto"/>
        <w:jc w:val="both"/>
        <w:rPr>
          <w:noProof/>
        </w:rPr>
      </w:pPr>
      <w:r w:rsidRPr="00D207EA">
        <w:rPr>
          <w:noProof/>
        </w:rPr>
        <w:t>en renforçant le développement économique et social des régions ultrapériphériques; à définir dans des mesures spécifiques pour les territoires concernés, conformément à l’article 46;</w:t>
      </w:r>
    </w:p>
    <w:p w14:paraId="36467BA1" w14:textId="4AD274DE" w:rsidR="00032711" w:rsidRPr="00D207EA" w:rsidRDefault="008D666E" w:rsidP="008D666E">
      <w:pPr>
        <w:pStyle w:val="Point10"/>
        <w:rPr>
          <w:noProof/>
        </w:rPr>
      </w:pPr>
      <w:r w:rsidRPr="008D666E">
        <w:rPr>
          <w:noProof/>
        </w:rPr>
        <w:t>(g)</w:t>
      </w:r>
      <w:r w:rsidRPr="008D666E">
        <w:rPr>
          <w:noProof/>
        </w:rPr>
        <w:tab/>
      </w:r>
      <w:r w:rsidR="00032711" w:rsidRPr="00D207EA">
        <w:rPr>
          <w:noProof/>
        </w:rPr>
        <w:t>consacrera principalement les ressources:</w:t>
      </w:r>
    </w:p>
    <w:p w14:paraId="4901A894" w14:textId="77777777" w:rsidR="00A66B7D" w:rsidRPr="00D207EA" w:rsidRDefault="00DD73C1" w:rsidP="00C21519">
      <w:pPr>
        <w:pStyle w:val="Point2n"/>
        <w:numPr>
          <w:ilvl w:val="0"/>
          <w:numId w:val="175"/>
        </w:numPr>
        <w:spacing w:line="240" w:lineRule="auto"/>
        <w:rPr>
          <w:noProof/>
        </w:rPr>
      </w:pPr>
      <w:r w:rsidRPr="00D207EA">
        <w:rPr>
          <w:noProof/>
        </w:rPr>
        <w:t xml:space="preserve">au soutien du renouvellement des générations dans le secteur agricole, conformément à l’article 8 du règlement XX [PAC, renouvellement des générations], ainsi que dans le secteur de la pêche et de l’aquaculture; </w:t>
      </w:r>
    </w:p>
    <w:p w14:paraId="5FAD0E7B" w14:textId="77777777" w:rsidR="003B33CE" w:rsidRPr="00D207EA" w:rsidRDefault="005C49E8" w:rsidP="00C21519">
      <w:pPr>
        <w:pStyle w:val="Point2n"/>
        <w:numPr>
          <w:ilvl w:val="0"/>
          <w:numId w:val="54"/>
        </w:numPr>
        <w:spacing w:line="240" w:lineRule="auto"/>
        <w:rPr>
          <w:noProof/>
        </w:rPr>
      </w:pPr>
      <w:r w:rsidRPr="00D207EA">
        <w:rPr>
          <w:noProof/>
        </w:rPr>
        <w:t>à des mesures sociales conformément à l’annexe VI [allocations sociales];</w:t>
      </w:r>
    </w:p>
    <w:p w14:paraId="0D1160EC" w14:textId="77777777" w:rsidR="003B33CE" w:rsidRPr="00D207EA" w:rsidRDefault="00DD73C1" w:rsidP="00C21519">
      <w:pPr>
        <w:pStyle w:val="Point2n"/>
        <w:numPr>
          <w:ilvl w:val="0"/>
          <w:numId w:val="54"/>
        </w:numPr>
        <w:spacing w:line="240" w:lineRule="auto"/>
        <w:jc w:val="both"/>
        <w:rPr>
          <w:noProof/>
        </w:rPr>
      </w:pPr>
      <w:r w:rsidRPr="00D207EA">
        <w:rPr>
          <w:noProof/>
        </w:rPr>
        <w:t>au soutien de la pêche, de l’aquaculture et des activités maritimes, y compris la petite pêche, de la mise en œuvre de la PCP telle que définie dans le règlement (UE) XX [PCP] ainsi que du pacte européen pour l’Océan conformément à l’annexe V [modèle du plan];</w:t>
      </w:r>
    </w:p>
    <w:p w14:paraId="6EC00836" w14:textId="2A84FC5E" w:rsidR="00566210" w:rsidRPr="00D207EA" w:rsidRDefault="008D666E" w:rsidP="008D666E">
      <w:pPr>
        <w:pStyle w:val="Point10"/>
        <w:rPr>
          <w:noProof/>
        </w:rPr>
      </w:pPr>
      <w:r w:rsidRPr="008D666E">
        <w:rPr>
          <w:noProof/>
        </w:rPr>
        <w:t>(h)</w:t>
      </w:r>
      <w:r w:rsidRPr="008D666E">
        <w:rPr>
          <w:noProof/>
        </w:rPr>
        <w:tab/>
      </w:r>
      <w:r w:rsidR="00816A38" w:rsidRPr="00D207EA">
        <w:rPr>
          <w:noProof/>
        </w:rPr>
        <w:t xml:space="preserve">contribuera efficacement à: </w:t>
      </w:r>
    </w:p>
    <w:p w14:paraId="5807EE96" w14:textId="77777777" w:rsidR="00566210" w:rsidRPr="00D207EA" w:rsidRDefault="00DD73C1" w:rsidP="00C21519">
      <w:pPr>
        <w:pStyle w:val="Point2n"/>
        <w:numPr>
          <w:ilvl w:val="0"/>
          <w:numId w:val="143"/>
        </w:numPr>
        <w:spacing w:line="240" w:lineRule="auto"/>
        <w:jc w:val="both"/>
        <w:rPr>
          <w:noProof/>
        </w:rPr>
      </w:pPr>
      <w:r w:rsidRPr="00D207EA">
        <w:rPr>
          <w:noProof/>
        </w:rPr>
        <w:t>promouvoir l’utilisation des interventions de coopération visées à l’article 74 [interventions de coopération], y compris l’investissement territorial intégré dans les villes ainsi que dans les zones urbaines, rurales et côtières, le développement local mené par les acteurs locaux, ou d’autres outils territoriaux, y compris les stratégies pour une transition juste et de spécialisation intelligente, ainsi que LEADER tel que visé à l’article 77 [LEADER];</w:t>
      </w:r>
    </w:p>
    <w:p w14:paraId="4358CAC8" w14:textId="77777777" w:rsidR="00566210" w:rsidRPr="00D207EA" w:rsidRDefault="264CD1EB" w:rsidP="00DD73C1">
      <w:pPr>
        <w:pStyle w:val="Point2n"/>
        <w:spacing w:line="240" w:lineRule="auto"/>
        <w:jc w:val="both"/>
        <w:rPr>
          <w:noProof/>
        </w:rPr>
      </w:pPr>
      <w:r w:rsidRPr="00D207EA">
        <w:rPr>
          <w:noProof/>
        </w:rPr>
        <w:t>améliorer la résilience des exploitations agricoles et la gestion des risques au niveau des exploitations et soutenir la transition numérique et axée sur les données de l’agriculture et des zones rurales afin d’améliorer leur compétitivité, leur durabilité et leur résilience;</w:t>
      </w:r>
    </w:p>
    <w:p w14:paraId="40682FC6" w14:textId="77777777" w:rsidR="0051518C" w:rsidRPr="00D207EA" w:rsidRDefault="2DCF7BBA" w:rsidP="00DD73C1">
      <w:pPr>
        <w:pStyle w:val="Point2n"/>
        <w:spacing w:line="240" w:lineRule="auto"/>
        <w:jc w:val="both"/>
        <w:rPr>
          <w:noProof/>
        </w:rPr>
      </w:pPr>
      <w:r w:rsidRPr="00D207EA">
        <w:rPr>
          <w:noProof/>
        </w:rPr>
        <w:t>faire avancer les domaines prioritaires en matière d’environnement et de climat définis à l’article 4 du règlement (UE) 202X/XXXX [PAC - Domaines prioritaires en matière d’environnement et de climat];</w:t>
      </w:r>
    </w:p>
    <w:p w14:paraId="77FDA5F4" w14:textId="0DB9C346" w:rsidR="009D3823" w:rsidRPr="00D207EA" w:rsidRDefault="008D666E" w:rsidP="008D666E">
      <w:pPr>
        <w:pStyle w:val="Point10"/>
        <w:rPr>
          <w:noProof/>
        </w:rPr>
      </w:pPr>
      <w:r w:rsidRPr="008D666E">
        <w:rPr>
          <w:noProof/>
        </w:rPr>
        <w:t>(i)</w:t>
      </w:r>
      <w:r w:rsidRPr="008D666E">
        <w:rPr>
          <w:noProof/>
        </w:rPr>
        <w:tab/>
      </w:r>
      <w:r w:rsidR="264CD1EB" w:rsidRPr="00D207EA">
        <w:rPr>
          <w:noProof/>
        </w:rPr>
        <w:t xml:space="preserve">encouragera le partenariat, l’échange de connaissances et, le cas échéant, la distribution des produits agricoles en définissant: </w:t>
      </w:r>
    </w:p>
    <w:p w14:paraId="58D4787A" w14:textId="77777777" w:rsidR="008F3ED5" w:rsidRPr="00D207EA" w:rsidRDefault="264CD1EB" w:rsidP="00C21519">
      <w:pPr>
        <w:pStyle w:val="Point2n"/>
        <w:numPr>
          <w:ilvl w:val="0"/>
          <w:numId w:val="144"/>
        </w:numPr>
        <w:spacing w:line="240" w:lineRule="auto"/>
        <w:jc w:val="both"/>
        <w:rPr>
          <w:noProof/>
        </w:rPr>
      </w:pPr>
      <w:r w:rsidRPr="00D207EA">
        <w:rPr>
          <w:noProof/>
        </w:rPr>
        <w:t>les parties prenantes qui ont été consultées, la manière dont elles ont été sélectionnées, la façon dont leur représentativité et la prévention des conflits d’intérêts ont été assurées et la manière dont leur contribution se traduit dans le plan, conformément au code de conduite sur le partenariat</w:t>
      </w:r>
      <w:r w:rsidR="00BF0308" w:rsidRPr="00D207EA">
        <w:rPr>
          <w:rStyle w:val="FootnoteReference"/>
          <w:rFonts w:eastAsia="Calibri"/>
          <w:noProof/>
        </w:rPr>
        <w:footnoteReference w:id="23"/>
      </w:r>
      <w:r w:rsidRPr="00D207EA">
        <w:rPr>
          <w:noProof/>
        </w:rPr>
        <w:t>, et en incluant un résumé du processus de consultation mené pour la préparation du plan et de chacun de ses chapitres;</w:t>
      </w:r>
    </w:p>
    <w:p w14:paraId="6A1EBD74" w14:textId="77777777" w:rsidR="008F3ED5" w:rsidRPr="00D207EA" w:rsidRDefault="264CD1EB" w:rsidP="00DD73C1">
      <w:pPr>
        <w:pStyle w:val="Point2n"/>
        <w:spacing w:line="240" w:lineRule="auto"/>
        <w:jc w:val="both"/>
        <w:rPr>
          <w:noProof/>
        </w:rPr>
      </w:pPr>
      <w:r w:rsidRPr="00D207EA">
        <w:rPr>
          <w:noProof/>
        </w:rPr>
        <w:t>un système de connaissance et d’innovation agricole, y compris son organisation, établi conformément à l’article 20 du règlement (UE) 202X/XXXX [règlement relatif à la PAC - Systèmes de connaissance et d’innovation agricoles et services de conseil agricole];</w:t>
      </w:r>
    </w:p>
    <w:p w14:paraId="385702E0" w14:textId="77777777" w:rsidR="00463C58" w:rsidRPr="00D207EA" w:rsidRDefault="16D8EE2D" w:rsidP="00DD73C1">
      <w:pPr>
        <w:pStyle w:val="Point2n"/>
        <w:spacing w:line="240" w:lineRule="auto"/>
        <w:jc w:val="both"/>
        <w:rPr>
          <w:noProof/>
        </w:rPr>
      </w:pPr>
      <w:r w:rsidRPr="00D207EA">
        <w:rPr>
          <w:noProof/>
        </w:rPr>
        <w:t>les modalités du programme à destination des écoles de l’Union conformément au titre I, partie II, chapitre II </w:t>
      </w:r>
      <w:r w:rsidRPr="00D207EA">
        <w:rPr>
          <w:i/>
          <w:iCs/>
          <w:noProof/>
        </w:rPr>
        <w:t>bis</w:t>
      </w:r>
      <w:r w:rsidRPr="00D207EA">
        <w:rPr>
          <w:noProof/>
        </w:rPr>
        <w:t>, du règlement (UE) nº 1308/2013;</w:t>
      </w:r>
    </w:p>
    <w:p w14:paraId="7D162F40" w14:textId="2A4E0244" w:rsidR="00FE6A2A" w:rsidRPr="00D207EA" w:rsidRDefault="008D666E" w:rsidP="008D666E">
      <w:pPr>
        <w:pStyle w:val="Point10"/>
        <w:rPr>
          <w:noProof/>
        </w:rPr>
      </w:pPr>
      <w:r w:rsidRPr="008D666E">
        <w:rPr>
          <w:noProof/>
        </w:rPr>
        <w:t>(j)</w:t>
      </w:r>
      <w:r w:rsidRPr="008D666E">
        <w:rPr>
          <w:noProof/>
        </w:rPr>
        <w:tab/>
      </w:r>
      <w:r w:rsidR="00EC3E53" w:rsidRPr="00D207EA">
        <w:rPr>
          <w:noProof/>
        </w:rPr>
        <w:t xml:space="preserve">précisera la manière dont le plan PNR et sa mise en œuvre sont conformes au principe énoncé à l’article 6, paragraphe 3, y compris une description des pratiques de protection visées à l’article 3, paragraphe 4, du règlement (UE) 202X/XXXX [règlement relatif à la PAC], leur champ d’application territorial, les agriculteurs et autres bénéficiaires soumis à la pratique et un résumé de la pratique de protection, ainsi que la complémentarité entre les éléments de la gérance des exploitations agricoles et les mesures pertinentes soutenues dans le cadre du plan PNR; </w:t>
      </w:r>
    </w:p>
    <w:p w14:paraId="571FAF52" w14:textId="5B215F33" w:rsidR="008F3ED5" w:rsidRPr="00D207EA" w:rsidRDefault="008D666E" w:rsidP="008D666E">
      <w:pPr>
        <w:pStyle w:val="Point10"/>
        <w:rPr>
          <w:noProof/>
        </w:rPr>
      </w:pPr>
      <w:r w:rsidRPr="008D666E">
        <w:rPr>
          <w:noProof/>
        </w:rPr>
        <w:t>(k)</w:t>
      </w:r>
      <w:r w:rsidRPr="008D666E">
        <w:rPr>
          <w:noProof/>
        </w:rPr>
        <w:tab/>
      </w:r>
      <w:r w:rsidR="005C49E8" w:rsidRPr="00D207EA">
        <w:rPr>
          <w:noProof/>
        </w:rPr>
        <w:t>expliquera comment le système et les dispositions de l’État membre sont suffisants pour assurer une utilisation régulière, efficace et efficiente des ressources de l’Union, dans le respect de la bonne gestion financière et de la protection des intérêts financiers de l’Union, sur la base des exigences clés énoncées à l’annexe IV [exigences clés], ainsi que des mesures visant à remédier aux éventuelles lacunes;</w:t>
      </w:r>
    </w:p>
    <w:p w14:paraId="7595CD67" w14:textId="3372EE01" w:rsidR="008F3ED5" w:rsidRPr="00D207EA" w:rsidRDefault="008D666E" w:rsidP="008D666E">
      <w:pPr>
        <w:pStyle w:val="Point10"/>
        <w:rPr>
          <w:noProof/>
        </w:rPr>
      </w:pPr>
      <w:r w:rsidRPr="008D666E">
        <w:rPr>
          <w:noProof/>
        </w:rPr>
        <w:t>(l)</w:t>
      </w:r>
      <w:r w:rsidRPr="008D666E">
        <w:rPr>
          <w:noProof/>
        </w:rPr>
        <w:tab/>
      </w:r>
      <w:r w:rsidR="005C49E8" w:rsidRPr="00D207EA">
        <w:rPr>
          <w:noProof/>
        </w:rPr>
        <w:t>précisera les dispositions prises pour garantir qu’en cas d’interruption des délais de paiement ou de suspension du financement de l’Union, de corrections financières ou d’autres mesures visant à assurer la protection des intérêts financiers de l’Union, les États membres s’acquittent des obligations qui leur incombent de poursuivre les paiements aux bénéficiaires, destinataires, destinataires finaux, contractants et participants;</w:t>
      </w:r>
    </w:p>
    <w:p w14:paraId="0EF5E8D9" w14:textId="1D93355D" w:rsidR="00092B9A" w:rsidRPr="00D207EA" w:rsidRDefault="008D666E" w:rsidP="008D666E">
      <w:pPr>
        <w:pStyle w:val="Point10"/>
        <w:rPr>
          <w:noProof/>
        </w:rPr>
      </w:pPr>
      <w:r w:rsidRPr="008D666E">
        <w:rPr>
          <w:noProof/>
        </w:rPr>
        <w:t>(m)</w:t>
      </w:r>
      <w:r w:rsidRPr="008D666E">
        <w:rPr>
          <w:noProof/>
        </w:rPr>
        <w:tab/>
      </w:r>
      <w:r w:rsidR="005C49E8" w:rsidRPr="00D207EA">
        <w:rPr>
          <w:noProof/>
        </w:rPr>
        <w:t>fournira, s’il y a lieu, une autoévaluation de la sécurité fondée sur des critères objectifs communs, qui mette en relief les problèmes de sécurité et précise la manière dont ces problèmes seront résolus afin de se conformer à la législation applicable en la matière;</w:t>
      </w:r>
    </w:p>
    <w:p w14:paraId="0AF28D33" w14:textId="4AA45665" w:rsidR="009F0D11" w:rsidRPr="00D207EA" w:rsidRDefault="008D666E" w:rsidP="008D666E">
      <w:pPr>
        <w:pStyle w:val="Point10"/>
        <w:rPr>
          <w:noProof/>
        </w:rPr>
      </w:pPr>
      <w:r w:rsidRPr="008D666E">
        <w:rPr>
          <w:noProof/>
        </w:rPr>
        <w:t>(n)</w:t>
      </w:r>
      <w:r w:rsidRPr="008D666E">
        <w:rPr>
          <w:noProof/>
        </w:rPr>
        <w:tab/>
      </w:r>
      <w:r w:rsidR="009B360C" w:rsidRPr="00D207EA">
        <w:rPr>
          <w:noProof/>
        </w:rPr>
        <w:t>justifiera la cohérence du plan et les synergies et complémentarités entre les mesures soutenant les objectifs visés aux articles 2 et 3, en décrivant la manière dont les besoins de plusieurs groupes cibles seront traités, y compris les besoins des communautés rurales et côtières, ainsi que les dispositions en place pour tirer parti de ces synergies;</w:t>
      </w:r>
    </w:p>
    <w:p w14:paraId="161F9221" w14:textId="53DC6F3D" w:rsidR="0070577A" w:rsidRPr="00D207EA" w:rsidRDefault="008D666E" w:rsidP="008D666E">
      <w:pPr>
        <w:pStyle w:val="Point10"/>
        <w:rPr>
          <w:noProof/>
        </w:rPr>
      </w:pPr>
      <w:bookmarkStart w:id="8" w:name="_Hlk202798599"/>
      <w:r w:rsidRPr="008D666E">
        <w:rPr>
          <w:noProof/>
        </w:rPr>
        <w:t>(o)</w:t>
      </w:r>
      <w:r w:rsidRPr="008D666E">
        <w:rPr>
          <w:noProof/>
        </w:rPr>
        <w:tab/>
      </w:r>
      <w:r w:rsidR="009B360C" w:rsidRPr="00D207EA">
        <w:rPr>
          <w:noProof/>
        </w:rPr>
        <w:t xml:space="preserve"> fournira une autoévaluation du respect de la condition horizontale relative à la charte visée à l’article 8 [Article de la charte];</w:t>
      </w:r>
    </w:p>
    <w:p w14:paraId="5435C318" w14:textId="4FF06195" w:rsidR="00D90B5B" w:rsidRPr="00D207EA" w:rsidRDefault="008D666E" w:rsidP="008D666E">
      <w:pPr>
        <w:pStyle w:val="Point10"/>
        <w:rPr>
          <w:noProof/>
        </w:rPr>
      </w:pPr>
      <w:r w:rsidRPr="008D666E">
        <w:rPr>
          <w:noProof/>
        </w:rPr>
        <w:t>(p)</w:t>
      </w:r>
      <w:r w:rsidRPr="008D666E">
        <w:rPr>
          <w:noProof/>
        </w:rPr>
        <w:tab/>
      </w:r>
      <w:r w:rsidR="009B360C" w:rsidRPr="00D207EA">
        <w:rPr>
          <w:noProof/>
        </w:rPr>
        <w:t>précisera la manière dont le plan et sa mise en œuvre envisagée garantissent le respect de la condition horizontale relative à l’état de droit visée à l’article 9 [condition horizontale relative à l’état de droit], y compris le suivi donné aux recommandations spécifiques par pays émises dans le cadre du dernier rapport sur l’état de droit et du Semestre européen, ainsi que les mesures visant à relever les défis spécifiques à chaque pays qui ont été soulignés;</w:t>
      </w:r>
    </w:p>
    <w:bookmarkEnd w:id="8"/>
    <w:p w14:paraId="2D8A5805" w14:textId="3F2029CD" w:rsidR="005F6BBC" w:rsidRPr="00D207EA" w:rsidRDefault="008D666E" w:rsidP="008D666E">
      <w:pPr>
        <w:pStyle w:val="Point10"/>
        <w:rPr>
          <w:noProof/>
        </w:rPr>
      </w:pPr>
      <w:r w:rsidRPr="008D666E">
        <w:rPr>
          <w:noProof/>
        </w:rPr>
        <w:t>(q)</w:t>
      </w:r>
      <w:r w:rsidRPr="008D666E">
        <w:rPr>
          <w:noProof/>
        </w:rPr>
        <w:tab/>
      </w:r>
      <w:r w:rsidR="009B360C" w:rsidRPr="00D207EA">
        <w:rPr>
          <w:noProof/>
        </w:rPr>
        <w:t>fera en sorte que le plan PNR contribue aux objectifs sociaux de l’Union. Au moins 14 % de l’ensemble des contributions et des prêts de l’Union, calculés à l’aide des coefficients visés à l’article 6, paragraphe 1, du règlement (UE) …/… [règlement relatif à la performance], sont consacrés à la réalisation de ces objectifs. Le montant visé à l’article 10, paragraphe 2, point a), ii), ainsi que les recettes affectées externes du Fonds social pour le climat sont exclus de la base de calcul de cette allocation minimale;</w:t>
      </w:r>
    </w:p>
    <w:p w14:paraId="2F5F8BAA" w14:textId="5F118B76" w:rsidR="00A874F9" w:rsidRPr="00D207EA" w:rsidRDefault="008D666E" w:rsidP="008D666E">
      <w:pPr>
        <w:pStyle w:val="Point10"/>
        <w:rPr>
          <w:noProof/>
        </w:rPr>
      </w:pPr>
      <w:r w:rsidRPr="008D666E">
        <w:rPr>
          <w:noProof/>
        </w:rPr>
        <w:t>(r)</w:t>
      </w:r>
      <w:r w:rsidRPr="008D666E">
        <w:rPr>
          <w:noProof/>
        </w:rPr>
        <w:tab/>
      </w:r>
      <w:r w:rsidR="00A874F9" w:rsidRPr="00D207EA">
        <w:rPr>
          <w:noProof/>
        </w:rPr>
        <w:t>fera en sorte que le plan PNR contribue aux objectifs climatiques et environnementaux de l’Union. Un pourcentage minimal de la dotation totale de l’Union du plan PNR est consacré à la réalisation de ces objectifs, correspondant à l’objectif de dépenses spécifique en matière de climat et d’environnement visé à l’annexe III du règlement (UE) .../... [règlement relatif à la performance].</w:t>
      </w:r>
    </w:p>
    <w:p w14:paraId="7F7DB60C" w14:textId="77777777" w:rsidR="00A874F9" w:rsidRPr="00D207EA" w:rsidRDefault="00A874F9" w:rsidP="004E0CDA">
      <w:pPr>
        <w:pStyle w:val="Text1"/>
        <w:rPr>
          <w:noProof/>
        </w:rPr>
      </w:pPr>
      <w:r w:rsidRPr="00D207EA">
        <w:rPr>
          <w:noProof/>
        </w:rPr>
        <w:t>Par dérogation au paragraphe 1, la Commission peut demander aux États membres de contribuer à hauteur d’un pourcentage minimal inférieur ou supérieur de la dotation totale du plan pour les objectifs climatiques et environnementaux. Le pourcentage spécifique est établi par la Commission dans le cadre de l’approbation du plan PNR.</w:t>
      </w:r>
    </w:p>
    <w:p w14:paraId="14BDDA88" w14:textId="77777777" w:rsidR="00A874F9" w:rsidRPr="00D207EA" w:rsidRDefault="00A874F9" w:rsidP="004E0CDA">
      <w:pPr>
        <w:pStyle w:val="Text1"/>
        <w:rPr>
          <w:noProof/>
        </w:rPr>
      </w:pPr>
      <w:r w:rsidRPr="00D207EA">
        <w:rPr>
          <w:noProof/>
        </w:rPr>
        <w:t>La détermination du pourcentage tient compte de l’évaluation par la Commission des progrès réalisés par l’État membre et de la trajectoire prévue pour atteindre ses objectifs au titre du règlement (UE) 2018/842 (règlement sur la répartition des efforts), tels qu’ils sont détaillés dans sa dernière évaluation du plan national intégré en matière d’énergie et de climat, et ses objectifs au titre du règlement (UE) 2024/1991 (règlement sur la restauration de la nature), conformément aux plans de restauration de la nature.</w:t>
      </w:r>
    </w:p>
    <w:p w14:paraId="527543BC" w14:textId="77777777" w:rsidR="000F7B8B" w:rsidRPr="00D207EA" w:rsidRDefault="00CB12A6" w:rsidP="00C21519">
      <w:pPr>
        <w:pStyle w:val="NumPar10000000"/>
        <w:numPr>
          <w:ilvl w:val="0"/>
          <w:numId w:val="75"/>
        </w:numPr>
        <w:rPr>
          <w:noProof/>
        </w:rPr>
      </w:pPr>
      <w:r w:rsidRPr="00D207EA">
        <w:rPr>
          <w:noProof/>
        </w:rPr>
        <w:t>La Commission est habilitée à adopter des actes délégués conformément à l’article 87 [Exercice de la délégation] afin de modifier le modèle figurant à l’annexe V.</w:t>
      </w:r>
    </w:p>
    <w:p w14:paraId="77B46334" w14:textId="77777777" w:rsidR="00911AC6" w:rsidRPr="00D207EA" w:rsidRDefault="00004723" w:rsidP="009F0A87">
      <w:pPr>
        <w:pStyle w:val="Titrearticle"/>
        <w:rPr>
          <w:noProof/>
        </w:rPr>
      </w:pPr>
      <w:r w:rsidRPr="00D207EA">
        <w:rPr>
          <w:noProof/>
        </w:rPr>
        <w:t>Article 23</w:t>
      </w:r>
      <w:r w:rsidRPr="00D207EA">
        <w:rPr>
          <w:noProof/>
        </w:rPr>
        <w:br/>
      </w:r>
      <w:r w:rsidRPr="00D207EA">
        <w:rPr>
          <w:b/>
          <w:noProof/>
        </w:rPr>
        <w:t>Proposition de la Commission et décision d’exécution du Conseil</w:t>
      </w:r>
    </w:p>
    <w:p w14:paraId="5E4EAEE9" w14:textId="0D7991A0" w:rsidR="00911AC6" w:rsidRPr="00D207EA" w:rsidRDefault="005C49E8" w:rsidP="00C21519">
      <w:pPr>
        <w:pStyle w:val="NumPar10000000"/>
        <w:numPr>
          <w:ilvl w:val="0"/>
          <w:numId w:val="128"/>
        </w:numPr>
        <w:rPr>
          <w:noProof/>
        </w:rPr>
      </w:pPr>
      <w:r w:rsidRPr="00D207EA">
        <w:rPr>
          <w:noProof/>
        </w:rPr>
        <w:t>La Commission évalue le plan ou le plan modifié soumis par l’État membre et sa conformité avec le présent règlement dans les quatre mois suivant sa présentation et élabore une proposition de décision d’exécution du Conseil. Lors de l’évaluation, la Commission s’assure que le plan PNR est conforme à toutes les exigences établies dans le présent règlement, en particulier à l’article 22.</w:t>
      </w:r>
    </w:p>
    <w:p w14:paraId="0B990594" w14:textId="43920E8A" w:rsidR="00911AC6" w:rsidRPr="00D207EA" w:rsidRDefault="005C49E8" w:rsidP="00C21519">
      <w:pPr>
        <w:pStyle w:val="NumPar10000000"/>
        <w:numPr>
          <w:ilvl w:val="0"/>
          <w:numId w:val="119"/>
        </w:numPr>
        <w:rPr>
          <w:noProof/>
        </w:rPr>
      </w:pPr>
      <w:r w:rsidRPr="00D207EA">
        <w:rPr>
          <w:noProof/>
        </w:rPr>
        <w:t>La Commission peut adresser des observations aux États membres et demander des informations complémentaires.</w:t>
      </w:r>
    </w:p>
    <w:p w14:paraId="0877A595" w14:textId="77777777" w:rsidR="00911AC6" w:rsidRPr="00D207EA" w:rsidRDefault="005C49E8" w:rsidP="00911AC6">
      <w:pPr>
        <w:pStyle w:val="Text1"/>
        <w:rPr>
          <w:noProof/>
        </w:rPr>
      </w:pPr>
      <w:r w:rsidRPr="00D207EA">
        <w:rPr>
          <w:noProof/>
        </w:rPr>
        <w:t>Dans des cas dûment justifiés, la Commission peut demander l’inclusion de mesures supplémentaires ou la modification des mesures proposées par l’État membre.</w:t>
      </w:r>
    </w:p>
    <w:p w14:paraId="7117FC0C" w14:textId="77777777" w:rsidR="00911AC6" w:rsidRPr="00D207EA" w:rsidRDefault="005C49E8" w:rsidP="00911AC6">
      <w:pPr>
        <w:pStyle w:val="Text1"/>
        <w:rPr>
          <w:noProof/>
        </w:rPr>
      </w:pPr>
      <w:r w:rsidRPr="00D207EA">
        <w:rPr>
          <w:noProof/>
        </w:rPr>
        <w:t>L’État membre fournit les informations complémentaires demandées et, le cas échéant, révise son plan, compte tenu des observations et des demandes formulées par la Commission. Le délai fixé au paragraphe 1 est suspendu à compter du jour suivant la date à laquelle la Commission envoie ses observations ou une demande de documents révisés à l’État membre et jusqu’au jour où celui-ci répond à la Commission.</w:t>
      </w:r>
    </w:p>
    <w:p w14:paraId="402D5E08" w14:textId="77777777" w:rsidR="00911AC6" w:rsidRPr="00D207EA" w:rsidRDefault="005C49E8" w:rsidP="00C21519">
      <w:pPr>
        <w:pStyle w:val="NumPar10000000"/>
        <w:numPr>
          <w:ilvl w:val="0"/>
          <w:numId w:val="119"/>
        </w:numPr>
        <w:rPr>
          <w:noProof/>
        </w:rPr>
      </w:pPr>
      <w:r w:rsidRPr="00D207EA">
        <w:rPr>
          <w:noProof/>
        </w:rPr>
        <w:t>Lorsque le plan n’est pas conforme aux exigences visées au paragraphe 1, la Commission communique les raisons dûment justifiées à l’État membre concerné dans le délai fixé audit paragraphe.</w:t>
      </w:r>
    </w:p>
    <w:p w14:paraId="277D348C" w14:textId="77777777" w:rsidR="00E343C2" w:rsidRPr="00D207EA" w:rsidRDefault="005046E6" w:rsidP="00C21519">
      <w:pPr>
        <w:pStyle w:val="NumPar10000000"/>
        <w:numPr>
          <w:ilvl w:val="0"/>
          <w:numId w:val="119"/>
        </w:numPr>
        <w:rPr>
          <w:rFonts w:eastAsia="Calibri"/>
          <w:noProof/>
        </w:rPr>
      </w:pPr>
      <w:bookmarkStart w:id="9" w:name="_Hlk202788880"/>
      <w:r w:rsidRPr="00D207EA">
        <w:rPr>
          <w:noProof/>
        </w:rPr>
        <w:t>Lorsque la Commission conclut que le plan est conforme aux exigences visées au paragraphe 1, la proposition de décision d’exécution du Conseil présentée par la Commission prévoit:</w:t>
      </w:r>
    </w:p>
    <w:p w14:paraId="095597F5" w14:textId="47FA0EAB" w:rsidR="00911AC6" w:rsidRPr="00D207EA" w:rsidRDefault="008D666E" w:rsidP="008D666E">
      <w:pPr>
        <w:pStyle w:val="Point10"/>
        <w:rPr>
          <w:noProof/>
        </w:rPr>
      </w:pPr>
      <w:r w:rsidRPr="008D666E">
        <w:rPr>
          <w:noProof/>
        </w:rPr>
        <w:t>(a)</w:t>
      </w:r>
      <w:r w:rsidRPr="008D666E">
        <w:rPr>
          <w:noProof/>
        </w:rPr>
        <w:tab/>
      </w:r>
      <w:r w:rsidR="005C49E8" w:rsidRPr="00D207EA">
        <w:rPr>
          <w:noProof/>
        </w:rPr>
        <w:t>la contribution totale de l’Union;</w:t>
      </w:r>
    </w:p>
    <w:p w14:paraId="33B35537" w14:textId="2AF9B0A2" w:rsidR="00911AC6" w:rsidRPr="00D207EA" w:rsidRDefault="008D666E" w:rsidP="008D666E">
      <w:pPr>
        <w:pStyle w:val="Point10"/>
        <w:rPr>
          <w:noProof/>
        </w:rPr>
      </w:pPr>
      <w:r w:rsidRPr="008D666E">
        <w:rPr>
          <w:noProof/>
        </w:rPr>
        <w:t>(b)</w:t>
      </w:r>
      <w:r w:rsidRPr="008D666E">
        <w:rPr>
          <w:noProof/>
        </w:rPr>
        <w:tab/>
      </w:r>
      <w:r w:rsidR="005C49E8" w:rsidRPr="00D207EA">
        <w:rPr>
          <w:noProof/>
        </w:rPr>
        <w:t>le montant du soutien sous forme de prêt lorsque l’État membre concerné en fait la demande; et le montant du préfinancement correspondant, ainsi que la période de disponibilité du prêt;</w:t>
      </w:r>
    </w:p>
    <w:p w14:paraId="01D8F633" w14:textId="0FF0FBD4" w:rsidR="00911AC6" w:rsidRPr="00D207EA" w:rsidRDefault="008D666E" w:rsidP="008D666E">
      <w:pPr>
        <w:pStyle w:val="Point10"/>
        <w:rPr>
          <w:noProof/>
        </w:rPr>
      </w:pPr>
      <w:r w:rsidRPr="008D666E">
        <w:rPr>
          <w:noProof/>
        </w:rPr>
        <w:t>(c)</w:t>
      </w:r>
      <w:r w:rsidRPr="008D666E">
        <w:rPr>
          <w:noProof/>
        </w:rPr>
        <w:tab/>
      </w:r>
      <w:r w:rsidR="00A5535E" w:rsidRPr="00D207EA">
        <w:rPr>
          <w:noProof/>
        </w:rPr>
        <w:t>la liste des mesures couvertes par la contribution de l’Union et les prêts contenus dans le plan PNR.</w:t>
      </w:r>
    </w:p>
    <w:p w14:paraId="7B69C67C" w14:textId="5544A311" w:rsidR="002C40C9" w:rsidRPr="00D207EA" w:rsidRDefault="00AB2F84" w:rsidP="00C21519">
      <w:pPr>
        <w:pStyle w:val="NumPar10000000"/>
        <w:numPr>
          <w:ilvl w:val="0"/>
          <w:numId w:val="119"/>
        </w:numPr>
        <w:rPr>
          <w:rFonts w:eastAsia="Calibri"/>
          <w:noProof/>
        </w:rPr>
      </w:pPr>
      <w:r w:rsidRPr="00D207EA">
        <w:rPr>
          <w:noProof/>
        </w:rPr>
        <w:t>Dans des cas dûment justifiés, lorsque la Commission conclut qu’une ou plusieurs mesures du plan ne sont pas conformes aux exigences visées au paragraphe 1 et qu’une demande correspondante formulée conformément au paragraphe 2, deuxième alinéa, n’a pas été traitée de manière satisfaisante par les États membres, elle peut inclure dans sa proposition visée au paragraphe 4 une description des lacunes concernant ces mesures.</w:t>
      </w:r>
    </w:p>
    <w:p w14:paraId="23F07996" w14:textId="77777777" w:rsidR="00F80FF2" w:rsidRPr="00D207EA" w:rsidRDefault="00F80FF2" w:rsidP="00C21519">
      <w:pPr>
        <w:pStyle w:val="NumPar10000000"/>
        <w:numPr>
          <w:ilvl w:val="0"/>
          <w:numId w:val="119"/>
        </w:numPr>
        <w:rPr>
          <w:noProof/>
        </w:rPr>
      </w:pPr>
      <w:r w:rsidRPr="00D207EA">
        <w:rPr>
          <w:noProof/>
        </w:rPr>
        <w:t>Le Conseil adopte les décisions d’exécution visées au paragraphe 1, en principe, dans un délai de quatre semaines à compter de l’adoption de la proposition de la Commission.</w:t>
      </w:r>
    </w:p>
    <w:bookmarkEnd w:id="9"/>
    <w:p w14:paraId="5B7547AE" w14:textId="77777777" w:rsidR="00106BDF" w:rsidRPr="00D207EA" w:rsidRDefault="00676241" w:rsidP="00C21519">
      <w:pPr>
        <w:pStyle w:val="NumPar10000000"/>
        <w:numPr>
          <w:ilvl w:val="0"/>
          <w:numId w:val="119"/>
        </w:numPr>
        <w:rPr>
          <w:rFonts w:eastAsia="Calibri"/>
          <w:noProof/>
        </w:rPr>
      </w:pPr>
      <w:r w:rsidRPr="00D207EA">
        <w:rPr>
          <w:noProof/>
        </w:rPr>
        <w:t>Une fois que le Conseil a adopté la décision d’exécution visée au paragraphe 6, la Commission adopte une décision de financement au sens de l’article 110 du règlement (UE, Euratom) 2024/2509, comprenant les éléments suivants:</w:t>
      </w:r>
    </w:p>
    <w:p w14:paraId="3D4BD665" w14:textId="1CFF79D1" w:rsidR="00A32447" w:rsidRPr="00D207EA" w:rsidRDefault="008D666E" w:rsidP="008D666E">
      <w:pPr>
        <w:pStyle w:val="Point10"/>
        <w:rPr>
          <w:noProof/>
        </w:rPr>
      </w:pPr>
      <w:r w:rsidRPr="008D666E">
        <w:rPr>
          <w:noProof/>
        </w:rPr>
        <w:t>(a)</w:t>
      </w:r>
      <w:r w:rsidRPr="008D666E">
        <w:rPr>
          <w:noProof/>
        </w:rPr>
        <w:tab/>
      </w:r>
      <w:r w:rsidR="00FD3F3F" w:rsidRPr="00D207EA">
        <w:rPr>
          <w:noProof/>
        </w:rPr>
        <w:t>les valeurs intermédiaires et les valeurs cibles relatives à la mise en œuvre des mesures contenues dans le plan PNR et, pour chacune d’entre elles, la valeur de paiement correspondante;</w:t>
      </w:r>
    </w:p>
    <w:p w14:paraId="216CC805" w14:textId="3B1E85CA" w:rsidR="00B911E1" w:rsidRPr="00D207EA" w:rsidRDefault="008D666E" w:rsidP="008D666E">
      <w:pPr>
        <w:pStyle w:val="Point10"/>
        <w:rPr>
          <w:noProof/>
        </w:rPr>
      </w:pPr>
      <w:r w:rsidRPr="008D666E">
        <w:rPr>
          <w:noProof/>
        </w:rPr>
        <w:t>(b)</w:t>
      </w:r>
      <w:r w:rsidRPr="008D666E">
        <w:rPr>
          <w:noProof/>
        </w:rPr>
        <w:tab/>
      </w:r>
      <w:r w:rsidR="008B3C4F" w:rsidRPr="00D207EA">
        <w:rPr>
          <w:noProof/>
        </w:rPr>
        <w:t>la contribution de l’Union par an, calculée sur la base des pourcentages fixés à l’article 14, paragraphe 1 [engagements].</w:t>
      </w:r>
    </w:p>
    <w:p w14:paraId="65422DCC" w14:textId="0BD46DDD" w:rsidR="00E343C2" w:rsidRPr="00D207EA" w:rsidRDefault="00F80FF2" w:rsidP="00F80FF2">
      <w:pPr>
        <w:pStyle w:val="Text1"/>
        <w:rPr>
          <w:noProof/>
        </w:rPr>
      </w:pPr>
      <w:r w:rsidRPr="00D207EA">
        <w:rPr>
          <w:noProof/>
        </w:rPr>
        <w:t>La notification de cette décision de la Commission à l’État membre concerné constitue un engagement juridique.</w:t>
      </w:r>
    </w:p>
    <w:p w14:paraId="36E3DDFA" w14:textId="77777777" w:rsidR="00877F87" w:rsidRPr="00D207EA" w:rsidRDefault="00877F87" w:rsidP="00877F87">
      <w:pPr>
        <w:pStyle w:val="Text1"/>
        <w:rPr>
          <w:noProof/>
        </w:rPr>
      </w:pPr>
      <w:r w:rsidRPr="00D207EA">
        <w:rPr>
          <w:noProof/>
        </w:rPr>
        <w:t>En cas d’application de l’article 4, paragraphe 2, point b), du règlement fixant le cadre financier pluriannuel, cette décision de financement peut être modifiée en fonction des résultats de la procédure budgétaire annuelle.</w:t>
      </w:r>
    </w:p>
    <w:p w14:paraId="5EC784C1" w14:textId="77777777" w:rsidR="007E145B" w:rsidRPr="00D207EA" w:rsidRDefault="00B11765" w:rsidP="00C21519">
      <w:pPr>
        <w:pStyle w:val="NumPar10000000"/>
        <w:numPr>
          <w:ilvl w:val="0"/>
          <w:numId w:val="119"/>
        </w:numPr>
        <w:rPr>
          <w:noProof/>
        </w:rPr>
      </w:pPr>
      <w:r w:rsidRPr="00D207EA">
        <w:rPr>
          <w:noProof/>
        </w:rPr>
        <w:t>Les demandes de paiement pour les mesures spécifiques affectées par les lacunes déterminées dans les décisions d’application adoptées par le Conseil peuvent être présentées par l’État membre concerné, mais la Commission n’effectue les paiements correspondants que lorsque des lacunes ont été comblées.</w:t>
      </w:r>
    </w:p>
    <w:p w14:paraId="273CBE26" w14:textId="77777777" w:rsidR="00911AC6" w:rsidRPr="00D207EA" w:rsidRDefault="005C49E8" w:rsidP="00911AC6">
      <w:pPr>
        <w:pStyle w:val="Chaptertitle"/>
        <w:rPr>
          <w:noProof/>
        </w:rPr>
      </w:pPr>
      <w:r w:rsidRPr="00D207EA">
        <w:rPr>
          <w:b/>
          <w:i w:val="0"/>
          <w:noProof/>
          <w:sz w:val="32"/>
        </w:rPr>
        <w:t>CHAPITRE 3</w:t>
      </w:r>
      <w:r w:rsidRPr="00D207EA">
        <w:rPr>
          <w:noProof/>
          <w:sz w:val="32"/>
        </w:rPr>
        <w:t xml:space="preserve"> </w:t>
      </w:r>
      <w:r w:rsidRPr="00D207EA">
        <w:rPr>
          <w:noProof/>
        </w:rPr>
        <w:br/>
      </w:r>
      <w:r w:rsidRPr="00D207EA">
        <w:rPr>
          <w:b/>
          <w:i w:val="0"/>
          <w:noProof/>
          <w:sz w:val="32"/>
        </w:rPr>
        <w:t>Révision du plan PNR</w:t>
      </w:r>
    </w:p>
    <w:p w14:paraId="60579012" w14:textId="77777777" w:rsidR="00911AC6" w:rsidRPr="00D207EA" w:rsidRDefault="00C330EA" w:rsidP="00911AC6">
      <w:pPr>
        <w:pStyle w:val="Titrearticle"/>
        <w:rPr>
          <w:noProof/>
        </w:rPr>
      </w:pPr>
      <w:r w:rsidRPr="00D207EA">
        <w:rPr>
          <w:noProof/>
        </w:rPr>
        <w:t>Article 24</w:t>
      </w:r>
      <w:r w:rsidRPr="00D207EA">
        <w:rPr>
          <w:noProof/>
        </w:rPr>
        <w:br/>
      </w:r>
      <w:r w:rsidRPr="00D207EA">
        <w:rPr>
          <w:b/>
          <w:noProof/>
        </w:rPr>
        <w:t>Modification du plan PNR</w:t>
      </w:r>
    </w:p>
    <w:p w14:paraId="1A3EDB55" w14:textId="77777777" w:rsidR="00DD0130" w:rsidRPr="00D207EA" w:rsidRDefault="004025DE" w:rsidP="00C21519">
      <w:pPr>
        <w:pStyle w:val="NumPar10000000"/>
        <w:numPr>
          <w:ilvl w:val="0"/>
          <w:numId w:val="113"/>
        </w:numPr>
        <w:rPr>
          <w:noProof/>
        </w:rPr>
      </w:pPr>
      <w:r w:rsidRPr="00D207EA">
        <w:rPr>
          <w:noProof/>
        </w:rPr>
        <w:t>Un État membre peut présenter à la Commission une demande motivée de modification de son plan PNR, accompagnée du plan PNR modifié, précisant l’incidence attendue de cette modification sur la réalisation des objectifs définis aux articles 2 et 3.</w:t>
      </w:r>
    </w:p>
    <w:p w14:paraId="787108B8" w14:textId="77777777" w:rsidR="00DD0130" w:rsidRPr="00D207EA" w:rsidRDefault="005C49E8" w:rsidP="00C21519">
      <w:pPr>
        <w:pStyle w:val="NumPar10000000"/>
        <w:numPr>
          <w:ilvl w:val="0"/>
          <w:numId w:val="119"/>
        </w:numPr>
        <w:rPr>
          <w:noProof/>
        </w:rPr>
      </w:pPr>
      <w:r w:rsidRPr="00D207EA">
        <w:rPr>
          <w:noProof/>
        </w:rPr>
        <w:t>La Commission évalue la conformité du plan PNR modifié avec le présent règlement, y compris l’article 23 [proposition de la Commission et décision d’exécution du Conseil], et peut formuler des observations dans les trois mois suivant la présentation du plan PNR modifié.</w:t>
      </w:r>
    </w:p>
    <w:p w14:paraId="23686791" w14:textId="77777777" w:rsidR="00DD0130" w:rsidRPr="00D207EA" w:rsidRDefault="005C49E8" w:rsidP="00C21519">
      <w:pPr>
        <w:pStyle w:val="NumPar10000000"/>
        <w:numPr>
          <w:ilvl w:val="0"/>
          <w:numId w:val="119"/>
        </w:numPr>
        <w:rPr>
          <w:noProof/>
        </w:rPr>
      </w:pPr>
      <w:r w:rsidRPr="00D207EA">
        <w:rPr>
          <w:noProof/>
        </w:rPr>
        <w:t>Dans des cas dûment justifiés, que l’État membre ait ou non présenté une demande motivée de modification de son plan PNR conformément au paragraphe 1, la Commission peut également proposer à l’État membre de modifier les mesures existantes ou d’en introduire de nouvelles.</w:t>
      </w:r>
    </w:p>
    <w:p w14:paraId="7759EEBA" w14:textId="77777777" w:rsidR="00DD0130" w:rsidRPr="00D207EA" w:rsidRDefault="005C49E8" w:rsidP="00C21519">
      <w:pPr>
        <w:pStyle w:val="NumPar10000000"/>
        <w:numPr>
          <w:ilvl w:val="0"/>
          <w:numId w:val="119"/>
        </w:numPr>
        <w:rPr>
          <w:noProof/>
        </w:rPr>
      </w:pPr>
      <w:r w:rsidRPr="00D207EA">
        <w:rPr>
          <w:noProof/>
        </w:rPr>
        <w:t>L’État membre réexamine le plan PNR modifié dans un délai d’un mois à compter de la date de présentation des observations de la Commission visées au paragraphe 2, compte tenu des observations et des propositions de la Commission visées aux paragraphes 2 ou 3.</w:t>
      </w:r>
    </w:p>
    <w:p w14:paraId="50285998" w14:textId="4530A256" w:rsidR="00DD0130" w:rsidRPr="00D207EA" w:rsidRDefault="009E0B99" w:rsidP="00C21519">
      <w:pPr>
        <w:pStyle w:val="NumPar10000000"/>
        <w:numPr>
          <w:ilvl w:val="0"/>
          <w:numId w:val="119"/>
        </w:numPr>
        <w:rPr>
          <w:noProof/>
        </w:rPr>
      </w:pPr>
      <w:r w:rsidRPr="00D207EA">
        <w:rPr>
          <w:noProof/>
        </w:rPr>
        <w:t>Lorsque la Commission n’a pas présenté d’observations ou lorsqu’elle estime que les observations présentées ont été dûment prises en compte, et lorsque la modification du plan PNR entraînerait une modification de la contribution totale de l’Union, du montant du soutien sous forme de prêt ou de la liste des mesures, ou qu’une ou plusieurs mesures du plan ne seraient plus conformes aux exigences visées à l’article 23, paragraphe 1 [proposition de la Commission et décision d’exécution du Conseil], la Commission présente une nouvelle proposition de décision d’exécution du Conseil conformément à l’article 23, au plus tard quatre mois après la présentation du plan PNR modifié. Le Conseil adopte la nouvelle décision d’exécution, en principe, dans un délai de quatre semaines à compter de l’adoption de la proposition de la Commission. Dans ce cas, la Commission modifie en conséquence la décision de financement visée à l’article 23, paragraphe 7 [proposition de la Commission et décision d’exécution du Conseil].</w:t>
      </w:r>
    </w:p>
    <w:p w14:paraId="3701F828" w14:textId="77777777" w:rsidR="005C4C04" w:rsidRPr="00D207EA" w:rsidRDefault="007156B4" w:rsidP="005C4C04">
      <w:pPr>
        <w:pStyle w:val="Text1"/>
        <w:rPr>
          <w:noProof/>
        </w:rPr>
      </w:pPr>
      <w:r w:rsidRPr="00D207EA">
        <w:rPr>
          <w:noProof/>
        </w:rPr>
        <w:t>Lorsque la modification du plan PNR n’entraîne pas de modification de la contribution totale de l’Union, du montant du soutien sous forme de prêt ou de la liste des mesures, la Commission procède directement en modifiant en conséquence la décision de financement visée à l’article 23, paragraphe 7 [proposition de la Commission et décision d’exécution du Conseil].</w:t>
      </w:r>
    </w:p>
    <w:p w14:paraId="6199EB80" w14:textId="77777777" w:rsidR="005C4C04" w:rsidRPr="00D207EA" w:rsidRDefault="005C49E8" w:rsidP="00C21519">
      <w:pPr>
        <w:pStyle w:val="NumPar10000000"/>
        <w:numPr>
          <w:ilvl w:val="0"/>
          <w:numId w:val="119"/>
        </w:numPr>
        <w:rPr>
          <w:noProof/>
        </w:rPr>
      </w:pPr>
      <w:r w:rsidRPr="00D207EA">
        <w:rPr>
          <w:noProof/>
        </w:rPr>
        <w:t>L’adoption des décisions visées au paragraphe 5 n’est pas nécessaire</w:t>
      </w:r>
    </w:p>
    <w:p w14:paraId="68EC6696" w14:textId="69C163CC" w:rsidR="005C4C04" w:rsidRPr="00D207EA" w:rsidRDefault="008D666E" w:rsidP="008D666E">
      <w:pPr>
        <w:pStyle w:val="Point10"/>
        <w:rPr>
          <w:noProof/>
        </w:rPr>
      </w:pPr>
      <w:r w:rsidRPr="008D666E">
        <w:rPr>
          <w:noProof/>
        </w:rPr>
        <w:t>(a)</w:t>
      </w:r>
      <w:r w:rsidRPr="008D666E">
        <w:rPr>
          <w:noProof/>
        </w:rPr>
        <w:tab/>
      </w:r>
      <w:r w:rsidR="005C49E8" w:rsidRPr="00D207EA">
        <w:rPr>
          <w:noProof/>
        </w:rPr>
        <w:t>pour des corrections de nature purement administrative ou rédactionnelle ou dans le cas d’ajustements mineurs au plan PNR, représentant une augmentation ou une diminution de moins de 5 % d’une valeur cible fixée dans le plan PNR. Les États membres n’appliquent ces règles qu’une seule fois par valeur cible et notifient ces ajustements à la Commission. Ces modifications sont conformes à toutes les exigences du plan PNR, y compris la révision des informations concernant les coûts;</w:t>
      </w:r>
    </w:p>
    <w:p w14:paraId="50288792" w14:textId="353FC04F" w:rsidR="005C4C04" w:rsidRPr="00D207EA" w:rsidRDefault="008D666E" w:rsidP="008D666E">
      <w:pPr>
        <w:pStyle w:val="Point10"/>
        <w:rPr>
          <w:noProof/>
        </w:rPr>
      </w:pPr>
      <w:r w:rsidRPr="008D666E">
        <w:rPr>
          <w:noProof/>
        </w:rPr>
        <w:t>(b)</w:t>
      </w:r>
      <w:r w:rsidRPr="008D666E">
        <w:rPr>
          <w:noProof/>
        </w:rPr>
        <w:tab/>
      </w:r>
      <w:r w:rsidR="005418CA" w:rsidRPr="00D207EA">
        <w:rPr>
          <w:noProof/>
        </w:rPr>
        <w:t>pour les modifications effectuées conformément à l’article 31, paragraphe 7.</w:t>
      </w:r>
    </w:p>
    <w:p w14:paraId="3DE5C847" w14:textId="6F8761E1" w:rsidR="00DD0130" w:rsidRPr="00D207EA" w:rsidRDefault="005C49E8" w:rsidP="00C21519">
      <w:pPr>
        <w:pStyle w:val="NumPar10000000"/>
        <w:numPr>
          <w:ilvl w:val="0"/>
          <w:numId w:val="119"/>
        </w:numPr>
        <w:rPr>
          <w:noProof/>
        </w:rPr>
      </w:pPr>
      <w:r w:rsidRPr="00D207EA">
        <w:rPr>
          <w:noProof/>
        </w:rPr>
        <w:t>Les États membres veillent à ce que le montant des coûts totaux estimés de leur plan PNR reste raisonnable et cohérent tout au long de sa mise en œuvre, conformément au principe de bonne gestion financière, et demandent, le cas échéant, une modification de leur plan conformément au paragraphe 1.</w:t>
      </w:r>
    </w:p>
    <w:p w14:paraId="33411646" w14:textId="77777777" w:rsidR="004C5322" w:rsidRPr="00D207EA" w:rsidRDefault="2F75E2DB" w:rsidP="00C21519">
      <w:pPr>
        <w:pStyle w:val="NumPar10000000"/>
        <w:numPr>
          <w:ilvl w:val="0"/>
          <w:numId w:val="119"/>
        </w:numPr>
        <w:rPr>
          <w:noProof/>
        </w:rPr>
      </w:pPr>
      <w:r w:rsidRPr="00D207EA">
        <w:rPr>
          <w:noProof/>
        </w:rPr>
        <w:t>Les mesures spécifiques déterminées dans la décision d’exécution visée à l’article 9, paragraphe 4, ou faisant l’objet d’une décision imposant des mesures de protection du budget au titre du règlement (UE, Euratom) 2020/2092 ne sont pas modifiées tant que la décision n’a pas été abrogée, sauf si la modification est destinée à soutenir des mesures qui contribuent au respect de la condition horizontale relative à l’état de droit ou à remédier à la situation qui a conduit à l’adoption des décisions susmentionnées.</w:t>
      </w:r>
    </w:p>
    <w:p w14:paraId="63004409" w14:textId="77777777" w:rsidR="00B45F82" w:rsidRPr="00D207EA" w:rsidRDefault="00197C6C" w:rsidP="00C21519">
      <w:pPr>
        <w:pStyle w:val="NumPar10000000"/>
        <w:numPr>
          <w:ilvl w:val="0"/>
          <w:numId w:val="119"/>
        </w:numPr>
        <w:rPr>
          <w:noProof/>
        </w:rPr>
      </w:pPr>
      <w:r w:rsidRPr="00D207EA">
        <w:rPr>
          <w:noProof/>
        </w:rPr>
        <w:t>Les mesures spécifiques énumérées dans la décision d’exécution visée à l’article 8, paragraphe 4 [conditions de la charte] ne sont pas modifiées tant que la décision n’a pas été abrogée, sauf si la modification vise à soutenir des mesures qui:</w:t>
      </w:r>
    </w:p>
    <w:p w14:paraId="1C3EE77C" w14:textId="76FBCEF7" w:rsidR="00B45F82" w:rsidRPr="00D207EA" w:rsidRDefault="008D666E" w:rsidP="008D666E">
      <w:pPr>
        <w:pStyle w:val="Point10"/>
        <w:rPr>
          <w:noProof/>
        </w:rPr>
      </w:pPr>
      <w:r w:rsidRPr="008D666E">
        <w:rPr>
          <w:noProof/>
        </w:rPr>
        <w:t>(a)</w:t>
      </w:r>
      <w:r w:rsidRPr="008D666E">
        <w:rPr>
          <w:noProof/>
        </w:rPr>
        <w:tab/>
      </w:r>
      <w:r w:rsidR="00197C6C" w:rsidRPr="00D207EA">
        <w:rPr>
          <w:noProof/>
        </w:rPr>
        <w:t>contribuent au respect de la condition horizontale relative à la charte;</w:t>
      </w:r>
    </w:p>
    <w:p w14:paraId="34434E33" w14:textId="6922CC12" w:rsidR="00197C6C" w:rsidRPr="00D207EA" w:rsidRDefault="008D666E" w:rsidP="008D666E">
      <w:pPr>
        <w:pStyle w:val="Point10"/>
        <w:rPr>
          <w:noProof/>
        </w:rPr>
      </w:pPr>
      <w:r w:rsidRPr="008D666E">
        <w:rPr>
          <w:noProof/>
        </w:rPr>
        <w:t>(b)</w:t>
      </w:r>
      <w:r w:rsidRPr="008D666E">
        <w:rPr>
          <w:noProof/>
        </w:rPr>
        <w:tab/>
      </w:r>
      <w:r w:rsidR="00BE7F88" w:rsidRPr="00D207EA">
        <w:rPr>
          <w:noProof/>
        </w:rPr>
        <w:t>permettent de faire face à des changements significatifs dans les priorités de l’Union, dans la limite de 30 % des montants associés aux mesures spécifiques concernées.</w:t>
      </w:r>
    </w:p>
    <w:p w14:paraId="151BBF51" w14:textId="75D08AF1" w:rsidR="00911AC6" w:rsidRPr="00D207EA" w:rsidRDefault="005C49E8" w:rsidP="00C21519">
      <w:pPr>
        <w:pStyle w:val="NumPar10000000"/>
        <w:numPr>
          <w:ilvl w:val="0"/>
          <w:numId w:val="119"/>
        </w:numPr>
        <w:rPr>
          <w:noProof/>
        </w:rPr>
      </w:pPr>
      <w:r w:rsidRPr="00D207EA">
        <w:rPr>
          <w:noProof/>
        </w:rPr>
        <w:t>Un État membre n’est pas tenu de réviser les parties du plan PNR qui ne sont pas directement concernées par les modifications envisagées qu’il propose.</w:t>
      </w:r>
    </w:p>
    <w:p w14:paraId="64873029" w14:textId="77777777" w:rsidR="00911AC6" w:rsidRPr="00D207EA" w:rsidRDefault="00C330EA" w:rsidP="00911AC6">
      <w:pPr>
        <w:pStyle w:val="Titrearticle"/>
        <w:rPr>
          <w:noProof/>
        </w:rPr>
      </w:pPr>
      <w:r w:rsidRPr="00D207EA">
        <w:rPr>
          <w:noProof/>
        </w:rPr>
        <w:t>Article 25</w:t>
      </w:r>
      <w:r w:rsidRPr="00D207EA">
        <w:rPr>
          <w:noProof/>
        </w:rPr>
        <w:br/>
      </w:r>
      <w:r w:rsidRPr="00D207EA">
        <w:rPr>
          <w:b/>
          <w:noProof/>
        </w:rPr>
        <w:t>Examen à mi-parcours</w:t>
      </w:r>
    </w:p>
    <w:p w14:paraId="314F7567" w14:textId="77777777" w:rsidR="00C10D30" w:rsidRPr="00D207EA" w:rsidRDefault="002A6515" w:rsidP="00C21519">
      <w:pPr>
        <w:pStyle w:val="NumPar10000000"/>
        <w:numPr>
          <w:ilvl w:val="0"/>
          <w:numId w:val="77"/>
        </w:numPr>
        <w:rPr>
          <w:noProof/>
        </w:rPr>
      </w:pPr>
      <w:r w:rsidRPr="00D207EA">
        <w:rPr>
          <w:noProof/>
        </w:rPr>
        <w:t>Les États membres examinent leur plan PNR en tenant compte des éléments suivants:</w:t>
      </w:r>
    </w:p>
    <w:p w14:paraId="5057C875" w14:textId="6A3407F9" w:rsidR="00C10D30" w:rsidRPr="00D207EA" w:rsidRDefault="008D666E" w:rsidP="008D666E">
      <w:pPr>
        <w:pStyle w:val="Point10"/>
        <w:rPr>
          <w:noProof/>
        </w:rPr>
      </w:pPr>
      <w:r w:rsidRPr="008D666E">
        <w:rPr>
          <w:noProof/>
        </w:rPr>
        <w:t>(a)</w:t>
      </w:r>
      <w:r w:rsidRPr="008D666E">
        <w:rPr>
          <w:noProof/>
        </w:rPr>
        <w:tab/>
      </w:r>
      <w:r w:rsidR="002A6515" w:rsidRPr="00D207EA">
        <w:rPr>
          <w:noProof/>
        </w:rPr>
        <w:t>les défis constatés conformément à l’article 22, paragraphe 2, points a), b) et c) [Exigences du plan];</w:t>
      </w:r>
    </w:p>
    <w:p w14:paraId="52B21AC0" w14:textId="5FDE3214" w:rsidR="005062A8" w:rsidRPr="00D207EA" w:rsidRDefault="008D666E" w:rsidP="008D666E">
      <w:pPr>
        <w:pStyle w:val="Point10"/>
        <w:rPr>
          <w:noProof/>
        </w:rPr>
      </w:pPr>
      <w:r w:rsidRPr="008D666E">
        <w:rPr>
          <w:noProof/>
        </w:rPr>
        <w:t>(b)</w:t>
      </w:r>
      <w:r w:rsidRPr="008D666E">
        <w:rPr>
          <w:noProof/>
        </w:rPr>
        <w:tab/>
      </w:r>
      <w:r w:rsidR="005062A8" w:rsidRPr="00D207EA">
        <w:rPr>
          <w:noProof/>
        </w:rPr>
        <w:t>la situation socio-économique de la région ou de l’État membre concerné, une attention particulière étant accordée aux besoins territoriaux, compte tenu de toute évolution financière, économique ou sociale négative majeure; </w:t>
      </w:r>
    </w:p>
    <w:p w14:paraId="15B92752" w14:textId="50A4DDCF" w:rsidR="00C330EA" w:rsidRPr="00D207EA" w:rsidRDefault="008D666E" w:rsidP="008D666E">
      <w:pPr>
        <w:pStyle w:val="Point10"/>
        <w:rPr>
          <w:noProof/>
        </w:rPr>
      </w:pPr>
      <w:r w:rsidRPr="008D666E">
        <w:rPr>
          <w:noProof/>
        </w:rPr>
        <w:t>(c)</w:t>
      </w:r>
      <w:r w:rsidRPr="008D666E">
        <w:rPr>
          <w:noProof/>
        </w:rPr>
        <w:tab/>
      </w:r>
      <w:r w:rsidR="00C10D30" w:rsidRPr="00D207EA">
        <w:rPr>
          <w:noProof/>
        </w:rPr>
        <w:t>les principaux résultats des rapports d’évaluation intermédiaires pertinents;</w:t>
      </w:r>
    </w:p>
    <w:p w14:paraId="7B263A05" w14:textId="4BB09730" w:rsidR="002A6515" w:rsidRPr="00D207EA" w:rsidRDefault="008D666E" w:rsidP="008D666E">
      <w:pPr>
        <w:pStyle w:val="Point10"/>
        <w:rPr>
          <w:noProof/>
        </w:rPr>
      </w:pPr>
      <w:r w:rsidRPr="008D666E">
        <w:rPr>
          <w:noProof/>
        </w:rPr>
        <w:t>(d)</w:t>
      </w:r>
      <w:r w:rsidRPr="008D666E">
        <w:rPr>
          <w:noProof/>
        </w:rPr>
        <w:tab/>
      </w:r>
      <w:r w:rsidR="002A6515" w:rsidRPr="00D207EA">
        <w:rPr>
          <w:noProof/>
        </w:rPr>
        <w:t>les progrès dans la réalisation des mesures, compte tenu des principales difficultés rencontrées dans la mise en œuvre du plan PNR;</w:t>
      </w:r>
    </w:p>
    <w:p w14:paraId="048CCBBB" w14:textId="20BB4772" w:rsidR="002A6515" w:rsidRPr="00D207EA" w:rsidRDefault="008D666E" w:rsidP="008D666E">
      <w:pPr>
        <w:pStyle w:val="Point10"/>
        <w:rPr>
          <w:noProof/>
        </w:rPr>
      </w:pPr>
      <w:r w:rsidRPr="008D666E">
        <w:rPr>
          <w:noProof/>
        </w:rPr>
        <w:t>(e)</w:t>
      </w:r>
      <w:r w:rsidRPr="008D666E">
        <w:rPr>
          <w:noProof/>
        </w:rPr>
        <w:tab/>
      </w:r>
      <w:r w:rsidR="00A367CB" w:rsidRPr="00D207EA">
        <w:rPr>
          <w:noProof/>
        </w:rPr>
        <w:t>les projets importants d’intérêt européen commun (PIIEC) et les projets ayant reçu un sceau;</w:t>
      </w:r>
    </w:p>
    <w:p w14:paraId="2870666E" w14:textId="4AF7D536" w:rsidR="002A6515" w:rsidRPr="00D207EA" w:rsidRDefault="008D666E" w:rsidP="008D666E">
      <w:pPr>
        <w:pStyle w:val="Point10"/>
        <w:rPr>
          <w:noProof/>
        </w:rPr>
      </w:pPr>
      <w:r w:rsidRPr="008D666E">
        <w:rPr>
          <w:noProof/>
        </w:rPr>
        <w:t>(f)</w:t>
      </w:r>
      <w:r w:rsidRPr="008D666E">
        <w:rPr>
          <w:noProof/>
        </w:rPr>
        <w:tab/>
      </w:r>
      <w:r w:rsidR="002A6515" w:rsidRPr="00D207EA">
        <w:rPr>
          <w:noProof/>
        </w:rPr>
        <w:t>la survenance d’une crise;</w:t>
      </w:r>
    </w:p>
    <w:p w14:paraId="7B1644DA" w14:textId="3A28D172" w:rsidR="002A6515" w:rsidRPr="00D207EA" w:rsidRDefault="008D666E" w:rsidP="008D666E">
      <w:pPr>
        <w:pStyle w:val="Point10"/>
        <w:rPr>
          <w:noProof/>
        </w:rPr>
      </w:pPr>
      <w:r w:rsidRPr="008D666E">
        <w:rPr>
          <w:noProof/>
        </w:rPr>
        <w:t>(g)</w:t>
      </w:r>
      <w:r w:rsidRPr="008D666E">
        <w:rPr>
          <w:noProof/>
        </w:rPr>
        <w:tab/>
      </w:r>
      <w:r w:rsidR="002A6515" w:rsidRPr="00D207EA">
        <w:rPr>
          <w:noProof/>
        </w:rPr>
        <w:t>la nécessité d’assurer le respect permanent des conditions horizontales relatives à la charte et à l’état de droit dans la mise en œuvre du plan, compte tenu particulièrement des défis spécifiques de chaque pays soulignés dans le cadre du rapport sur l’état de droit et du Semestre européen.</w:t>
      </w:r>
    </w:p>
    <w:p w14:paraId="205C568F" w14:textId="5C6F2740" w:rsidR="00F06BA3" w:rsidRPr="00D207EA" w:rsidRDefault="002A6515" w:rsidP="00C21519">
      <w:pPr>
        <w:pStyle w:val="NumPar10000000"/>
        <w:numPr>
          <w:ilvl w:val="0"/>
          <w:numId w:val="119"/>
        </w:numPr>
        <w:rPr>
          <w:noProof/>
        </w:rPr>
      </w:pPr>
      <w:r w:rsidRPr="00D207EA">
        <w:rPr>
          <w:noProof/>
        </w:rPr>
        <w:t>L’État membre soumet, au plus tard le 31 mars 2031, un plan PNR modifié présentant les résultats de l’examen à mi-parcours, y compris une révision du coût total estimé des mesures couvertes par le plan et une proposition de mesures supplémentaires à soutenir par le montant de la flexibilité visé à l’article 14, paragraphe 2.</w:t>
      </w:r>
    </w:p>
    <w:p w14:paraId="11716D11" w14:textId="77777777" w:rsidR="002A6515" w:rsidRPr="00D207EA" w:rsidRDefault="002A6515" w:rsidP="00C21519">
      <w:pPr>
        <w:pStyle w:val="NumPar10000000"/>
        <w:numPr>
          <w:ilvl w:val="0"/>
          <w:numId w:val="119"/>
        </w:numPr>
        <w:rPr>
          <w:rFonts w:eastAsia="Aptos"/>
          <w:noProof/>
        </w:rPr>
      </w:pPr>
      <w:r w:rsidRPr="00D207EA">
        <w:rPr>
          <w:noProof/>
        </w:rPr>
        <w:t>Le plan PNR modifié comporte les éléments suivants:</w:t>
      </w:r>
    </w:p>
    <w:p w14:paraId="4771D2BB" w14:textId="5A34E457" w:rsidR="002A6515" w:rsidRPr="00D207EA" w:rsidRDefault="008D666E" w:rsidP="008D666E">
      <w:pPr>
        <w:pStyle w:val="Point10"/>
        <w:rPr>
          <w:rFonts w:eastAsia="Times New Roman"/>
          <w:noProof/>
        </w:rPr>
      </w:pPr>
      <w:r w:rsidRPr="008D666E">
        <w:rPr>
          <w:noProof/>
        </w:rPr>
        <w:t>(a)</w:t>
      </w:r>
      <w:r w:rsidRPr="008D666E">
        <w:rPr>
          <w:noProof/>
        </w:rPr>
        <w:tab/>
      </w:r>
      <w:r w:rsidR="002A6515" w:rsidRPr="00D207EA">
        <w:rPr>
          <w:noProof/>
        </w:rPr>
        <w:t>les mesures révisées ou nouvelles;</w:t>
      </w:r>
    </w:p>
    <w:p w14:paraId="74AE3A8E" w14:textId="5F97B62E" w:rsidR="002A6515" w:rsidRPr="00D207EA" w:rsidRDefault="008D666E" w:rsidP="008D666E">
      <w:pPr>
        <w:pStyle w:val="Point10"/>
        <w:rPr>
          <w:rFonts w:eastAsia="Times New Roman"/>
          <w:noProof/>
        </w:rPr>
      </w:pPr>
      <w:r w:rsidRPr="008D666E">
        <w:rPr>
          <w:noProof/>
        </w:rPr>
        <w:t>(b)</w:t>
      </w:r>
      <w:r w:rsidRPr="008D666E">
        <w:rPr>
          <w:noProof/>
        </w:rPr>
        <w:tab/>
      </w:r>
      <w:r w:rsidR="002A6515" w:rsidRPr="00D207EA">
        <w:rPr>
          <w:noProof/>
        </w:rPr>
        <w:t>l’estimation actualisée du coût total du plan et le montant de la flexibilité demandé;</w:t>
      </w:r>
    </w:p>
    <w:p w14:paraId="5B0945A2" w14:textId="754E802A" w:rsidR="002A6515" w:rsidRPr="00D207EA" w:rsidRDefault="008D666E" w:rsidP="008D666E">
      <w:pPr>
        <w:pStyle w:val="Point10"/>
        <w:rPr>
          <w:noProof/>
        </w:rPr>
      </w:pPr>
      <w:r w:rsidRPr="008D666E">
        <w:rPr>
          <w:noProof/>
        </w:rPr>
        <w:t>(c)</w:t>
      </w:r>
      <w:r w:rsidRPr="008D666E">
        <w:rPr>
          <w:noProof/>
        </w:rPr>
        <w:tab/>
      </w:r>
      <w:r w:rsidR="002A6515" w:rsidRPr="00D207EA">
        <w:rPr>
          <w:noProof/>
        </w:rPr>
        <w:t>les valeurs intermédiaires et les valeurs cibles révisées ou nouvelles.</w:t>
      </w:r>
    </w:p>
    <w:p w14:paraId="0DC12EFF" w14:textId="2F41AB13" w:rsidR="002A6515" w:rsidRPr="00D207EA" w:rsidRDefault="002A6515" w:rsidP="00C21519">
      <w:pPr>
        <w:pStyle w:val="NumPar10000000"/>
        <w:numPr>
          <w:ilvl w:val="0"/>
          <w:numId w:val="119"/>
        </w:numPr>
        <w:rPr>
          <w:rFonts w:eastAsia="Aptos"/>
          <w:noProof/>
        </w:rPr>
      </w:pPr>
      <w:r w:rsidRPr="00D207EA">
        <w:rPr>
          <w:noProof/>
        </w:rPr>
        <w:t>Le plan révisé est approuvé conformément à l’article 24 [sur la modification].</w:t>
      </w:r>
    </w:p>
    <w:p w14:paraId="4734A9A1" w14:textId="77777777" w:rsidR="002A6515" w:rsidRPr="00D207EA" w:rsidRDefault="002A6515" w:rsidP="002A6515">
      <w:pPr>
        <w:pStyle w:val="SectionTitle"/>
        <w:rPr>
          <w:noProof/>
        </w:rPr>
      </w:pPr>
      <w:r w:rsidRPr="00D207EA">
        <w:rPr>
          <w:noProof/>
        </w:rPr>
        <w:t>TITRE IV</w:t>
      </w:r>
      <w:r w:rsidRPr="00D207EA">
        <w:rPr>
          <w:noProof/>
        </w:rPr>
        <w:br/>
        <w:t>Facilité de l’UE</w:t>
      </w:r>
    </w:p>
    <w:p w14:paraId="4A5C59C8" w14:textId="77777777" w:rsidR="00C330EA" w:rsidRPr="00D207EA" w:rsidRDefault="00C330EA" w:rsidP="00C330EA">
      <w:pPr>
        <w:pStyle w:val="Titrearticle"/>
        <w:rPr>
          <w:noProof/>
        </w:rPr>
      </w:pPr>
      <w:r w:rsidRPr="00D207EA">
        <w:rPr>
          <w:noProof/>
        </w:rPr>
        <w:t>Article 26</w:t>
      </w:r>
      <w:r w:rsidRPr="00D207EA">
        <w:rPr>
          <w:noProof/>
        </w:rPr>
        <w:br/>
      </w:r>
      <w:r w:rsidRPr="00D207EA">
        <w:rPr>
          <w:b/>
          <w:noProof/>
        </w:rPr>
        <w:t>Dispositions générales relatives à la mise en œuvre de la Facilité de l’UE</w:t>
      </w:r>
    </w:p>
    <w:p w14:paraId="53ED34C2" w14:textId="054CD62B" w:rsidR="002A6515" w:rsidRPr="00D207EA" w:rsidRDefault="002A6515" w:rsidP="00C21519">
      <w:pPr>
        <w:pStyle w:val="NumPar10000000"/>
        <w:numPr>
          <w:ilvl w:val="0"/>
          <w:numId w:val="145"/>
        </w:numPr>
        <w:rPr>
          <w:noProof/>
        </w:rPr>
      </w:pPr>
      <w:r w:rsidRPr="00D207EA">
        <w:rPr>
          <w:noProof/>
        </w:rPr>
        <w:t>Le montant visé à l’article 10, paragraphe 2, point b), [Budget] est alloué par l’intermédiaire de la Facilité.</w:t>
      </w:r>
    </w:p>
    <w:p w14:paraId="4E0DCDEB" w14:textId="77777777" w:rsidR="002A6515" w:rsidRPr="00D207EA" w:rsidRDefault="002A6515" w:rsidP="00C21519">
      <w:pPr>
        <w:pStyle w:val="NumPar10000000"/>
        <w:numPr>
          <w:ilvl w:val="0"/>
          <w:numId w:val="119"/>
        </w:numPr>
        <w:rPr>
          <w:noProof/>
          <w:color w:val="000000" w:themeColor="text1"/>
        </w:rPr>
      </w:pPr>
      <w:r w:rsidRPr="00D207EA">
        <w:rPr>
          <w:noProof/>
        </w:rPr>
        <w:t>Il est mis en œuvre en gestion partagée, directe ou indirecte, comme indiqué dans la décision de financement adoptée conformément à l’article 31, paragraphe 1.</w:t>
      </w:r>
    </w:p>
    <w:p w14:paraId="02A1893D" w14:textId="77777777" w:rsidR="002A6515" w:rsidRPr="00D207EA" w:rsidRDefault="002A6515" w:rsidP="00C21519">
      <w:pPr>
        <w:pStyle w:val="NumPar10000000"/>
        <w:numPr>
          <w:ilvl w:val="0"/>
          <w:numId w:val="119"/>
        </w:numPr>
        <w:rPr>
          <w:noProof/>
        </w:rPr>
      </w:pPr>
      <w:r w:rsidRPr="00D207EA">
        <w:rPr>
          <w:noProof/>
        </w:rPr>
        <w:t>La Facilité</w:t>
      </w:r>
      <w:r w:rsidRPr="00D207EA">
        <w:rPr>
          <w:noProof/>
          <w:color w:val="000000" w:themeColor="text1"/>
        </w:rPr>
        <w:t xml:space="preserve"> peut fournir un financement </w:t>
      </w:r>
      <w:r w:rsidRPr="00D207EA">
        <w:rPr>
          <w:noProof/>
        </w:rPr>
        <w:t>sous quelque forme que ce soit conformément au règlement (UE, Euratom) 2024/2509.</w:t>
      </w:r>
      <w:r w:rsidRPr="00D207EA">
        <w:rPr>
          <w:noProof/>
          <w:color w:val="000000" w:themeColor="text1"/>
        </w:rPr>
        <w:t xml:space="preserve"> </w:t>
      </w:r>
      <w:r w:rsidRPr="00D207EA">
        <w:rPr>
          <w:noProof/>
        </w:rPr>
        <w:t>Elle peut prendre la forme de subventions accordées directement à des organismes dans le cadre de l’article 70 du règlement (UE, Euratom) 2024/2509. Les subventions mises en œuvre en gestion directe sont octroyées et gérées conformément au titre VIII dudit règlement. La Facilité peut également fournir un financement sous forme de garanties budgétaires et d’instruments financiers, y compris lorsqu’ils sont combinés à des subventions ou à d’autres formes de soutien non remboursable dans le cadre d’opérations de mixage d’instruments financiers.</w:t>
      </w:r>
    </w:p>
    <w:p w14:paraId="0A1AACF9" w14:textId="77777777" w:rsidR="002A6515" w:rsidRPr="00D207EA" w:rsidRDefault="002A6515" w:rsidP="00C21519">
      <w:pPr>
        <w:pStyle w:val="NumPar10000000"/>
        <w:numPr>
          <w:ilvl w:val="0"/>
          <w:numId w:val="119"/>
        </w:numPr>
        <w:rPr>
          <w:noProof/>
        </w:rPr>
      </w:pPr>
      <w:r w:rsidRPr="00D207EA">
        <w:rPr>
          <w:noProof/>
        </w:rPr>
        <w:t>Les financements provenant de la Facilité sont utilisés pour ses composantes, qui sont les suivantes:</w:t>
      </w:r>
    </w:p>
    <w:p w14:paraId="3C6A8EB2" w14:textId="6F92FF06" w:rsidR="002A6515" w:rsidRPr="00D207EA" w:rsidRDefault="008D666E" w:rsidP="008D666E">
      <w:pPr>
        <w:pStyle w:val="Point10"/>
        <w:rPr>
          <w:noProof/>
        </w:rPr>
      </w:pPr>
      <w:r w:rsidRPr="008D666E">
        <w:rPr>
          <w:noProof/>
        </w:rPr>
        <w:t>(a)</w:t>
      </w:r>
      <w:r w:rsidRPr="008D666E">
        <w:rPr>
          <w:noProof/>
        </w:rPr>
        <w:tab/>
      </w:r>
      <w:r w:rsidR="009E0B99" w:rsidRPr="00D207EA">
        <w:rPr>
          <w:noProof/>
        </w:rPr>
        <w:t>63 223 000 000 EUR pour les actions de l’Union, y compris le filet de sécurité unitaire visé au paragraphe 1, point j), de l’annexe XV [actions de l’Union], les actions de l’Union visées au paragraphe 1, point l), de l’annexe XV (actions de l’Union soutenues par la Facilité de l’UE, actions dans le domaine des affaires intérieures), les actions LIFE de soutien visées au paragraphe 1, point n), de l’annexe XV [actions de l’Union], les actions de solidarité visées au paragraphe 1, point i), de l’annexe XV [actions de l’Union], soutenues par la Facilité de l’UE;</w:t>
      </w:r>
    </w:p>
    <w:p w14:paraId="5EF12303" w14:textId="0560D9DF" w:rsidR="002A6515" w:rsidRPr="00D207EA" w:rsidRDefault="008D666E" w:rsidP="008D666E">
      <w:pPr>
        <w:pStyle w:val="Point10"/>
        <w:rPr>
          <w:noProof/>
        </w:rPr>
      </w:pPr>
      <w:r w:rsidRPr="008D666E">
        <w:rPr>
          <w:noProof/>
        </w:rPr>
        <w:t>(b)</w:t>
      </w:r>
      <w:r w:rsidRPr="008D666E">
        <w:rPr>
          <w:noProof/>
        </w:rPr>
        <w:tab/>
      </w:r>
      <w:r w:rsidR="009E0B99" w:rsidRPr="00D207EA">
        <w:rPr>
          <w:noProof/>
        </w:rPr>
        <w:t>8 710 000 000 EUR pour la réserve destinée aux priorités et défis émergents (la «réserve budgétaire»).</w:t>
      </w:r>
    </w:p>
    <w:p w14:paraId="63D90B45" w14:textId="6FC0D010" w:rsidR="002A6515" w:rsidRPr="00D207EA" w:rsidRDefault="002A6515" w:rsidP="00C21519">
      <w:pPr>
        <w:pStyle w:val="NumPar10000000"/>
        <w:numPr>
          <w:ilvl w:val="0"/>
          <w:numId w:val="119"/>
        </w:numPr>
        <w:rPr>
          <w:noProof/>
        </w:rPr>
      </w:pPr>
      <w:r w:rsidRPr="00D207EA">
        <w:rPr>
          <w:noProof/>
        </w:rPr>
        <w:t>La Commission établit le montant global à mettre à la disposition de la Facilité dans le cadre des crédits annuels du budget de l’Union.</w:t>
      </w:r>
    </w:p>
    <w:p w14:paraId="18924676" w14:textId="52FAE89A" w:rsidR="002A6515" w:rsidRPr="00D207EA" w:rsidRDefault="002A6515" w:rsidP="00C21519">
      <w:pPr>
        <w:pStyle w:val="NumPar10000000"/>
        <w:numPr>
          <w:ilvl w:val="0"/>
          <w:numId w:val="119"/>
        </w:numPr>
        <w:rPr>
          <w:noProof/>
          <w:color w:val="000000" w:themeColor="text1"/>
        </w:rPr>
      </w:pPr>
      <w:r w:rsidRPr="00D207EA">
        <w:rPr>
          <w:noProof/>
        </w:rPr>
        <w:t xml:space="preserve">Les actions de l’Union visées au paragraphe 1, point c), de l’annexe XV [Actions de l’Union soutenues par la Facilité de l’UE, volet d’action «investissements sociaux et compétences»] sont mises en œuvre conformément aux paragraphes 7, 8 et 9 du présent article et à l’article 27 </w:t>
      </w:r>
      <w:r w:rsidRPr="00D207EA">
        <w:rPr>
          <w:noProof/>
          <w:color w:val="000000" w:themeColor="text1"/>
        </w:rPr>
        <w:t>[Mise en œuvre sous forme de garanties budgétaires, d’instruments financiers et d’opérations de mixage].</w:t>
      </w:r>
    </w:p>
    <w:p w14:paraId="3EA5E207" w14:textId="77777777" w:rsidR="002A6515" w:rsidRPr="00D207EA" w:rsidRDefault="002A6515" w:rsidP="00333BA9">
      <w:pPr>
        <w:pStyle w:val="Text1"/>
        <w:rPr>
          <w:noProof/>
        </w:rPr>
      </w:pPr>
      <w:r w:rsidRPr="00D207EA">
        <w:rPr>
          <w:noProof/>
          <w:color w:val="000000" w:themeColor="text1"/>
        </w:rPr>
        <w:t>Les articles 21 à 25 [Instrument InvestEU – Fonds européen pour la compétitivité], l’article 14 [Gouvernance et conseils consultatifs], l’</w:t>
      </w:r>
      <w:r w:rsidRPr="00D207EA">
        <w:rPr>
          <w:noProof/>
        </w:rPr>
        <w:t>article 1</w:t>
      </w:r>
      <w:r w:rsidRPr="00D207EA">
        <w:rPr>
          <w:noProof/>
          <w:vertAlign w:val="superscript"/>
        </w:rPr>
        <w:t>er</w:t>
      </w:r>
      <w:r w:rsidRPr="00D207EA">
        <w:rPr>
          <w:noProof/>
        </w:rPr>
        <w:t xml:space="preserve"> [Objet], l’article 31 [Accès au financement de l’Union], l’article 26 [Services de conseil] et l’article 28 [Soutien aux entreprises] du règlement [Fonds européen pour la compétitivité] s’appliquent à la mise en œuvre de ces actions de l’Union.</w:t>
      </w:r>
    </w:p>
    <w:p w14:paraId="7CDCF31E" w14:textId="3F82133A" w:rsidR="002A6515" w:rsidRPr="00D207EA" w:rsidRDefault="002A6515" w:rsidP="00C21519">
      <w:pPr>
        <w:pStyle w:val="NumPar10000000"/>
        <w:numPr>
          <w:ilvl w:val="0"/>
          <w:numId w:val="119"/>
        </w:numPr>
        <w:rPr>
          <w:noProof/>
          <w:color w:val="000000" w:themeColor="text1"/>
        </w:rPr>
      </w:pPr>
      <w:r w:rsidRPr="00D207EA">
        <w:rPr>
          <w:noProof/>
          <w:color w:val="000000" w:themeColor="text1"/>
        </w:rPr>
        <w:t xml:space="preserve">Aux fins des </w:t>
      </w:r>
      <w:r w:rsidRPr="00D207EA">
        <w:rPr>
          <w:noProof/>
        </w:rPr>
        <w:t>actions de l’Union visées à l’annexe XV, paragraphe 1, point c),</w:t>
      </w:r>
      <w:r w:rsidR="00DC333C" w:rsidRPr="00D207EA">
        <w:rPr>
          <w:noProof/>
        </w:rPr>
        <w:t xml:space="preserve"> </w:t>
      </w:r>
      <w:r w:rsidRPr="00D207EA">
        <w:rPr>
          <w:noProof/>
          <w:color w:val="000000" w:themeColor="text1"/>
        </w:rPr>
        <w:t>l’enveloppe financière de la Facilité est utilisée pour provisionner le montant correspondant de la garantie budgétaire établie par le [règlement relatif au Fonds européen pour la compétitivité].</w:t>
      </w:r>
    </w:p>
    <w:p w14:paraId="4367B82A" w14:textId="77777777" w:rsidR="00F27F86" w:rsidRPr="00D207EA" w:rsidRDefault="002A6515" w:rsidP="00C21519">
      <w:pPr>
        <w:pStyle w:val="NumPar10000000"/>
        <w:numPr>
          <w:ilvl w:val="0"/>
          <w:numId w:val="119"/>
        </w:numPr>
        <w:rPr>
          <w:noProof/>
          <w:color w:val="000000" w:themeColor="text1"/>
        </w:rPr>
      </w:pPr>
      <w:r w:rsidRPr="00D207EA">
        <w:rPr>
          <w:noProof/>
          <w:color w:val="000000" w:themeColor="text1"/>
        </w:rPr>
        <w:t>Conformément à l’article 214, paragraphe 2, du règlement (UE, Euratom) 2024/2509, le provisionnement visé au paragraphe 7 est constitué jusqu’en [2037] et tient compte de l’état d’avancement de l’approbation et de la signature des opérations de financement et d’investissement soutenant les objectifs de la Facilité.</w:t>
      </w:r>
    </w:p>
    <w:p w14:paraId="7D10FD3E" w14:textId="7EBA4045" w:rsidR="00F27F86" w:rsidRPr="00D207EA" w:rsidRDefault="002A6515" w:rsidP="00C21519">
      <w:pPr>
        <w:pStyle w:val="NumPar10000000"/>
        <w:numPr>
          <w:ilvl w:val="0"/>
          <w:numId w:val="119"/>
        </w:numPr>
        <w:rPr>
          <w:noProof/>
          <w:color w:val="000000" w:themeColor="text1"/>
        </w:rPr>
      </w:pPr>
      <w:r w:rsidRPr="00D207EA">
        <w:rPr>
          <w:noProof/>
        </w:rPr>
        <w:t>Les États membres, les institutions, organes et organismes de l’Union, les pays tiers, les organisations internationales, les institutions financières internationales ou d’autres tiers peuvent apporter des contributions financières ou non financières supplémentaires à la Facilité. Les contributions financières constituent des recettes affectées externes au sens de l’article 21, paragraphe 2, points a), d) ou e), ou de l’article 21, paragraphe 5, du règlement (UE, Euratom) 2024/2509.</w:t>
      </w:r>
    </w:p>
    <w:p w14:paraId="0FD03980" w14:textId="77777777" w:rsidR="002A6515" w:rsidRPr="00D207EA" w:rsidRDefault="002A6515" w:rsidP="00C21519">
      <w:pPr>
        <w:pStyle w:val="NumPar10000000"/>
        <w:numPr>
          <w:ilvl w:val="0"/>
          <w:numId w:val="119"/>
        </w:numPr>
        <w:rPr>
          <w:noProof/>
        </w:rPr>
      </w:pPr>
      <w:r w:rsidRPr="00D207EA">
        <w:rPr>
          <w:noProof/>
        </w:rPr>
        <w:t>Par dérogation aux articles 63 et 64 [collecte et enregistrement des données et transparence], lorsque la Facilité est mise en œuvre en gestion directe ou indirecte, les règles énoncées à l’article 36, paragraphes 6 et 10, et à l’article 38 du règlement (UE, Euratom) 2024/2509 s’appliquent.</w:t>
      </w:r>
    </w:p>
    <w:p w14:paraId="423A8E49" w14:textId="77777777" w:rsidR="00184A5F" w:rsidRPr="00D207EA" w:rsidRDefault="6CDECD9B" w:rsidP="00C21519">
      <w:pPr>
        <w:pStyle w:val="NumPar10000000"/>
        <w:numPr>
          <w:ilvl w:val="0"/>
          <w:numId w:val="119"/>
        </w:numPr>
        <w:rPr>
          <w:noProof/>
        </w:rPr>
      </w:pPr>
      <w:r w:rsidRPr="00D207EA">
        <w:rPr>
          <w:noProof/>
        </w:rPr>
        <w:t>L’instrument peut apporter le soutien de l’Union à des actions menées dans des pays tiers ou en relation avec eux, pour autant que ces actions contribuent aux objectifs énoncés aux articles 2 et 3 du présent règlement, à l’article 3 du règlement [asile et migration], à l’article 3 du règlement [frontières et visas] et à l’article 3 du règlement [sécurité intérieure]. Ces actions servent les intérêts des politiques internes de l’Union et sont conformes aux activités entreprises au sein de l’Union.</w:t>
      </w:r>
    </w:p>
    <w:p w14:paraId="5B71557E" w14:textId="77777777" w:rsidR="00C330EA" w:rsidRPr="00D207EA" w:rsidRDefault="00C330EA" w:rsidP="00C330EA">
      <w:pPr>
        <w:pStyle w:val="Titrearticle"/>
        <w:rPr>
          <w:noProof/>
        </w:rPr>
      </w:pPr>
      <w:r w:rsidRPr="00D207EA">
        <w:rPr>
          <w:noProof/>
        </w:rPr>
        <w:t>Article 27</w:t>
      </w:r>
      <w:r w:rsidRPr="00D207EA">
        <w:rPr>
          <w:noProof/>
        </w:rPr>
        <w:br/>
      </w:r>
      <w:r w:rsidRPr="00D207EA">
        <w:rPr>
          <w:b/>
          <w:noProof/>
        </w:rPr>
        <w:t>Mise en œuvre sous forme de garanties budgétaires, d’instruments financiers et d’opérations de mixage</w:t>
      </w:r>
    </w:p>
    <w:p w14:paraId="25E9ADD9" w14:textId="77777777" w:rsidR="002A6515" w:rsidRPr="00D207EA" w:rsidRDefault="002A6515" w:rsidP="00C21519">
      <w:pPr>
        <w:pStyle w:val="NumPar10000000"/>
        <w:numPr>
          <w:ilvl w:val="0"/>
          <w:numId w:val="133"/>
        </w:numPr>
        <w:rPr>
          <w:noProof/>
        </w:rPr>
      </w:pPr>
      <w:r w:rsidRPr="00D207EA">
        <w:rPr>
          <w:noProof/>
        </w:rPr>
        <w:t>La garantie budgétaire et les instruments financiers, y compris lorsqu’ils sont combinés à des subventions ou à d’autres formes de soutien non remboursable dans le cadre d’opérations de mixage, au titre de la Facilité, sont mis en œuvre conformément au titre X du règlement (UE, Euratom) 2024/2509.</w:t>
      </w:r>
    </w:p>
    <w:p w14:paraId="10BF26F7" w14:textId="4A409F96" w:rsidR="002A6515" w:rsidRPr="00D207EA" w:rsidRDefault="002A6515" w:rsidP="00C21519">
      <w:pPr>
        <w:pStyle w:val="NumPar10000000"/>
        <w:numPr>
          <w:ilvl w:val="0"/>
          <w:numId w:val="119"/>
        </w:numPr>
        <w:rPr>
          <w:noProof/>
        </w:rPr>
      </w:pPr>
      <w:r w:rsidRPr="00D207EA">
        <w:rPr>
          <w:noProof/>
        </w:rPr>
        <w:t>Par dérogation à l’article 211, paragraphe 5, du règlement (UE, Euratom) 2024/2509, lorsque des instruments financiers ou des garanties budgétaires sont mis en œuvre en gestion indirecte, la Commission conclut des accords avec des entités conformément à l’article 62, paragraphe 1, premier alinéa, point c), dudit règlement.</w:t>
      </w:r>
    </w:p>
    <w:p w14:paraId="10469000" w14:textId="2C371589" w:rsidR="002A6515" w:rsidRPr="00D207EA" w:rsidRDefault="002A6515" w:rsidP="00C21519">
      <w:pPr>
        <w:pStyle w:val="NumPar10000000"/>
        <w:numPr>
          <w:ilvl w:val="0"/>
          <w:numId w:val="119"/>
        </w:numPr>
        <w:rPr>
          <w:noProof/>
        </w:rPr>
      </w:pPr>
      <w:r w:rsidRPr="00D207EA">
        <w:rPr>
          <w:noProof/>
        </w:rPr>
        <w:t>Lorsque la décision de financement mettant en œuvre la Facilité prévoit un financement de l’Union sous la forme d’une garantie budgétaire, elle utilise la garantie budgétaire établie par le règlement XX [règlement relatif au Fonds européen pour la compétitivité] dans les limites de son montant maximal.</w:t>
      </w:r>
    </w:p>
    <w:p w14:paraId="7E0F014D" w14:textId="4BDE52F9" w:rsidR="002A6515" w:rsidRPr="00D207EA" w:rsidRDefault="002A6515" w:rsidP="00C21519">
      <w:pPr>
        <w:pStyle w:val="NumPar10000000"/>
        <w:numPr>
          <w:ilvl w:val="0"/>
          <w:numId w:val="119"/>
        </w:numPr>
        <w:rPr>
          <w:noProof/>
        </w:rPr>
      </w:pPr>
      <w:r w:rsidRPr="00D207EA">
        <w:rPr>
          <w:noProof/>
        </w:rPr>
        <w:t>Sans préjudice de l’article 26, paragraphe 9, des contributions spécifiques à la garantie budgétaire établie par le [Fonds européen pour la compétitivité] ou à des instruments financiers peuvent être apportées par les États membres, les pays tiers et d’autres tiers conformément à l’article 211, paragraphe 2, et à l’article 221, paragraphe 2, du règlement (UE, Euratom) 2024/2509. Ces contributions à la garantie budgétaire donnent lieu à un montant supplémentaire de la garantie budgétaire.</w:t>
      </w:r>
    </w:p>
    <w:p w14:paraId="20B1D4BF" w14:textId="5841ECA7" w:rsidR="002A6515" w:rsidRPr="00D207EA" w:rsidRDefault="002A6515" w:rsidP="00333BA9">
      <w:pPr>
        <w:pStyle w:val="Text1"/>
        <w:rPr>
          <w:noProof/>
        </w:rPr>
      </w:pPr>
      <w:r w:rsidRPr="00D207EA">
        <w:rPr>
          <w:noProof/>
        </w:rPr>
        <w:t>Lorsque ces contributions sont effectuées sous forme de liquidités, elles constituent des recettes affectées externes au sens de l’article 21, paragraphe 2, points a), d) ou e), et paragraphe 5, du règlement (UE, Euratom) 2024/2509.</w:t>
      </w:r>
    </w:p>
    <w:p w14:paraId="613B5AE8" w14:textId="77777777" w:rsidR="002A6515" w:rsidRPr="00D207EA" w:rsidRDefault="002A6515" w:rsidP="00C21519">
      <w:pPr>
        <w:pStyle w:val="NumPar10000000"/>
        <w:numPr>
          <w:ilvl w:val="0"/>
          <w:numId w:val="119"/>
        </w:numPr>
        <w:rPr>
          <w:noProof/>
        </w:rPr>
      </w:pPr>
      <w:r w:rsidRPr="00D207EA">
        <w:rPr>
          <w:noProof/>
        </w:rPr>
        <w:t>La Commission accorde la garantie budgétaire ou confie la mise en œuvre des instruments financiers et des opérations de mixage au moyen de conventions de contribution ou de conventions de garantie conclues au titre du règlement [règlement relatif au Fonds européen pour la compétitivité] avec les entités visées à l’article 62, paragraphe 1, premier alinéa, point c), du règlement (UE, Euratom) 2024/2509, conformément aux règles du règlement [règlement relatif au Fonds européen pour la compétitivité].</w:t>
      </w:r>
    </w:p>
    <w:p w14:paraId="3D1B66F9" w14:textId="77777777" w:rsidR="002A6515" w:rsidRPr="00D207EA" w:rsidRDefault="002A6515" w:rsidP="008C5B15">
      <w:pPr>
        <w:pStyle w:val="Text1"/>
        <w:rPr>
          <w:noProof/>
        </w:rPr>
      </w:pPr>
      <w:r w:rsidRPr="00D207EA">
        <w:rPr>
          <w:noProof/>
          <w:color w:val="000000" w:themeColor="text1"/>
        </w:rPr>
        <w:t xml:space="preserve">Nonobstant le premier alinéa, la Commission </w:t>
      </w:r>
      <w:r w:rsidRPr="00D207EA">
        <w:rPr>
          <w:noProof/>
        </w:rPr>
        <w:t>peut conclure des conventions de contribution ou de garantie distinctes avec d’autres entités que celles visées à cet alinéa, conformément aux règles du règlement [règlement relatif au Fonds européen pour la compétitivité].</w:t>
      </w:r>
    </w:p>
    <w:p w14:paraId="5F4A3F7D" w14:textId="44AD2934" w:rsidR="002B22AA" w:rsidRPr="00D207EA" w:rsidRDefault="002B22AA" w:rsidP="004816AA">
      <w:pPr>
        <w:pStyle w:val="Titlearticle"/>
        <w:rPr>
          <w:rFonts w:eastAsiaTheme="majorEastAsia"/>
          <w:noProof/>
        </w:rPr>
      </w:pPr>
      <w:r w:rsidRPr="00D207EA">
        <w:rPr>
          <w:rStyle w:val="normaltextrun"/>
          <w:noProof/>
        </w:rPr>
        <w:t>Article 28</w:t>
      </w:r>
      <w:r w:rsidRPr="00D207EA">
        <w:rPr>
          <w:rStyle w:val="normaltextrun"/>
          <w:noProof/>
        </w:rPr>
        <w:br/>
      </w:r>
      <w:r w:rsidRPr="00D207EA">
        <w:rPr>
          <w:rStyle w:val="normaltextrun"/>
          <w:b/>
          <w:noProof/>
        </w:rPr>
        <w:t>Pays tiers associés</w:t>
      </w:r>
    </w:p>
    <w:p w14:paraId="3E7280DE" w14:textId="535D1B31" w:rsidR="002B22AA" w:rsidRPr="00D207EA" w:rsidRDefault="002B22AA" w:rsidP="00C21519">
      <w:pPr>
        <w:pStyle w:val="NumPar10000000"/>
        <w:numPr>
          <w:ilvl w:val="0"/>
          <w:numId w:val="134"/>
        </w:numPr>
        <w:rPr>
          <w:rStyle w:val="eop"/>
          <w:rFonts w:eastAsiaTheme="majorEastAsia"/>
          <w:noProof/>
        </w:rPr>
      </w:pPr>
      <w:r w:rsidRPr="00D207EA">
        <w:rPr>
          <w:rStyle w:val="normaltextrun"/>
          <w:noProof/>
        </w:rPr>
        <w:t>La participation à la Facilité peut être ouverte aux pays tiers suivants au moyen d’une association complète ou partielle, conformément aux objectifs fixés aux articles 2 et 3 et aux accords internationaux pertinents ou à toute décision adoptée dans le cadre de ces accords et applicable aux pays suivants:</w:t>
      </w:r>
    </w:p>
    <w:p w14:paraId="49C6920D" w14:textId="31A79737" w:rsidR="002B22AA" w:rsidRPr="00D207EA" w:rsidRDefault="008D666E" w:rsidP="008D666E">
      <w:pPr>
        <w:pStyle w:val="Point10"/>
        <w:rPr>
          <w:noProof/>
        </w:rPr>
      </w:pPr>
      <w:r w:rsidRPr="008D666E">
        <w:rPr>
          <w:noProof/>
        </w:rPr>
        <w:t>(a)</w:t>
      </w:r>
      <w:r w:rsidRPr="008D666E">
        <w:rPr>
          <w:noProof/>
        </w:rPr>
        <w:tab/>
      </w:r>
      <w:r w:rsidR="002B22AA" w:rsidRPr="00D207EA">
        <w:rPr>
          <w:rStyle w:val="normaltextrun"/>
          <w:noProof/>
        </w:rPr>
        <w:t>les membres de l’Association européenne de libre-échange qui sont membres de l’Espace économique européen, ainsi que les micro</w:t>
      </w:r>
      <w:r w:rsidR="002B22AA" w:rsidRPr="00D207EA">
        <w:rPr>
          <w:rStyle w:val="normaltextrun"/>
          <w:noProof/>
        </w:rPr>
        <w:noBreakHyphen/>
        <w:t>États européens;</w:t>
      </w:r>
    </w:p>
    <w:p w14:paraId="61DDC88C" w14:textId="04404BC6" w:rsidR="002B22AA" w:rsidRPr="00D207EA" w:rsidRDefault="008D666E" w:rsidP="008D666E">
      <w:pPr>
        <w:pStyle w:val="Point10"/>
        <w:rPr>
          <w:noProof/>
        </w:rPr>
      </w:pPr>
      <w:r w:rsidRPr="008D666E">
        <w:rPr>
          <w:noProof/>
        </w:rPr>
        <w:t>(b)</w:t>
      </w:r>
      <w:r w:rsidRPr="008D666E">
        <w:rPr>
          <w:noProof/>
        </w:rPr>
        <w:tab/>
      </w:r>
      <w:r w:rsidR="002B22AA" w:rsidRPr="00D207EA">
        <w:rPr>
          <w:rStyle w:val="normaltextrun"/>
          <w:noProof/>
        </w:rPr>
        <w:t>les pays en voie d’adhésion, les pays candidats et les pays candidats potentiels; </w:t>
      </w:r>
      <w:r w:rsidR="002B22AA" w:rsidRPr="00D207EA">
        <w:rPr>
          <w:rStyle w:val="eop"/>
          <w:noProof/>
        </w:rPr>
        <w:t> </w:t>
      </w:r>
    </w:p>
    <w:p w14:paraId="14639C2C" w14:textId="2CE5BAE9" w:rsidR="002B22AA" w:rsidRPr="00D207EA" w:rsidRDefault="008D666E" w:rsidP="008D666E">
      <w:pPr>
        <w:pStyle w:val="Point10"/>
        <w:rPr>
          <w:noProof/>
        </w:rPr>
      </w:pPr>
      <w:r w:rsidRPr="008D666E">
        <w:rPr>
          <w:noProof/>
        </w:rPr>
        <w:t>(c)</w:t>
      </w:r>
      <w:r w:rsidRPr="008D666E">
        <w:rPr>
          <w:noProof/>
        </w:rPr>
        <w:tab/>
      </w:r>
      <w:r w:rsidR="002B22AA" w:rsidRPr="00D207EA">
        <w:rPr>
          <w:rStyle w:val="normaltextrun"/>
          <w:noProof/>
        </w:rPr>
        <w:t>les pays concernés par la politique européenne de voisinage;</w:t>
      </w:r>
    </w:p>
    <w:p w14:paraId="4C6AFA62" w14:textId="4A1BF07D" w:rsidR="002B22AA" w:rsidRPr="00D207EA" w:rsidRDefault="008D666E" w:rsidP="008D666E">
      <w:pPr>
        <w:pStyle w:val="Point10"/>
        <w:rPr>
          <w:noProof/>
        </w:rPr>
      </w:pPr>
      <w:r w:rsidRPr="008D666E">
        <w:rPr>
          <w:noProof/>
        </w:rPr>
        <w:t>(d)</w:t>
      </w:r>
      <w:r w:rsidRPr="008D666E">
        <w:rPr>
          <w:noProof/>
        </w:rPr>
        <w:tab/>
      </w:r>
      <w:r w:rsidR="002B22AA" w:rsidRPr="00D207EA">
        <w:rPr>
          <w:rStyle w:val="normaltextrun"/>
          <w:noProof/>
        </w:rPr>
        <w:t>d’autres pays tiers.</w:t>
      </w:r>
    </w:p>
    <w:p w14:paraId="3F14567F" w14:textId="464BEAF1" w:rsidR="002B22AA" w:rsidRPr="00D207EA" w:rsidRDefault="002B22AA" w:rsidP="00C21519">
      <w:pPr>
        <w:pStyle w:val="NumPar10000000"/>
        <w:numPr>
          <w:ilvl w:val="0"/>
          <w:numId w:val="119"/>
        </w:numPr>
        <w:rPr>
          <w:noProof/>
        </w:rPr>
      </w:pPr>
      <w:r w:rsidRPr="00D207EA">
        <w:rPr>
          <w:rStyle w:val="normaltextrun"/>
          <w:noProof/>
        </w:rPr>
        <w:t>Les accords d’association pour la participation au programme:</w:t>
      </w:r>
    </w:p>
    <w:p w14:paraId="0A471843" w14:textId="4E23AFCB" w:rsidR="002B22AA" w:rsidRPr="00D207EA" w:rsidRDefault="008D666E" w:rsidP="008D666E">
      <w:pPr>
        <w:pStyle w:val="Point10"/>
        <w:rPr>
          <w:noProof/>
        </w:rPr>
      </w:pPr>
      <w:r w:rsidRPr="008D666E">
        <w:rPr>
          <w:noProof/>
        </w:rPr>
        <w:t>(a)</w:t>
      </w:r>
      <w:r w:rsidRPr="008D666E">
        <w:rPr>
          <w:noProof/>
        </w:rPr>
        <w:tab/>
      </w:r>
      <w:r w:rsidR="002B22AA" w:rsidRPr="00D207EA">
        <w:rPr>
          <w:rStyle w:val="normaltextrun"/>
          <w:noProof/>
        </w:rPr>
        <w:t>assurent un juste équilibre en ce qui concerne les contributions du pays tiers participant aux programmes de l’Union et les bénéfices qu’il en retire;</w:t>
      </w:r>
    </w:p>
    <w:p w14:paraId="647A78D0" w14:textId="0D213610" w:rsidR="002B22AA" w:rsidRPr="00D207EA" w:rsidRDefault="008D666E" w:rsidP="008D666E">
      <w:pPr>
        <w:pStyle w:val="Point10"/>
        <w:rPr>
          <w:noProof/>
        </w:rPr>
      </w:pPr>
      <w:r w:rsidRPr="008D666E">
        <w:rPr>
          <w:noProof/>
        </w:rPr>
        <w:t>(b)</w:t>
      </w:r>
      <w:r w:rsidRPr="008D666E">
        <w:rPr>
          <w:noProof/>
        </w:rPr>
        <w:tab/>
      </w:r>
      <w:r w:rsidR="002B22AA" w:rsidRPr="00D207EA">
        <w:rPr>
          <w:rStyle w:val="normaltextrun"/>
          <w:noProof/>
        </w:rPr>
        <w:t>établissent les conditions de la participation aux programmes, notamment le calcul des contributions financières, qui consistent en une contribution opérationnelle et en des droits de participation, à un programme et à ses coûts administratifs généraux;</w:t>
      </w:r>
    </w:p>
    <w:p w14:paraId="49799F6D" w14:textId="6C763020" w:rsidR="002B22AA" w:rsidRPr="00D207EA" w:rsidRDefault="008D666E" w:rsidP="008D666E">
      <w:pPr>
        <w:pStyle w:val="Point10"/>
        <w:rPr>
          <w:noProof/>
        </w:rPr>
      </w:pPr>
      <w:r w:rsidRPr="008D666E">
        <w:rPr>
          <w:noProof/>
        </w:rPr>
        <w:t>(c)</w:t>
      </w:r>
      <w:r w:rsidRPr="008D666E">
        <w:rPr>
          <w:noProof/>
        </w:rPr>
        <w:tab/>
      </w:r>
      <w:r w:rsidR="002B22AA" w:rsidRPr="00D207EA">
        <w:rPr>
          <w:rStyle w:val="normaltextrun"/>
          <w:noProof/>
        </w:rPr>
        <w:t>ne confèrent au pays tiers aucun pouvoir de décision dans le cadre du programme;</w:t>
      </w:r>
    </w:p>
    <w:p w14:paraId="59E5E699" w14:textId="139594B2" w:rsidR="002B22AA" w:rsidRPr="00D207EA" w:rsidRDefault="008D666E" w:rsidP="008D666E">
      <w:pPr>
        <w:pStyle w:val="Point10"/>
        <w:rPr>
          <w:noProof/>
        </w:rPr>
      </w:pPr>
      <w:r w:rsidRPr="008D666E">
        <w:rPr>
          <w:noProof/>
        </w:rPr>
        <w:t>(d)</w:t>
      </w:r>
      <w:r w:rsidRPr="008D666E">
        <w:rPr>
          <w:noProof/>
        </w:rPr>
        <w:tab/>
      </w:r>
      <w:r w:rsidR="002B22AA" w:rsidRPr="00D207EA">
        <w:rPr>
          <w:rStyle w:val="normaltextrun"/>
          <w:noProof/>
        </w:rPr>
        <w:t>garantissent les droits dont dispose l’Union de veiller à la bonne gestion financière et de protéger ses intérêts financiers; Le pays tiers accorde les droits et accès nécessaires requis en vertu du règlement (UE, Euratom) 2024/2509 et du règlement (UE, Euratom) nº 883/2013 et garantit que les décisions d’exécution imposant une obligation pécuniaire sur la base de l’article 299 du traité FUE, ainsi que les arrêts et ordonnances de la Cour de justice de l’Union européenne, sont directement exécutoires;</w:t>
      </w:r>
    </w:p>
    <w:p w14:paraId="63CC58CA" w14:textId="78814DE0" w:rsidR="002B22AA" w:rsidRPr="00D207EA" w:rsidRDefault="008D666E" w:rsidP="008D666E">
      <w:pPr>
        <w:pStyle w:val="Point10"/>
        <w:rPr>
          <w:noProof/>
        </w:rPr>
      </w:pPr>
      <w:r w:rsidRPr="008D666E">
        <w:rPr>
          <w:noProof/>
        </w:rPr>
        <w:t>(e)</w:t>
      </w:r>
      <w:r w:rsidRPr="008D666E">
        <w:rPr>
          <w:noProof/>
        </w:rPr>
        <w:tab/>
      </w:r>
      <w:r w:rsidR="002B22AA" w:rsidRPr="00D207EA">
        <w:rPr>
          <w:rStyle w:val="normaltextrun"/>
          <w:noProof/>
        </w:rPr>
        <w:t>assurent, le cas échéant, la protection des intérêts de l’Union en matière de sécurité et d’ordre public.</w:t>
      </w:r>
    </w:p>
    <w:p w14:paraId="31773C16" w14:textId="77777777" w:rsidR="00A067F1" w:rsidRPr="00D207EA" w:rsidRDefault="002B22AA" w:rsidP="00C21519">
      <w:pPr>
        <w:pStyle w:val="NumPar10000000"/>
        <w:numPr>
          <w:ilvl w:val="0"/>
          <w:numId w:val="119"/>
        </w:numPr>
        <w:rPr>
          <w:rStyle w:val="normaltextrun"/>
          <w:rFonts w:eastAsiaTheme="minorEastAsia"/>
          <w:noProof/>
        </w:rPr>
      </w:pPr>
      <w:r w:rsidRPr="00D207EA">
        <w:rPr>
          <w:noProof/>
        </w:rPr>
        <w:t>Par dérogation au paragraphe 1, la participation des pays tiers est exclue en ce qui concerne les mesures contribuant aux objectifs spécifiques énoncés à l’article 3, points d), i), ii) et iii).</w:t>
      </w:r>
    </w:p>
    <w:p w14:paraId="4648F7C0" w14:textId="77777777" w:rsidR="00A067F1" w:rsidRPr="00D207EA" w:rsidRDefault="00A067F1" w:rsidP="008C57CF">
      <w:pPr>
        <w:pStyle w:val="Titrearticle"/>
        <w:rPr>
          <w:rFonts w:ascii="Segoe UI" w:hAnsi="Segoe UI" w:cs="Segoe UI"/>
          <w:noProof/>
          <w:sz w:val="18"/>
          <w:szCs w:val="18"/>
        </w:rPr>
      </w:pPr>
      <w:r w:rsidRPr="00D207EA">
        <w:rPr>
          <w:rStyle w:val="normaltextrun"/>
          <w:noProof/>
        </w:rPr>
        <w:t>Article 29</w:t>
      </w:r>
      <w:r w:rsidRPr="00D207EA">
        <w:rPr>
          <w:noProof/>
        </w:rPr>
        <w:br/>
      </w:r>
      <w:r w:rsidRPr="00D207EA">
        <w:rPr>
          <w:rStyle w:val="normaltextrun"/>
          <w:b/>
          <w:noProof/>
        </w:rPr>
        <w:t>Soutien aux activités dans les pays tiers ou en relation avec eux</w:t>
      </w:r>
    </w:p>
    <w:p w14:paraId="78555FD5" w14:textId="57ECFE98" w:rsidR="00A067F1" w:rsidRPr="00D207EA" w:rsidRDefault="00A067F1" w:rsidP="0011113C">
      <w:pPr>
        <w:rPr>
          <w:noProof/>
        </w:rPr>
      </w:pPr>
      <w:r w:rsidRPr="00D207EA">
        <w:rPr>
          <w:rStyle w:val="normaltextrun"/>
          <w:noProof/>
        </w:rPr>
        <w:t>Un soutien de l’Union peut être apporté à des actions dans des pays tiers ou en relation avec eux, pour autant que ces actions contribuent aux objectifs énoncés à l’article 3 [Objectifs spécifiques]. Ces actions servent les intérêts des politiques internes de l’Union et sont conformes aux activités entreprises au sein de l’Union.</w:t>
      </w:r>
    </w:p>
    <w:p w14:paraId="7E4A5B79" w14:textId="77777777" w:rsidR="00C330EA" w:rsidRPr="00D207EA" w:rsidRDefault="00C330EA" w:rsidP="00C330EA">
      <w:pPr>
        <w:pStyle w:val="Titrearticle"/>
        <w:rPr>
          <w:b/>
          <w:bCs/>
          <w:noProof/>
        </w:rPr>
      </w:pPr>
      <w:r w:rsidRPr="00D207EA">
        <w:rPr>
          <w:noProof/>
        </w:rPr>
        <w:t>Article 30</w:t>
      </w:r>
      <w:r w:rsidRPr="00D207EA">
        <w:rPr>
          <w:noProof/>
        </w:rPr>
        <w:br/>
      </w:r>
      <w:r w:rsidRPr="00D207EA">
        <w:rPr>
          <w:b/>
          <w:noProof/>
        </w:rPr>
        <w:t>Entités éligibles en gestion directe et indirecte</w:t>
      </w:r>
    </w:p>
    <w:p w14:paraId="05A41CC8" w14:textId="77777777" w:rsidR="00FB2087" w:rsidRPr="00D207EA" w:rsidRDefault="00FB2087" w:rsidP="00C21519">
      <w:pPr>
        <w:pStyle w:val="NumPar10000000"/>
        <w:numPr>
          <w:ilvl w:val="0"/>
          <w:numId w:val="135"/>
        </w:numPr>
        <w:rPr>
          <w:noProof/>
        </w:rPr>
      </w:pPr>
      <w:r w:rsidRPr="00D207EA">
        <w:rPr>
          <w:noProof/>
        </w:rPr>
        <w:t xml:space="preserve">Dans le cadre des procédures d’attribution de subventions, de prix, d’instruments financiers et de mixage en gestion directe et indirecte, les entités juridiques suivantes peuvent être éligibles à un financement de l’Union: </w:t>
      </w:r>
    </w:p>
    <w:p w14:paraId="03F0E6D2" w14:textId="37635359" w:rsidR="00FB2087" w:rsidRPr="00D207EA" w:rsidRDefault="008D666E" w:rsidP="008D666E">
      <w:pPr>
        <w:pStyle w:val="Point10"/>
        <w:rPr>
          <w:noProof/>
        </w:rPr>
      </w:pPr>
      <w:r w:rsidRPr="008D666E">
        <w:rPr>
          <w:noProof/>
        </w:rPr>
        <w:t>(a)</w:t>
      </w:r>
      <w:r w:rsidRPr="008D666E">
        <w:rPr>
          <w:noProof/>
        </w:rPr>
        <w:tab/>
      </w:r>
      <w:r w:rsidR="00FB2087" w:rsidRPr="00D207EA">
        <w:rPr>
          <w:noProof/>
        </w:rPr>
        <w:t xml:space="preserve">les entités établies dans un État membre ou dans un pays tiers associé; </w:t>
      </w:r>
    </w:p>
    <w:p w14:paraId="4BD3C8AD" w14:textId="2774656A" w:rsidR="00FB2087" w:rsidRPr="00D207EA" w:rsidRDefault="008D666E" w:rsidP="008D666E">
      <w:pPr>
        <w:pStyle w:val="Point10"/>
        <w:rPr>
          <w:noProof/>
        </w:rPr>
      </w:pPr>
      <w:r w:rsidRPr="008D666E">
        <w:rPr>
          <w:noProof/>
        </w:rPr>
        <w:t>(b)</w:t>
      </w:r>
      <w:r w:rsidRPr="008D666E">
        <w:rPr>
          <w:noProof/>
        </w:rPr>
        <w:tab/>
      </w:r>
      <w:r w:rsidR="00FB2087" w:rsidRPr="00D207EA">
        <w:rPr>
          <w:noProof/>
        </w:rPr>
        <w:t xml:space="preserve">les organisations internationales; </w:t>
      </w:r>
    </w:p>
    <w:p w14:paraId="16C66C24" w14:textId="66CB7C82" w:rsidR="00FB2087" w:rsidRPr="00D207EA" w:rsidRDefault="008D666E" w:rsidP="008D666E">
      <w:pPr>
        <w:pStyle w:val="Point10"/>
        <w:rPr>
          <w:noProof/>
        </w:rPr>
      </w:pPr>
      <w:r w:rsidRPr="008D666E">
        <w:rPr>
          <w:noProof/>
        </w:rPr>
        <w:t>(c)</w:t>
      </w:r>
      <w:r w:rsidRPr="008D666E">
        <w:rPr>
          <w:noProof/>
        </w:rPr>
        <w:tab/>
      </w:r>
      <w:r w:rsidR="00FB2087" w:rsidRPr="00D207EA">
        <w:rPr>
          <w:noProof/>
        </w:rPr>
        <w:t>d’autres entités établies dans les pays tiers non associés lorsque leur financement est essentiel à la mise en œuvre de l’action et contribue à la réalisation des objectifs énoncés aux articles 2 et 3.</w:t>
      </w:r>
    </w:p>
    <w:p w14:paraId="552F6C01" w14:textId="25629365" w:rsidR="00FB2087" w:rsidRPr="00D207EA" w:rsidRDefault="00FB2087" w:rsidP="00C21519">
      <w:pPr>
        <w:pStyle w:val="NumPar10000000"/>
        <w:numPr>
          <w:ilvl w:val="0"/>
          <w:numId w:val="135"/>
        </w:numPr>
        <w:rPr>
          <w:noProof/>
        </w:rPr>
      </w:pPr>
      <w:r w:rsidRPr="00D207EA">
        <w:rPr>
          <w:noProof/>
        </w:rPr>
        <w:t>Outre les dispositions de l’article 168, paragraphes 2 et 3, du règlement (UE, Euratom) 2024/2509, les pays tiers associés visés à l’article 28 du présent règlement peuvent, le cas échéant, participer à tout mécanisme de passation de marchés prévu à l’article 168, paragraphes 2 et 3, du règlement (UE, Euratom) 2024/2509 et en bénéficier. Les règles applicables aux États membres s’appliquent mutatis mutandis aux pays tiers associés participants.</w:t>
      </w:r>
    </w:p>
    <w:p w14:paraId="174F54C8" w14:textId="77777777" w:rsidR="00FB2087" w:rsidRPr="00D207EA" w:rsidRDefault="00FB2087" w:rsidP="00C21519">
      <w:pPr>
        <w:pStyle w:val="NumPar10000000"/>
        <w:numPr>
          <w:ilvl w:val="0"/>
          <w:numId w:val="135"/>
        </w:numPr>
        <w:rPr>
          <w:noProof/>
        </w:rPr>
      </w:pPr>
      <w:r w:rsidRPr="00D207EA">
        <w:rPr>
          <w:noProof/>
        </w:rPr>
        <w:t>Les procédures d’attribution qui ont une incidence sur la sécurité ou l’ordre public, en particulier en ce qui concerne les actifs et intérêts stratégiques de l’Union ou de ses États membres, sont restreintes conformément à l’article 136 du règlement (UE, Euratom) 2024/2509.</w:t>
      </w:r>
    </w:p>
    <w:p w14:paraId="59743E24" w14:textId="77777777" w:rsidR="00FB2087" w:rsidRPr="00D207EA" w:rsidRDefault="00FB2087" w:rsidP="00C21519">
      <w:pPr>
        <w:pStyle w:val="NumPar10000000"/>
        <w:numPr>
          <w:ilvl w:val="0"/>
          <w:numId w:val="135"/>
        </w:numPr>
        <w:rPr>
          <w:noProof/>
        </w:rPr>
      </w:pPr>
      <w:r w:rsidRPr="00D207EA">
        <w:rPr>
          <w:noProof/>
        </w:rPr>
        <w:t>Le programme de travail visé à l’article 110 du règlement (UE, Euratom) 2024/2509 ou les documents relatifs à la procédure d’attribution peuvent détailler les critères d’éligibilité énoncés dans le présent règlement ou fixer des critères d’éligibilité supplémentaires pour des actions spécifiques. En particulier, dans les procédures d’attribution, l’éligibilité des fournisseurs à haut risque est restreinte conformément au droit de l’Union, pour des raisons de sécurité.</w:t>
      </w:r>
    </w:p>
    <w:p w14:paraId="5B80E1D7" w14:textId="77777777" w:rsidR="00FB2087" w:rsidRPr="00D207EA" w:rsidRDefault="00C330EA" w:rsidP="00FB2087">
      <w:pPr>
        <w:pStyle w:val="Titrearticle"/>
        <w:rPr>
          <w:noProof/>
          <w:color w:val="0000FF"/>
        </w:rPr>
      </w:pPr>
      <w:r w:rsidRPr="00D207EA">
        <w:rPr>
          <w:noProof/>
        </w:rPr>
        <w:t>Article 31</w:t>
      </w:r>
      <w:r w:rsidRPr="00D207EA">
        <w:rPr>
          <w:noProof/>
        </w:rPr>
        <w:br/>
      </w:r>
      <w:r w:rsidRPr="00D207EA">
        <w:rPr>
          <w:b/>
          <w:noProof/>
        </w:rPr>
        <w:t>Actions de l’Union</w:t>
      </w:r>
    </w:p>
    <w:p w14:paraId="7A64CB1F" w14:textId="51BD5D3C" w:rsidR="00FB2087" w:rsidRPr="00D207EA" w:rsidRDefault="00FB2087" w:rsidP="00C21519">
      <w:pPr>
        <w:pStyle w:val="NumPar10000000"/>
        <w:numPr>
          <w:ilvl w:val="0"/>
          <w:numId w:val="136"/>
        </w:numPr>
        <w:rPr>
          <w:noProof/>
        </w:rPr>
      </w:pPr>
      <w:r w:rsidRPr="00D207EA">
        <w:rPr>
          <w:noProof/>
        </w:rPr>
        <w:t>La Commission adopte, au moyen d’actes d’exécution, une décision de financement visée à l’article 110 du règlement (UE, Euratom) 2024/2509, qui définit les objectifs et les actions à soutenir et précise les montants des actions de l’Union figurant à l’annexe XV du présent règlement [actions de l’Union]. Cette décision de financement peut être annuelle ou pluriannuelle. La détermination des objectifs et des actions se fonde sur des critères équitables et transparents et assure une répartition équilibrée.</w:t>
      </w:r>
    </w:p>
    <w:p w14:paraId="07D1522F" w14:textId="77777777" w:rsidR="76A55A9C" w:rsidRPr="00D207EA" w:rsidRDefault="3C377DE0" w:rsidP="00C21519">
      <w:pPr>
        <w:pStyle w:val="NumPar10000000"/>
        <w:numPr>
          <w:ilvl w:val="0"/>
          <w:numId w:val="135"/>
        </w:numPr>
        <w:rPr>
          <w:noProof/>
        </w:rPr>
      </w:pPr>
      <w:r w:rsidRPr="00D207EA">
        <w:rPr>
          <w:noProof/>
        </w:rPr>
        <w:t>Aux fins des actions de l’Union visées à l’annexe XV, paragraphe 1, point j), du présent règlement [Actions de l’Union, filet de sécurité unitaire] et sous réserve des disponibilités budgétaires, la décision de financement visée au paragraphe 1 est modifiée, le cas échéant, pour soutenir l’adoption des actes délégués ou d’exécution en vertu du règlement (UE) nº 1308/2013. Ces actions de l’Union sont considérées comme des interventions fondées sur les réalisations et sont mises en œuvre dans le cadre de la gestion partagée conformément aux dispositions établies en vertu du présent règlement.</w:t>
      </w:r>
    </w:p>
    <w:p w14:paraId="044A9A89" w14:textId="77777777" w:rsidR="004466AC" w:rsidRPr="00D207EA" w:rsidRDefault="003D5435" w:rsidP="00C21519">
      <w:pPr>
        <w:pStyle w:val="NumPar10000000"/>
        <w:numPr>
          <w:ilvl w:val="0"/>
          <w:numId w:val="135"/>
        </w:numPr>
        <w:rPr>
          <w:noProof/>
        </w:rPr>
      </w:pPr>
      <w:r w:rsidRPr="00D207EA">
        <w:rPr>
          <w:noProof/>
        </w:rPr>
        <w:t>La décision de financement visée au paragraphe 1 tient compte de la part des montants que la Commission doit mettre à la disposition des États membres:</w:t>
      </w:r>
    </w:p>
    <w:p w14:paraId="3D173BDB" w14:textId="6986788C" w:rsidR="003D5435" w:rsidRPr="00D207EA" w:rsidRDefault="008D666E" w:rsidP="008D666E">
      <w:pPr>
        <w:pStyle w:val="Point10"/>
        <w:rPr>
          <w:noProof/>
        </w:rPr>
      </w:pPr>
      <w:r w:rsidRPr="008D666E">
        <w:rPr>
          <w:noProof/>
        </w:rPr>
        <w:t>(a)</w:t>
      </w:r>
      <w:r w:rsidRPr="008D666E">
        <w:rPr>
          <w:noProof/>
        </w:rPr>
        <w:tab/>
      </w:r>
      <w:r w:rsidR="003D5435" w:rsidRPr="00D207EA">
        <w:rPr>
          <w:noProof/>
        </w:rPr>
        <w:t xml:space="preserve">conformément à l’article 7 du </w:t>
      </w:r>
      <w:bookmarkStart w:id="10" w:name="_Hlk203532505"/>
      <w:r w:rsidR="003D5435" w:rsidRPr="00D207EA">
        <w:rPr>
          <w:noProof/>
        </w:rPr>
        <w:t xml:space="preserve">règlement XX [règlement relatif aux frontières] </w:t>
      </w:r>
      <w:bookmarkEnd w:id="10"/>
      <w:r w:rsidR="003D5435" w:rsidRPr="00D207EA">
        <w:rPr>
          <w:noProof/>
        </w:rPr>
        <w:t>qui constituent des recettes affectées internes conformément à l’article 21, paragraphe 3, du règlement (UE, Euratom) 2024/2509 et</w:t>
      </w:r>
    </w:p>
    <w:p w14:paraId="3F602257" w14:textId="38E94EF2" w:rsidR="003D5435" w:rsidRPr="00D207EA" w:rsidRDefault="008D666E" w:rsidP="008D666E">
      <w:pPr>
        <w:pStyle w:val="Point10"/>
        <w:rPr>
          <w:noProof/>
        </w:rPr>
      </w:pPr>
      <w:r w:rsidRPr="008D666E">
        <w:rPr>
          <w:noProof/>
        </w:rPr>
        <w:t>(b)</w:t>
      </w:r>
      <w:r w:rsidRPr="008D666E">
        <w:rPr>
          <w:noProof/>
        </w:rPr>
        <w:tab/>
      </w:r>
      <w:r w:rsidR="003D5435" w:rsidRPr="00D207EA">
        <w:rPr>
          <w:noProof/>
        </w:rPr>
        <w:t>conformément à l’article 8 du règlement XX [règlement relatif aux frontières] et à l’article 9 du règlement XX [règlement relatif à la migration] qui constituent des recettes affectées internes conformément à l’article 21, paragraphe 5, du règlement (UE, Euratom) 2024/2509.</w:t>
      </w:r>
    </w:p>
    <w:p w14:paraId="66123F04" w14:textId="77777777" w:rsidR="003D5435" w:rsidRPr="00D207EA" w:rsidRDefault="003D5435" w:rsidP="003D5435">
      <w:pPr>
        <w:pStyle w:val="Text1"/>
        <w:rPr>
          <w:noProof/>
        </w:rPr>
      </w:pPr>
      <w:r w:rsidRPr="00D207EA">
        <w:rPr>
          <w:noProof/>
        </w:rPr>
        <w:t>Les montants visés au premier alinéa sont mis à disposition conformément au paragraphe 7 du présent article.</w:t>
      </w:r>
    </w:p>
    <w:p w14:paraId="65086D5E" w14:textId="68AEB4F0" w:rsidR="00FB2087" w:rsidRPr="00D207EA" w:rsidRDefault="00FB2087" w:rsidP="00C21519">
      <w:pPr>
        <w:pStyle w:val="NumPar10000000"/>
        <w:numPr>
          <w:ilvl w:val="0"/>
          <w:numId w:val="135"/>
        </w:numPr>
        <w:rPr>
          <w:noProof/>
        </w:rPr>
      </w:pPr>
      <w:r w:rsidRPr="00D207EA">
        <w:rPr>
          <w:noProof/>
        </w:rPr>
        <w:t>Lorsque l’action de l’Union est mise en œuvre en gestion directe, les membres du comité d’évaluation visé à l’article 153 du règlement (UE, Euratom) 2024/2509 peuvent être des experts externes.</w:t>
      </w:r>
    </w:p>
    <w:p w14:paraId="0F58A517" w14:textId="11605BD8" w:rsidR="00FB2087" w:rsidRPr="00D207EA" w:rsidRDefault="00FB2087" w:rsidP="00C21519">
      <w:pPr>
        <w:pStyle w:val="NumPar10000000"/>
        <w:numPr>
          <w:ilvl w:val="0"/>
          <w:numId w:val="135"/>
        </w:numPr>
        <w:rPr>
          <w:noProof/>
        </w:rPr>
      </w:pPr>
      <w:r w:rsidRPr="00D207EA">
        <w:rPr>
          <w:noProof/>
        </w:rPr>
        <w:t>Les contributions à un mécanisme d’assurance mutuelle peuvent couvrir le risque lié au recouvrement des fonds dus par les destinataires de ces fonds et sont considérées comme une garantie suffisante au titre du règlement (UE, Euratom) 2024/2509.</w:t>
      </w:r>
    </w:p>
    <w:p w14:paraId="56C21315" w14:textId="38B01C3A" w:rsidR="002C10DB" w:rsidRPr="00D207EA" w:rsidRDefault="00FB2087" w:rsidP="00C21519">
      <w:pPr>
        <w:pStyle w:val="NumPar10000000"/>
        <w:numPr>
          <w:ilvl w:val="0"/>
          <w:numId w:val="135"/>
        </w:numPr>
        <w:rPr>
          <w:noProof/>
        </w:rPr>
      </w:pPr>
      <w:r w:rsidRPr="00D207EA">
        <w:rPr>
          <w:noProof/>
        </w:rPr>
        <w:t>Lorsque l’action de l’Union est mise en œuvre en gestion partagée, l’État membre bénéficie d’un soutien de l’Union pour la mise en œuvre de cette action, en plus de sa contribution financière au titre de l’article 10 [Budget].</w:t>
      </w:r>
    </w:p>
    <w:p w14:paraId="6E630184" w14:textId="77777777" w:rsidR="00FB2087" w:rsidRPr="00D207EA" w:rsidRDefault="6C0FCE22" w:rsidP="008C57CF">
      <w:pPr>
        <w:pStyle w:val="Text1"/>
        <w:rPr>
          <w:noProof/>
        </w:rPr>
      </w:pPr>
      <w:r w:rsidRPr="00D207EA">
        <w:rPr>
          <w:noProof/>
        </w:rPr>
        <w:t>Le financement des actions de l’Union n’est pas utilisé pour d’autres mesures du plan PNR de l’État membre, sauf dans des circonstances dûment justifiées et approuvées par la Commission au moyen de la modification du plan PNR de l’État membre, y compris lorsque les ressources sont reprogrammées dans le cadre du plan conformément à l’article 34 [modification du plan dans des situations de crise].</w:t>
      </w:r>
    </w:p>
    <w:p w14:paraId="673E0C94" w14:textId="77777777" w:rsidR="002C10DB" w:rsidRPr="00D207EA" w:rsidRDefault="002C10DB" w:rsidP="002C10DB">
      <w:pPr>
        <w:pStyle w:val="Text1"/>
        <w:rPr>
          <w:noProof/>
        </w:rPr>
      </w:pPr>
      <w:r w:rsidRPr="00D207EA">
        <w:rPr>
          <w:noProof/>
        </w:rPr>
        <w:t>Le deuxième alinéa s’applique également lorsque des ressources sont reprogrammées dans le cadre du plan conformément à l’article 34 [modification du plan dans des situations de crise].</w:t>
      </w:r>
    </w:p>
    <w:p w14:paraId="52756BB2" w14:textId="57379DBB" w:rsidR="00155CEE" w:rsidRPr="00D207EA" w:rsidRDefault="0095599F" w:rsidP="00C21519">
      <w:pPr>
        <w:pStyle w:val="NumPar10000000"/>
        <w:numPr>
          <w:ilvl w:val="0"/>
          <w:numId w:val="135"/>
        </w:numPr>
        <w:rPr>
          <w:noProof/>
        </w:rPr>
      </w:pPr>
      <w:r w:rsidRPr="00D207EA">
        <w:rPr>
          <w:noProof/>
        </w:rPr>
        <w:t>Lorsque l’action de l’Union est mise en œuvre conformément au paragraphe 6, compte tenu du type d’action de l’Union et de la préférence de l’État membre concerné, la Commission peut allouer à un État membre un financement au titre de la Facilité de l’UE conformément à la décision de financement visée au paragraphe 1. À la suite de cette allocation, l’État membre concerné propose des mesures supplémentaires à ajouter au plan PNR. Cette procédure n’est pas utilisée pour les actions de l’Union visées au paragraphe 1, point i), de l’annexe XV et les actions concernant plus d’un État membre de l’annexe XV [actions de l’Union] et, par dérogation à l’article 13, paragraphe 3 [Assistance technique à l’initiative de l’État membre], n’augmente pas le soutien de l’Union à l’assistance technique. Si la Commission accepte tout ou partie des mesures supplémentaires proposées, elle en informe l’État membre. Cette notification constitue un engagement juridique qui complète l’engagement juridique visé à l’article 23, paragraphe 7. L’État membre inclut, pour information, toutes les mesures supplémentaires acceptées dans son plan à l’occasion de la prochaine modification nécessitant des décisions conformément à l’article 24, paragraphe 5.</w:t>
      </w:r>
    </w:p>
    <w:p w14:paraId="7DB17503" w14:textId="0BAB05C6" w:rsidR="00CB03B2" w:rsidRPr="00D207EA" w:rsidRDefault="00FB2087" w:rsidP="00C21519">
      <w:pPr>
        <w:pStyle w:val="NumPar10000000"/>
        <w:numPr>
          <w:ilvl w:val="0"/>
          <w:numId w:val="135"/>
        </w:numPr>
        <w:rPr>
          <w:noProof/>
        </w:rPr>
      </w:pPr>
      <w:r w:rsidRPr="00D207EA">
        <w:rPr>
          <w:noProof/>
        </w:rPr>
        <w:t>Lorsqu’un plan PNR est modifié afin d’apporter une réponse aux actions de l’Union visées au paragraphe 1, point i), de l’annexe XV (actions de l’Union, catastrophes naturelles), les mesures demandées par l’État membre et liées à ces modifications sont éligibles à compter de la date à laquelle la crise s’est produite et sont programmées au titre de l’objectif «Mesures de soutien pour faire face à la crise par la reconstruction, la remise en état et l’amélioration de la résilience». Cet objectif s’ajoute à ceux prévus aux articles 2 et 3 (objectifs du plan) et n’est utilisé que pour les mesures programmées en réaction à des situations de crise, y compris lorsque les ressources sont reprogrammées dans le cadre du plan PNR conformément à l’article 34 [modification du plan dans des situations de crise].</w:t>
      </w:r>
    </w:p>
    <w:p w14:paraId="1BE2DCC4" w14:textId="3B09338E" w:rsidR="00FB2087" w:rsidRPr="00D207EA" w:rsidRDefault="00EA35B1" w:rsidP="00C21519">
      <w:pPr>
        <w:pStyle w:val="NumPar10000000"/>
        <w:numPr>
          <w:ilvl w:val="0"/>
          <w:numId w:val="135"/>
        </w:numPr>
        <w:rPr>
          <w:noProof/>
        </w:rPr>
      </w:pPr>
      <w:r w:rsidRPr="00D207EA">
        <w:rPr>
          <w:noProof/>
        </w:rPr>
        <w:t>En complément de l’article 12, paragraphe 4, du règlement (UE, Euratom) 2024/2509, les crédits d’engagement et de paiement relatifs aux actions de l’Union visées au paragraphe 1, points i) et j), de l’annexe XV [actions de l’Union, filet de sécurité unitaire] non utilisés à la fin de l’exercice pour lequel ils ont été inscrits sont reportés de droit.</w:t>
      </w:r>
    </w:p>
    <w:p w14:paraId="693C1B99" w14:textId="77777777" w:rsidR="00FB2087" w:rsidRPr="00D207EA" w:rsidRDefault="00EA35B1" w:rsidP="008C57CF">
      <w:pPr>
        <w:pStyle w:val="Text1"/>
        <w:rPr>
          <w:noProof/>
        </w:rPr>
      </w:pPr>
      <w:r w:rsidRPr="00D207EA">
        <w:rPr>
          <w:noProof/>
        </w:rPr>
        <w:t>Les crédits d’engagement reportés conformément au premier alinéa peuvent être utilisés jusqu’en 2034. Les crédits d’engagement et de paiement reportés conformément au premier alinéa sont utilisés en priorité au cours de l’exercice suivant.</w:t>
      </w:r>
    </w:p>
    <w:p w14:paraId="41FBB8F7" w14:textId="2B21F951" w:rsidR="00151B8E" w:rsidRPr="00D207EA" w:rsidRDefault="00EC1256" w:rsidP="00C21519">
      <w:pPr>
        <w:pStyle w:val="NumPar10000000"/>
        <w:numPr>
          <w:ilvl w:val="0"/>
          <w:numId w:val="135"/>
        </w:numPr>
        <w:rPr>
          <w:noProof/>
        </w:rPr>
      </w:pPr>
      <w:r w:rsidRPr="00D207EA">
        <w:rPr>
          <w:noProof/>
        </w:rPr>
        <w:t>Le 1</w:t>
      </w:r>
      <w:r w:rsidRPr="00D207EA">
        <w:rPr>
          <w:noProof/>
          <w:vertAlign w:val="superscript"/>
        </w:rPr>
        <w:t>er</w:t>
      </w:r>
      <w:r w:rsidRPr="00D207EA">
        <w:rPr>
          <w:noProof/>
        </w:rPr>
        <w:t> septembre de chaque année, un quart au moins du montant annuel prévu dans le budget pour les actions de l’Union visées à l’annexe XV, paragraphe 1, point i), reste disponible pour couvrir les besoins survenant avant la fin de l’année en question.</w:t>
      </w:r>
    </w:p>
    <w:p w14:paraId="70F3A349" w14:textId="77777777" w:rsidR="0E1ACAC7" w:rsidRPr="00D207EA" w:rsidRDefault="0E1ACAC7" w:rsidP="00C21519">
      <w:pPr>
        <w:pStyle w:val="NumPar10000000"/>
        <w:numPr>
          <w:ilvl w:val="0"/>
          <w:numId w:val="135"/>
        </w:numPr>
        <w:rPr>
          <w:noProof/>
        </w:rPr>
      </w:pPr>
      <w:r w:rsidRPr="00D207EA">
        <w:rPr>
          <w:noProof/>
        </w:rPr>
        <w:t>Outre les critères relatifs aux coûts éligibles énoncés à l’article 189 du règlement (UE, Euratom) 2024/2509, les coûts supportés par les États membres pour la mise en œuvre des mesures d’urgence vétérinaires et phytosanitaires au titre de l’objectif spécifique énoncé à l’annexe XV [actions de l’Union], point g), du présent règlement sont éligibles: a) avant la date de dépôt de la demande de subvention, conformément à l’article 196, paragraphe 2, deuxième alinéa, point b), du règlement (UE, Euratom) 2024/2509; b) à compter de la date de l’apparition présumée d’une maladie animale ou de la présence présumée d’un organisme nuisible pour les végétaux, à condition que ladite apparition ou présence soit confirmée par la suite. Le dépôt de la demande de subvention est précédé de la notification à la Commission de l’apparition de la maladie animale conformément à l’article 19 ou 20 et aux règles adoptées sur la base de l’article 23 du règlement (UE) 2016/429 ou de la présence de l’organisme de quarantaine de l’Union conformément à l’article 9, 10 ou 11 du règlement (UE) 2016/2031 du Parlement européen et du Conseil. Par dérogation à l’article 111, paragraphe 2, du règlement (UE, Euratom) 2024/2509, la Commission procède à l’engagement budgétaire de la subvention accordée pour ces mesures d’urgence après évaluation des demandes de paiement présentées par les États membres.</w:t>
      </w:r>
    </w:p>
    <w:p w14:paraId="4DCC1344" w14:textId="77777777" w:rsidR="00D23312" w:rsidRPr="00D207EA" w:rsidRDefault="00D23312" w:rsidP="008C57CF">
      <w:pPr>
        <w:pStyle w:val="Titrearticle"/>
        <w:rPr>
          <w:b/>
          <w:bCs/>
          <w:noProof/>
        </w:rPr>
      </w:pPr>
      <w:r w:rsidRPr="00D207EA">
        <w:rPr>
          <w:noProof/>
        </w:rPr>
        <w:t>Article 32</w:t>
      </w:r>
      <w:r w:rsidRPr="00D207EA">
        <w:rPr>
          <w:noProof/>
        </w:rPr>
        <w:br/>
      </w:r>
      <w:r w:rsidRPr="00D207EA">
        <w:rPr>
          <w:b/>
          <w:noProof/>
        </w:rPr>
        <w:t>Dépenses liées aux mesures d’intervention publique dans le cadre du filet de sécurité unitaire</w:t>
      </w:r>
    </w:p>
    <w:p w14:paraId="290BF956" w14:textId="77777777" w:rsidR="00D072B9" w:rsidRPr="00D207EA" w:rsidRDefault="009E53D8" w:rsidP="00C21519">
      <w:pPr>
        <w:pStyle w:val="NumPar10000000"/>
        <w:numPr>
          <w:ilvl w:val="0"/>
          <w:numId w:val="189"/>
        </w:numPr>
        <w:rPr>
          <w:noProof/>
        </w:rPr>
      </w:pPr>
      <w:r w:rsidRPr="00D207EA">
        <w:rPr>
          <w:noProof/>
        </w:rPr>
        <w:t>Aux fins du filet de sécurité unitaire établi en tant qu’action de l’Union au titre de la Facilité, lorsqu’un montant unitaire n’est pas déterminé en ce qui concerne une intervention publique, la mesure concernée est financée sur la base de montants forfaitaires uniformes, en particulier pour ce qui est des fonds provenant des États membres utilisés aux fins des achats de produits, des opérations physiques liées au stockage et, le cas échéant, de la transformation de produits admissibles à l’intervention publique visés à l’article 11 du règlement (UE) nº 1308/2013.</w:t>
      </w:r>
    </w:p>
    <w:p w14:paraId="4B6925B8" w14:textId="77777777" w:rsidR="00F94F2C" w:rsidRPr="00D207EA" w:rsidRDefault="00D072B9" w:rsidP="00C21519">
      <w:pPr>
        <w:pStyle w:val="NumPar10000000"/>
        <w:numPr>
          <w:ilvl w:val="0"/>
          <w:numId w:val="135"/>
        </w:numPr>
        <w:rPr>
          <w:noProof/>
        </w:rPr>
      </w:pPr>
      <w:r w:rsidRPr="00D207EA">
        <w:rPr>
          <w:noProof/>
        </w:rPr>
        <w:t xml:space="preserve">La Commission adopte des actes d’exécution fixant les montants visés au paragraphe 1. Ces actes d’exécution sont adoptés conformément à la procédure consultative visée à l’article 229, paragraphe 4, </w:t>
      </w:r>
      <w:bookmarkStart w:id="11" w:name="_Hlk203311789"/>
      <w:r w:rsidRPr="00D207EA">
        <w:rPr>
          <w:noProof/>
        </w:rPr>
        <w:t>du règlement (UE) nº 1308/2013</w:t>
      </w:r>
      <w:bookmarkEnd w:id="11"/>
      <w:r w:rsidRPr="00D207EA">
        <w:rPr>
          <w:noProof/>
        </w:rPr>
        <w:t>.</w:t>
      </w:r>
    </w:p>
    <w:p w14:paraId="1BD8D6A4" w14:textId="77777777" w:rsidR="00C330EA" w:rsidRPr="00D207EA" w:rsidRDefault="00C330EA" w:rsidP="00C330EA">
      <w:pPr>
        <w:pStyle w:val="Titrearticle"/>
        <w:rPr>
          <w:noProof/>
        </w:rPr>
      </w:pPr>
      <w:r w:rsidRPr="00D207EA">
        <w:rPr>
          <w:noProof/>
        </w:rPr>
        <w:t>Article 33</w:t>
      </w:r>
      <w:r w:rsidRPr="00D207EA">
        <w:rPr>
          <w:noProof/>
        </w:rPr>
        <w:br/>
      </w:r>
      <w:r w:rsidRPr="00D207EA">
        <w:rPr>
          <w:b/>
          <w:noProof/>
        </w:rPr>
        <w:t>Réserve pour les priorités et défis émergents</w:t>
      </w:r>
    </w:p>
    <w:p w14:paraId="68AF2067" w14:textId="77777777" w:rsidR="00FB2087" w:rsidRPr="00D207EA" w:rsidRDefault="00FB2087" w:rsidP="00C21519">
      <w:pPr>
        <w:pStyle w:val="NumPar10000000"/>
        <w:numPr>
          <w:ilvl w:val="0"/>
          <w:numId w:val="137"/>
        </w:numPr>
        <w:rPr>
          <w:noProof/>
        </w:rPr>
      </w:pPr>
      <w:r w:rsidRPr="00D207EA">
        <w:rPr>
          <w:noProof/>
        </w:rPr>
        <w:t xml:space="preserve">Le montant visé à l’article 26, paragraphe 4, point b), [réserve budgétaire] est utilisé là où il est le plus nécessaire et dûment justifié, en particulier pour: </w:t>
      </w:r>
    </w:p>
    <w:p w14:paraId="217AEC8E" w14:textId="56273356" w:rsidR="00FB2087" w:rsidRPr="00D207EA" w:rsidRDefault="008D666E" w:rsidP="008D666E">
      <w:pPr>
        <w:pStyle w:val="Point10"/>
        <w:rPr>
          <w:noProof/>
        </w:rPr>
      </w:pPr>
      <w:r w:rsidRPr="008D666E">
        <w:rPr>
          <w:noProof/>
        </w:rPr>
        <w:t>(a)</w:t>
      </w:r>
      <w:r w:rsidRPr="008D666E">
        <w:rPr>
          <w:noProof/>
        </w:rPr>
        <w:tab/>
      </w:r>
      <w:r w:rsidR="00FB2087" w:rsidRPr="00D207EA">
        <w:rPr>
          <w:noProof/>
        </w:rPr>
        <w:t xml:space="preserve">permettre à l’Union de réagir de manière appropriée en cas de circonstances imprévues; </w:t>
      </w:r>
    </w:p>
    <w:p w14:paraId="03D1D4F6" w14:textId="08B656A8" w:rsidR="00FB2087" w:rsidRPr="00D207EA" w:rsidRDefault="008D666E" w:rsidP="008D666E">
      <w:pPr>
        <w:pStyle w:val="Point10"/>
        <w:rPr>
          <w:noProof/>
        </w:rPr>
      </w:pPr>
      <w:r w:rsidRPr="008D666E">
        <w:rPr>
          <w:noProof/>
        </w:rPr>
        <w:t>(b)</w:t>
      </w:r>
      <w:r w:rsidRPr="008D666E">
        <w:rPr>
          <w:noProof/>
        </w:rPr>
        <w:tab/>
      </w:r>
      <w:r w:rsidR="00FB2087" w:rsidRPr="00D207EA">
        <w:rPr>
          <w:noProof/>
        </w:rPr>
        <w:t>promouvoir de nouvelles priorités ou initiatives menées par l’Union.</w:t>
      </w:r>
    </w:p>
    <w:p w14:paraId="23E39EE3" w14:textId="35EDB5F0" w:rsidR="00FB2087" w:rsidRPr="00D207EA" w:rsidRDefault="00FB2087" w:rsidP="00C21519">
      <w:pPr>
        <w:pStyle w:val="NumPar10000000"/>
        <w:numPr>
          <w:ilvl w:val="0"/>
          <w:numId w:val="135"/>
        </w:numPr>
        <w:rPr>
          <w:noProof/>
        </w:rPr>
      </w:pPr>
      <w:r w:rsidRPr="00D207EA">
        <w:rPr>
          <w:noProof/>
        </w:rPr>
        <w:t>La Commission adopte, au moyen d’actes d’exécution, les décisions de financement visées à l’article 110 du règlement (UE, Euratom) 2024/2509, qui déterminent les objectifs et les actions à soutenir et précisent les montants de la réserve budgétaire prévue à l’article 26, paragraphe 4, point b), du présent règlement [Dispositions générales relatives à la mise en œuvre de la Facilité de l’UE].</w:t>
      </w:r>
    </w:p>
    <w:p w14:paraId="6E5322CF" w14:textId="7B699638" w:rsidR="727C6164" w:rsidRPr="00D207EA" w:rsidRDefault="13C29B99" w:rsidP="00C21519">
      <w:pPr>
        <w:pStyle w:val="NumPar10000000"/>
        <w:numPr>
          <w:ilvl w:val="0"/>
          <w:numId w:val="135"/>
        </w:numPr>
        <w:rPr>
          <w:noProof/>
        </w:rPr>
      </w:pPr>
      <w:r w:rsidRPr="00D207EA">
        <w:rPr>
          <w:noProof/>
        </w:rPr>
        <w:t>En complément de l’article 12, paragraphe 4, du règlement (UE, Euratom) 2024/2509, les crédits d’engagement et de paiement non utilisés à la fin de l’exercice pour lequel ils ont été inscrits sont reportés de droit.</w:t>
      </w:r>
    </w:p>
    <w:p w14:paraId="066B4FD2" w14:textId="1CB4E0FA" w:rsidR="727C6164" w:rsidRPr="00D207EA" w:rsidRDefault="13C29B99" w:rsidP="195B61D7">
      <w:pPr>
        <w:pStyle w:val="Text1"/>
        <w:rPr>
          <w:noProof/>
        </w:rPr>
      </w:pPr>
      <w:r w:rsidRPr="00D207EA">
        <w:rPr>
          <w:noProof/>
        </w:rPr>
        <w:t>Les crédits d’engagement reportés conformément au premier alinéa peuvent être utilisés jusqu’à la fin 2033. Les crédits d’engagement et de paiement reportés conformément au premier alinéa sont utilisés en priorité au cours de l’exercice suivant.</w:t>
      </w:r>
    </w:p>
    <w:p w14:paraId="5DE1DF10" w14:textId="77777777" w:rsidR="00C330EA" w:rsidRPr="00D207EA" w:rsidRDefault="00C330EA" w:rsidP="00C330EA">
      <w:pPr>
        <w:pStyle w:val="Titrearticle"/>
        <w:rPr>
          <w:b/>
          <w:bCs/>
          <w:noProof/>
        </w:rPr>
      </w:pPr>
      <w:r w:rsidRPr="00D207EA">
        <w:rPr>
          <w:noProof/>
        </w:rPr>
        <w:t>Article 34</w:t>
      </w:r>
      <w:r w:rsidRPr="00D207EA">
        <w:rPr>
          <w:noProof/>
        </w:rPr>
        <w:br/>
      </w:r>
      <w:r w:rsidRPr="00D207EA">
        <w:rPr>
          <w:b/>
          <w:noProof/>
        </w:rPr>
        <w:t>Modification du plan PNR dans des situations de crise</w:t>
      </w:r>
    </w:p>
    <w:p w14:paraId="3D37565C" w14:textId="62278965" w:rsidR="00A843CE" w:rsidRPr="00D207EA" w:rsidRDefault="00FB2087" w:rsidP="00C21519">
      <w:pPr>
        <w:pStyle w:val="NumPar10000000"/>
        <w:numPr>
          <w:ilvl w:val="0"/>
          <w:numId w:val="176"/>
        </w:numPr>
        <w:rPr>
          <w:noProof/>
        </w:rPr>
      </w:pPr>
      <w:r w:rsidRPr="00D207EA">
        <w:rPr>
          <w:noProof/>
        </w:rPr>
        <w:t>Les États membres peuvent demander à modifier les plans PNR conformément à l’article 24 [Modification du plan] afin de soutenir des mesures de nature similaire à celles visées à l’annexe XV, paragraphe 1, point i) [catastrophes naturelles], ainsi que de fournir des paiements de crise aux agriculteurs touchés par des catastrophes naturelles et de soutenir les investissements dans la restauration du potentiel agricole, à condition que les événements en question aient été reconnus comme catastrophes naturelles par une autorité publique compétente de l’État membre.</w:t>
      </w:r>
    </w:p>
    <w:p w14:paraId="0EF8D055" w14:textId="77777777" w:rsidR="009A2EFC" w:rsidRPr="00D207EA" w:rsidRDefault="005F2653">
      <w:pPr>
        <w:pStyle w:val="NumPar10000000"/>
        <w:tabs>
          <w:tab w:val="clear" w:pos="850"/>
        </w:tabs>
        <w:ind w:firstLine="0"/>
        <w:rPr>
          <w:noProof/>
        </w:rPr>
      </w:pPr>
      <w:r w:rsidRPr="00D207EA">
        <w:rPr>
          <w:noProof/>
        </w:rPr>
        <w:t>Un État membre ne peut accorder de paiements de crise aux agriculteurs que si: </w:t>
      </w:r>
    </w:p>
    <w:p w14:paraId="7A5CF63C" w14:textId="6C014B65" w:rsidR="009A2EFC" w:rsidRPr="00D207EA" w:rsidRDefault="008D666E" w:rsidP="008D666E">
      <w:pPr>
        <w:pStyle w:val="Point10"/>
        <w:rPr>
          <w:noProof/>
        </w:rPr>
      </w:pPr>
      <w:r w:rsidRPr="008D666E">
        <w:rPr>
          <w:noProof/>
        </w:rPr>
        <w:t>(a)</w:t>
      </w:r>
      <w:r w:rsidRPr="008D666E">
        <w:rPr>
          <w:noProof/>
        </w:rPr>
        <w:tab/>
      </w:r>
      <w:r w:rsidR="009A2EFC" w:rsidRPr="00D207EA">
        <w:rPr>
          <w:noProof/>
        </w:rPr>
        <w:t>son autorité compétente a formellement reconnu qu’une catastrophe naturelle, un phénomène climatique défavorable ou un événement catastrophique, tel que défini par l’État membre, s’est produit; </w:t>
      </w:r>
    </w:p>
    <w:p w14:paraId="5B5F6630" w14:textId="09F08A96" w:rsidR="009A2EFC" w:rsidRPr="00D207EA" w:rsidRDefault="008D666E" w:rsidP="008D666E">
      <w:pPr>
        <w:pStyle w:val="Point10"/>
        <w:rPr>
          <w:noProof/>
        </w:rPr>
      </w:pPr>
      <w:r w:rsidRPr="008D666E">
        <w:rPr>
          <w:noProof/>
        </w:rPr>
        <w:t>(b)</w:t>
      </w:r>
      <w:r w:rsidRPr="008D666E">
        <w:rPr>
          <w:noProof/>
        </w:rPr>
        <w:tab/>
      </w:r>
      <w:r w:rsidR="009A2EFC" w:rsidRPr="00D207EA">
        <w:rPr>
          <w:noProof/>
        </w:rPr>
        <w:t>des mesures ont été adoptées conformément au règlement (UE) 2016/2031 pour éradiquer ou contenir une maladie végétale ou un organisme nuisible; </w:t>
      </w:r>
    </w:p>
    <w:p w14:paraId="75E02C28" w14:textId="385758A5" w:rsidR="009A2EFC" w:rsidRPr="00D207EA" w:rsidRDefault="008D666E" w:rsidP="008D666E">
      <w:pPr>
        <w:pStyle w:val="Point10"/>
        <w:rPr>
          <w:noProof/>
        </w:rPr>
      </w:pPr>
      <w:r w:rsidRPr="008D666E">
        <w:rPr>
          <w:noProof/>
        </w:rPr>
        <w:t>(c)</w:t>
      </w:r>
      <w:r w:rsidRPr="008D666E">
        <w:rPr>
          <w:noProof/>
        </w:rPr>
        <w:tab/>
      </w:r>
      <w:r w:rsidR="009A2EFC" w:rsidRPr="00D207EA">
        <w:rPr>
          <w:noProof/>
        </w:rPr>
        <w:t>des mesures ont été adoptées pour prévenir ou éradiquer les maladies animales énumérées à l’annexe du règlement d’exécution (UE) 2018/1882 de la Commission, ou</w:t>
      </w:r>
    </w:p>
    <w:p w14:paraId="340AE9E0" w14:textId="5B0DB7F7" w:rsidR="00FB2087" w:rsidRPr="00D207EA" w:rsidRDefault="008D666E" w:rsidP="008D666E">
      <w:pPr>
        <w:pStyle w:val="Point10"/>
        <w:rPr>
          <w:noProof/>
        </w:rPr>
      </w:pPr>
      <w:r w:rsidRPr="008D666E">
        <w:rPr>
          <w:noProof/>
        </w:rPr>
        <w:t>(d)</w:t>
      </w:r>
      <w:r w:rsidRPr="008D666E">
        <w:rPr>
          <w:noProof/>
        </w:rPr>
        <w:tab/>
      </w:r>
      <w:r w:rsidR="009A2EFC" w:rsidRPr="00D207EA">
        <w:rPr>
          <w:noProof/>
        </w:rPr>
        <w:t>des mesures ont été adoptées concernant une maladie émergente conformément à l’article 6, paragraphe 3, et à l’article 259 du règlement (UE) 2016/429.</w:t>
      </w:r>
    </w:p>
    <w:p w14:paraId="21BB0D38" w14:textId="77777777" w:rsidR="00FB2087" w:rsidRPr="00D207EA" w:rsidRDefault="00FB2087" w:rsidP="00C21519">
      <w:pPr>
        <w:pStyle w:val="NumPar10000000"/>
        <w:numPr>
          <w:ilvl w:val="0"/>
          <w:numId w:val="135"/>
        </w:numPr>
        <w:rPr>
          <w:noProof/>
        </w:rPr>
      </w:pPr>
      <w:r w:rsidRPr="00D207EA">
        <w:rPr>
          <w:noProof/>
        </w:rPr>
        <w:t>Lorsque la demande de modification dépasse 1 % de la contribution financière de l’Union au titre du plan, l’État membre peut, en outre, demander de programmer jusqu’à 2,5 % du montant de la contribution financière de l’Union à partir de son montant de la flexibilité non programmé, dans les limites fixées à l’article 12 [Engagements budgétaires], pour les mesures visées au paragraphe 1 du présent article.</w:t>
      </w:r>
    </w:p>
    <w:p w14:paraId="1FF6E4D4" w14:textId="21CED8D6" w:rsidR="00FB2087" w:rsidRPr="00D207EA" w:rsidRDefault="00FB2087" w:rsidP="00C21519">
      <w:pPr>
        <w:pStyle w:val="NumPar10000000"/>
        <w:numPr>
          <w:ilvl w:val="0"/>
          <w:numId w:val="135"/>
        </w:numPr>
        <w:rPr>
          <w:noProof/>
          <w:color w:val="000000" w:themeColor="text1"/>
        </w:rPr>
      </w:pPr>
      <w:r w:rsidRPr="00D207EA">
        <w:rPr>
          <w:noProof/>
        </w:rPr>
        <w:t>Lorsque le montant demandé et disponible au titre du paragraphe 2 n’est pas suffisant pour couvrir les besoins, les États membres peuvent demander un soutien supplémentaire en sus des actions de l’Union tel que visé à l’</w:t>
      </w:r>
      <w:r w:rsidRPr="00D207EA">
        <w:rPr>
          <w:noProof/>
          <w:color w:val="000000" w:themeColor="text1"/>
        </w:rPr>
        <w:t>article 26 [Dispositions générales relatives à la mise en œuvre de la Facilité de l’UE], sous réserve de la disponibilité des fonds.</w:t>
      </w:r>
    </w:p>
    <w:p w14:paraId="5DB5576E" w14:textId="77777777" w:rsidR="00FB2087" w:rsidRPr="00D207EA" w:rsidRDefault="00FB2087" w:rsidP="00C21519">
      <w:pPr>
        <w:pStyle w:val="NumPar10000000"/>
        <w:numPr>
          <w:ilvl w:val="0"/>
          <w:numId w:val="135"/>
        </w:numPr>
        <w:rPr>
          <w:noProof/>
        </w:rPr>
      </w:pPr>
      <w:r w:rsidRPr="00D207EA">
        <w:rPr>
          <w:noProof/>
        </w:rPr>
        <w:t>Lorsque le montant disponible au titre du paragraphe 3 n’est pas suffisant pour couvrir les besoins, les États membres peuvent recevoir un soutien supplémentaire en sus des actions de l’Union tel que visé à l’</w:t>
      </w:r>
      <w:r w:rsidRPr="00D207EA">
        <w:rPr>
          <w:noProof/>
          <w:color w:val="000000" w:themeColor="text1"/>
        </w:rPr>
        <w:t>article 26, paragraphe 4, point b) [Dispositions générales relatives à la mise en œuvre de la Facilité de l’UE], sous réserve de la disponibilité des fonds.</w:t>
      </w:r>
    </w:p>
    <w:p w14:paraId="10E7FC91" w14:textId="77777777" w:rsidR="00FB2087" w:rsidRPr="00D207EA" w:rsidRDefault="00FB2087" w:rsidP="00C21519">
      <w:pPr>
        <w:pStyle w:val="NumPar10000000"/>
        <w:numPr>
          <w:ilvl w:val="0"/>
          <w:numId w:val="135"/>
        </w:numPr>
        <w:rPr>
          <w:noProof/>
          <w:color w:val="000000" w:themeColor="text1"/>
        </w:rPr>
      </w:pPr>
      <w:r w:rsidRPr="00D207EA">
        <w:rPr>
          <w:noProof/>
        </w:rPr>
        <w:t xml:space="preserve">Les États membres présentent une demande de modification du plan PNR visée au paragraphe 1 et, le cas échéant, aux paragraphes 2 et 3, dans les quatre mois suivant la date à laquelle la crise a été reconnue comme telle par une autorité compétente, en exposant les raisons et en décrivant les dommages, les remises en état et les besoins de relance. La </w:t>
      </w:r>
      <w:r w:rsidRPr="00D207EA">
        <w:rPr>
          <w:noProof/>
          <w:color w:val="000000" w:themeColor="text1"/>
        </w:rPr>
        <w:t>modification comprend les éléments suivants:</w:t>
      </w:r>
    </w:p>
    <w:p w14:paraId="2ED105D7" w14:textId="36BBBB50" w:rsidR="00FB2087" w:rsidRPr="00D207EA" w:rsidRDefault="008D666E" w:rsidP="008D666E">
      <w:pPr>
        <w:pStyle w:val="Point10"/>
        <w:rPr>
          <w:noProof/>
        </w:rPr>
      </w:pPr>
      <w:r w:rsidRPr="008D666E">
        <w:rPr>
          <w:noProof/>
        </w:rPr>
        <w:t>(a)</w:t>
      </w:r>
      <w:r w:rsidRPr="008D666E">
        <w:rPr>
          <w:noProof/>
        </w:rPr>
        <w:tab/>
      </w:r>
      <w:r w:rsidR="00FB2087" w:rsidRPr="00D207EA">
        <w:rPr>
          <w:noProof/>
        </w:rPr>
        <w:t>la description des mesures destinées à remédier aux dommages causés par la crise et à favoriser la remise en état et la relance après la crise, avec leurs coûts estimés et les valeurs intermédiaires et les valeurs cibles correspondantes;</w:t>
      </w:r>
    </w:p>
    <w:p w14:paraId="23D9E7AB" w14:textId="49BEC5EC" w:rsidR="00FB2087" w:rsidRPr="00D207EA" w:rsidRDefault="008D666E" w:rsidP="008D666E">
      <w:pPr>
        <w:pStyle w:val="Point10"/>
        <w:rPr>
          <w:noProof/>
        </w:rPr>
      </w:pPr>
      <w:r w:rsidRPr="008D666E">
        <w:rPr>
          <w:noProof/>
        </w:rPr>
        <w:t>(b)</w:t>
      </w:r>
      <w:r w:rsidRPr="008D666E">
        <w:rPr>
          <w:noProof/>
        </w:rPr>
        <w:tab/>
      </w:r>
      <w:r w:rsidR="00FB2087" w:rsidRPr="00D207EA">
        <w:rPr>
          <w:noProof/>
        </w:rPr>
        <w:t>les montants demandés, le cas échéant, à partir du montant de la flexibilité et de la Facilité, jusqu’à concurrence du coût total estimé des mesures concernées, compte tenu des montants reprogrammés.</w:t>
      </w:r>
    </w:p>
    <w:p w14:paraId="7999476F" w14:textId="77777777" w:rsidR="00FB2087" w:rsidRPr="00D207EA" w:rsidRDefault="00FB2087" w:rsidP="00C21519">
      <w:pPr>
        <w:pStyle w:val="NumPar10000000"/>
        <w:numPr>
          <w:ilvl w:val="0"/>
          <w:numId w:val="135"/>
        </w:numPr>
        <w:rPr>
          <w:noProof/>
        </w:rPr>
      </w:pPr>
      <w:r w:rsidRPr="00D207EA">
        <w:rPr>
          <w:noProof/>
        </w:rPr>
        <w:t>Par dérogation à l’article 24 [Modification du plan], la Commission met tout en œuvre pour approuver toute modification du plan PNR dans un délai de 15 jours ouvrables à compter de sa présentation par un État membre.</w:t>
      </w:r>
    </w:p>
    <w:p w14:paraId="085675FF" w14:textId="77777777" w:rsidR="00FB2087" w:rsidRPr="00D207EA" w:rsidRDefault="00FB2087" w:rsidP="00C21519">
      <w:pPr>
        <w:pStyle w:val="NumPar10000000"/>
        <w:numPr>
          <w:ilvl w:val="0"/>
          <w:numId w:val="135"/>
        </w:numPr>
        <w:rPr>
          <w:noProof/>
        </w:rPr>
      </w:pPr>
      <w:r w:rsidRPr="00D207EA">
        <w:rPr>
          <w:noProof/>
        </w:rPr>
        <w:t>La Commission verse jusqu’à 80 % de la dotation des mesures visées au paragraphe 5, telle qu’elle figure dans la décision d’approbation de la modification du plan visée au paragraphe 6, sous réserve de la disponibilité des fonds, à titre de préfinancement exceptionnel. Ce paiement s’ajoute au préfinancement du plan PNR prévu à l’article 17 [Préfinancement] et est apuré sur une base annuelle.</w:t>
      </w:r>
    </w:p>
    <w:p w14:paraId="77F97719" w14:textId="77777777" w:rsidR="00552F18" w:rsidRPr="00D207EA" w:rsidRDefault="00FB2087" w:rsidP="00C21519">
      <w:pPr>
        <w:pStyle w:val="NumPar10000000"/>
        <w:numPr>
          <w:ilvl w:val="0"/>
          <w:numId w:val="135"/>
        </w:numPr>
        <w:rPr>
          <w:noProof/>
        </w:rPr>
      </w:pPr>
      <w:r w:rsidRPr="00D207EA">
        <w:rPr>
          <w:noProof/>
        </w:rPr>
        <w:t>Les États membres peuvent décider de recourir à la procédure définie dans le présent article pour le soutien fourni au titre du paragraphe 1, point l), de l’annexe XV (actions de l’Union soutenues par la Facilité de l’UE, actions dans le domaine des affaires intérieures).</w:t>
      </w:r>
    </w:p>
    <w:p w14:paraId="385AF484" w14:textId="77777777" w:rsidR="00552F18" w:rsidRPr="00D207EA" w:rsidRDefault="000E0D88" w:rsidP="00C21519">
      <w:pPr>
        <w:pStyle w:val="NumPar10000000"/>
        <w:numPr>
          <w:ilvl w:val="0"/>
          <w:numId w:val="135"/>
        </w:numPr>
        <w:rPr>
          <w:noProof/>
        </w:rPr>
      </w:pPr>
      <w:r w:rsidRPr="00D207EA">
        <w:rPr>
          <w:noProof/>
        </w:rPr>
        <w:t>Les paragraphes 3 et 4 ne s’appliquent pas à l’octroi de paiements de crise aux agriculteurs touchés par des catastrophes naturelles.</w:t>
      </w:r>
    </w:p>
    <w:p w14:paraId="14633E4D" w14:textId="77777777" w:rsidR="00CA2613" w:rsidRPr="00D207EA" w:rsidRDefault="78E3BF39" w:rsidP="07DC7BA7">
      <w:pPr>
        <w:pStyle w:val="SectionTitle"/>
        <w:rPr>
          <w:noProof/>
        </w:rPr>
      </w:pPr>
      <w:r w:rsidRPr="00D207EA">
        <w:rPr>
          <w:noProof/>
        </w:rPr>
        <w:t>TITRE V</w:t>
      </w:r>
      <w:r w:rsidRPr="00D207EA">
        <w:rPr>
          <w:noProof/>
        </w:rPr>
        <w:br/>
        <w:t>POLITIQUE AGRICOLE COMMUNE</w:t>
      </w:r>
    </w:p>
    <w:p w14:paraId="3E59DB5A" w14:textId="176147DC" w:rsidR="00CA2613" w:rsidRPr="00D207EA" w:rsidRDefault="78E3BF39" w:rsidP="07DC7BA7">
      <w:pPr>
        <w:pStyle w:val="ChapterTitle0"/>
        <w:rPr>
          <w:noProof/>
        </w:rPr>
      </w:pPr>
      <w:r w:rsidRPr="00D207EA">
        <w:rPr>
          <w:noProof/>
        </w:rPr>
        <w:t>CHAPITRE I</w:t>
      </w:r>
    </w:p>
    <w:p w14:paraId="1840DB32" w14:textId="77777777" w:rsidR="00CA2613" w:rsidRPr="00D207EA" w:rsidRDefault="6B0161A3" w:rsidP="07DC7BA7">
      <w:pPr>
        <w:pStyle w:val="Titrearticle"/>
        <w:rPr>
          <w:b/>
          <w:bCs/>
          <w:noProof/>
        </w:rPr>
      </w:pPr>
      <w:r w:rsidRPr="00D207EA">
        <w:rPr>
          <w:noProof/>
        </w:rPr>
        <w:t>Article 35</w:t>
      </w:r>
      <w:r w:rsidRPr="00D207EA">
        <w:rPr>
          <w:noProof/>
        </w:rPr>
        <w:br/>
      </w:r>
      <w:r w:rsidRPr="00D207EA">
        <w:rPr>
          <w:b/>
          <w:noProof/>
        </w:rPr>
        <w:t>Types d’intervention</w:t>
      </w:r>
    </w:p>
    <w:p w14:paraId="0B25DC4B" w14:textId="77777777" w:rsidR="00017B06" w:rsidRPr="00D207EA" w:rsidRDefault="00017B06" w:rsidP="00C21519">
      <w:pPr>
        <w:pStyle w:val="NumPar10000000"/>
        <w:numPr>
          <w:ilvl w:val="0"/>
          <w:numId w:val="148"/>
        </w:numPr>
        <w:rPr>
          <w:noProof/>
        </w:rPr>
      </w:pPr>
      <w:r w:rsidRPr="00D207EA">
        <w:rPr>
          <w:noProof/>
        </w:rPr>
        <w:t>Conformément aux interventions énumérées à l’article XX [types de soutien] du règlement (UE) 202X/XXXX [règlement relatif à la PAC], les interventions au titre de la PAC suivantes sont prévues:</w:t>
      </w:r>
    </w:p>
    <w:p w14:paraId="4680D587" w14:textId="5B27E0EC" w:rsidR="00017B06" w:rsidRPr="00D207EA" w:rsidRDefault="008D666E" w:rsidP="008D666E">
      <w:pPr>
        <w:pStyle w:val="Point10"/>
        <w:rPr>
          <w:noProof/>
        </w:rPr>
      </w:pPr>
      <w:r w:rsidRPr="008D666E">
        <w:rPr>
          <w:noProof/>
        </w:rPr>
        <w:t>(a)</w:t>
      </w:r>
      <w:r w:rsidRPr="008D666E">
        <w:rPr>
          <w:noProof/>
        </w:rPr>
        <w:tab/>
      </w:r>
      <w:r w:rsidR="00017B06" w:rsidRPr="00D207EA">
        <w:rPr>
          <w:noProof/>
        </w:rPr>
        <w:t>aide au revenu dégressive fondée sur la surface;  </w:t>
      </w:r>
    </w:p>
    <w:p w14:paraId="578C834B" w14:textId="62BBD6AF" w:rsidR="00017B06" w:rsidRPr="00D207EA" w:rsidRDefault="008D666E" w:rsidP="008D666E">
      <w:pPr>
        <w:pStyle w:val="Point10"/>
        <w:rPr>
          <w:noProof/>
        </w:rPr>
      </w:pPr>
      <w:r w:rsidRPr="008D666E">
        <w:rPr>
          <w:noProof/>
        </w:rPr>
        <w:t>(b)</w:t>
      </w:r>
      <w:r w:rsidRPr="008D666E">
        <w:rPr>
          <w:noProof/>
        </w:rPr>
        <w:tab/>
      </w:r>
      <w:r w:rsidR="00017B06" w:rsidRPr="00D207EA">
        <w:rPr>
          <w:noProof/>
        </w:rPr>
        <w:t>aide couplée au revenu;  </w:t>
      </w:r>
    </w:p>
    <w:p w14:paraId="4495B9A0" w14:textId="545BD9B5" w:rsidR="00017B06" w:rsidRPr="00D207EA" w:rsidRDefault="008D666E" w:rsidP="008D666E">
      <w:pPr>
        <w:pStyle w:val="Point10"/>
        <w:rPr>
          <w:noProof/>
        </w:rPr>
      </w:pPr>
      <w:r w:rsidRPr="008D666E">
        <w:rPr>
          <w:noProof/>
        </w:rPr>
        <w:t>(c)</w:t>
      </w:r>
      <w:r w:rsidRPr="008D666E">
        <w:rPr>
          <w:noProof/>
        </w:rPr>
        <w:tab/>
      </w:r>
      <w:r w:rsidR="00017B06" w:rsidRPr="00D207EA">
        <w:rPr>
          <w:noProof/>
        </w:rPr>
        <w:t>aide spécifique au coton; </w:t>
      </w:r>
    </w:p>
    <w:p w14:paraId="3EFEFFC0" w14:textId="6FD4DE2A" w:rsidR="00017B06" w:rsidRPr="00D207EA" w:rsidRDefault="008D666E" w:rsidP="008D666E">
      <w:pPr>
        <w:pStyle w:val="Point10"/>
        <w:rPr>
          <w:noProof/>
        </w:rPr>
      </w:pPr>
      <w:r w:rsidRPr="008D666E">
        <w:rPr>
          <w:noProof/>
        </w:rPr>
        <w:t>(d)</w:t>
      </w:r>
      <w:r w:rsidRPr="008D666E">
        <w:rPr>
          <w:noProof/>
        </w:rPr>
        <w:tab/>
      </w:r>
      <w:r w:rsidR="00017B06" w:rsidRPr="00D207EA">
        <w:rPr>
          <w:noProof/>
        </w:rPr>
        <w:t>paiement pour contraintes naturelles et autres contraintes spécifiques à une zone;  </w:t>
      </w:r>
    </w:p>
    <w:p w14:paraId="57A62D4F" w14:textId="46E8E638" w:rsidR="00017B06" w:rsidRPr="00D207EA" w:rsidRDefault="008D666E" w:rsidP="008D666E">
      <w:pPr>
        <w:pStyle w:val="Point10"/>
        <w:rPr>
          <w:noProof/>
        </w:rPr>
      </w:pPr>
      <w:r w:rsidRPr="008D666E">
        <w:rPr>
          <w:noProof/>
        </w:rPr>
        <w:t>(e)</w:t>
      </w:r>
      <w:r w:rsidRPr="008D666E">
        <w:rPr>
          <w:noProof/>
        </w:rPr>
        <w:tab/>
      </w:r>
      <w:r w:rsidR="00017B06" w:rsidRPr="00D207EA">
        <w:rPr>
          <w:noProof/>
        </w:rPr>
        <w:t>soutien pour désavantages spécifiques à une zone résultant de certaines exigences obligatoires;  </w:t>
      </w:r>
    </w:p>
    <w:p w14:paraId="1D251142" w14:textId="6E6229C2" w:rsidR="00017B06" w:rsidRPr="00D207EA" w:rsidRDefault="008D666E" w:rsidP="008D666E">
      <w:pPr>
        <w:pStyle w:val="Point10"/>
        <w:rPr>
          <w:noProof/>
        </w:rPr>
      </w:pPr>
      <w:r w:rsidRPr="008D666E">
        <w:rPr>
          <w:noProof/>
        </w:rPr>
        <w:t>(f)</w:t>
      </w:r>
      <w:r w:rsidRPr="008D666E">
        <w:rPr>
          <w:noProof/>
        </w:rPr>
        <w:tab/>
      </w:r>
      <w:r w:rsidR="00017B06" w:rsidRPr="00D207EA">
        <w:rPr>
          <w:noProof/>
        </w:rPr>
        <w:t>actions agroenvironnementales et climatiques;  </w:t>
      </w:r>
    </w:p>
    <w:p w14:paraId="3213D77C" w14:textId="20BF851B" w:rsidR="00820250" w:rsidRPr="00D207EA" w:rsidRDefault="008D666E" w:rsidP="008D666E">
      <w:pPr>
        <w:pStyle w:val="Point10"/>
        <w:rPr>
          <w:noProof/>
        </w:rPr>
      </w:pPr>
      <w:r w:rsidRPr="008D666E">
        <w:rPr>
          <w:noProof/>
        </w:rPr>
        <w:t>(g)</w:t>
      </w:r>
      <w:r w:rsidRPr="008D666E">
        <w:rPr>
          <w:noProof/>
        </w:rPr>
        <w:tab/>
      </w:r>
      <w:r w:rsidR="00820250" w:rsidRPr="00D207EA">
        <w:rPr>
          <w:noProof/>
        </w:rPr>
        <w:t>soutien en faveur des petits agriculteurs;</w:t>
      </w:r>
    </w:p>
    <w:p w14:paraId="3E3E86F7" w14:textId="7A1F6055" w:rsidR="00017B06" w:rsidRPr="00D207EA" w:rsidRDefault="008D666E" w:rsidP="008D666E">
      <w:pPr>
        <w:pStyle w:val="Point10"/>
        <w:rPr>
          <w:noProof/>
        </w:rPr>
      </w:pPr>
      <w:r w:rsidRPr="008D666E">
        <w:rPr>
          <w:noProof/>
        </w:rPr>
        <w:t>(h)</w:t>
      </w:r>
      <w:r w:rsidRPr="008D666E">
        <w:rPr>
          <w:noProof/>
        </w:rPr>
        <w:tab/>
      </w:r>
      <w:r w:rsidR="00017B06" w:rsidRPr="00D207EA">
        <w:rPr>
          <w:noProof/>
        </w:rPr>
        <w:t>soutien aux outils de gestion des risques;  </w:t>
      </w:r>
    </w:p>
    <w:p w14:paraId="7FCC802D" w14:textId="61E3C592" w:rsidR="00017B06" w:rsidRPr="00D207EA" w:rsidRDefault="008D666E" w:rsidP="008D666E">
      <w:pPr>
        <w:pStyle w:val="Point10"/>
        <w:rPr>
          <w:noProof/>
        </w:rPr>
      </w:pPr>
      <w:r w:rsidRPr="008D666E">
        <w:rPr>
          <w:noProof/>
        </w:rPr>
        <w:t>(i)</w:t>
      </w:r>
      <w:r w:rsidRPr="008D666E">
        <w:rPr>
          <w:noProof/>
        </w:rPr>
        <w:tab/>
      </w:r>
      <w:r w:rsidR="00017B06" w:rsidRPr="00D207EA">
        <w:rPr>
          <w:noProof/>
        </w:rPr>
        <w:t>soutien aux investissements pour les agriculteurs et les sylviculteurs;  </w:t>
      </w:r>
    </w:p>
    <w:p w14:paraId="635E455E" w14:textId="1E208D91" w:rsidR="00017B06" w:rsidRPr="00D207EA" w:rsidRDefault="008D666E" w:rsidP="008D666E">
      <w:pPr>
        <w:pStyle w:val="Point10"/>
        <w:rPr>
          <w:noProof/>
        </w:rPr>
      </w:pPr>
      <w:r w:rsidRPr="008D666E">
        <w:rPr>
          <w:noProof/>
        </w:rPr>
        <w:t>(j)</w:t>
      </w:r>
      <w:r w:rsidRPr="008D666E">
        <w:rPr>
          <w:noProof/>
        </w:rPr>
        <w:tab/>
      </w:r>
      <w:r w:rsidR="00017B06" w:rsidRPr="00D207EA">
        <w:rPr>
          <w:noProof/>
        </w:rPr>
        <w:t>soutien à l’installation des jeunes agriculteurs, des nouveaux agriculteurs, et des entreprises et des jeunes pousses rurales, ainsi qu’au développement des petits agriculteurs; </w:t>
      </w:r>
    </w:p>
    <w:p w14:paraId="32980D47" w14:textId="21FA65CF" w:rsidR="00017B06" w:rsidRPr="00D207EA" w:rsidRDefault="008D666E" w:rsidP="008D666E">
      <w:pPr>
        <w:pStyle w:val="Point10"/>
        <w:rPr>
          <w:noProof/>
        </w:rPr>
      </w:pPr>
      <w:r w:rsidRPr="008D666E">
        <w:rPr>
          <w:noProof/>
        </w:rPr>
        <w:t>(k)</w:t>
      </w:r>
      <w:r w:rsidRPr="008D666E">
        <w:rPr>
          <w:noProof/>
        </w:rPr>
        <w:tab/>
      </w:r>
      <w:r w:rsidR="00017B06" w:rsidRPr="00D207EA">
        <w:rPr>
          <w:noProof/>
        </w:rPr>
        <w:t>soutien aux services de remplacement agricole;</w:t>
      </w:r>
    </w:p>
    <w:p w14:paraId="0E422660" w14:textId="1097934B" w:rsidR="00017B06" w:rsidRPr="00D207EA" w:rsidRDefault="008D666E" w:rsidP="008D666E">
      <w:pPr>
        <w:pStyle w:val="Point10"/>
        <w:rPr>
          <w:noProof/>
        </w:rPr>
      </w:pPr>
      <w:r w:rsidRPr="008D666E">
        <w:rPr>
          <w:noProof/>
        </w:rPr>
        <w:t>(l)</w:t>
      </w:r>
      <w:r w:rsidRPr="008D666E">
        <w:rPr>
          <w:noProof/>
        </w:rPr>
        <w:tab/>
      </w:r>
      <w:r w:rsidR="00017B06" w:rsidRPr="00D207EA">
        <w:rPr>
          <w:noProof/>
        </w:rPr>
        <w:t>LEADER; </w:t>
      </w:r>
    </w:p>
    <w:p w14:paraId="1AC6F297" w14:textId="5297474F" w:rsidR="00477A6A" w:rsidRPr="00D207EA" w:rsidRDefault="008D666E" w:rsidP="008D666E">
      <w:pPr>
        <w:pStyle w:val="Point10"/>
        <w:rPr>
          <w:noProof/>
          <w:szCs w:val="24"/>
        </w:rPr>
      </w:pPr>
      <w:r w:rsidRPr="008D666E">
        <w:rPr>
          <w:noProof/>
        </w:rPr>
        <w:t>(m)</w:t>
      </w:r>
      <w:r w:rsidRPr="008D666E">
        <w:rPr>
          <w:noProof/>
        </w:rPr>
        <w:tab/>
      </w:r>
      <w:r w:rsidR="00017B06" w:rsidRPr="00D207EA">
        <w:rPr>
          <w:noProof/>
        </w:rPr>
        <w:t>soutien au partage de connaissances et à l’innovation dans les secteurs de l’agriculture et de la foresterie, ainsi que dans les zones rurales;</w:t>
      </w:r>
    </w:p>
    <w:p w14:paraId="5D5549CB" w14:textId="4A3E4985" w:rsidR="00477A6A" w:rsidRPr="00D207EA" w:rsidRDefault="008D666E" w:rsidP="008D666E">
      <w:pPr>
        <w:pStyle w:val="Point10"/>
        <w:rPr>
          <w:noProof/>
          <w:szCs w:val="24"/>
        </w:rPr>
      </w:pPr>
      <w:r w:rsidRPr="008D666E">
        <w:rPr>
          <w:noProof/>
        </w:rPr>
        <w:t>(n)</w:t>
      </w:r>
      <w:r w:rsidRPr="008D666E">
        <w:rPr>
          <w:noProof/>
        </w:rPr>
        <w:tab/>
      </w:r>
      <w:r w:rsidR="00A145D3" w:rsidRPr="00D207EA">
        <w:rPr>
          <w:noProof/>
        </w:rPr>
        <w:t xml:space="preserve">initiatives de coopération territoriale et locale; </w:t>
      </w:r>
    </w:p>
    <w:p w14:paraId="2BFCE0C4" w14:textId="2BBB4477" w:rsidR="00477A6A" w:rsidRPr="00D207EA" w:rsidRDefault="008D666E" w:rsidP="008D666E">
      <w:pPr>
        <w:pStyle w:val="Point10"/>
        <w:rPr>
          <w:noProof/>
          <w:szCs w:val="24"/>
        </w:rPr>
      </w:pPr>
      <w:r w:rsidRPr="008D666E">
        <w:rPr>
          <w:noProof/>
        </w:rPr>
        <w:t>(o)</w:t>
      </w:r>
      <w:r w:rsidRPr="008D666E">
        <w:rPr>
          <w:noProof/>
        </w:rPr>
        <w:tab/>
      </w:r>
      <w:r w:rsidR="00477A6A" w:rsidRPr="00D207EA">
        <w:rPr>
          <w:noProof/>
        </w:rPr>
        <w:t>interventions dans les régions ultrapériphériques visées à l’article 46;</w:t>
      </w:r>
    </w:p>
    <w:p w14:paraId="1F4787E3" w14:textId="4195D28D" w:rsidR="00477A6A" w:rsidRPr="00D207EA" w:rsidRDefault="008D666E" w:rsidP="008D666E">
      <w:pPr>
        <w:pStyle w:val="Point10"/>
        <w:rPr>
          <w:noProof/>
          <w:szCs w:val="24"/>
        </w:rPr>
      </w:pPr>
      <w:r w:rsidRPr="008D666E">
        <w:rPr>
          <w:noProof/>
        </w:rPr>
        <w:t>(p)</w:t>
      </w:r>
      <w:r w:rsidRPr="008D666E">
        <w:rPr>
          <w:noProof/>
        </w:rPr>
        <w:tab/>
      </w:r>
      <w:r w:rsidR="00477A6A" w:rsidRPr="00D207EA">
        <w:rPr>
          <w:noProof/>
        </w:rPr>
        <w:t>interventions dans les îles mineures de la mer Égée visées à l’article 42;</w:t>
      </w:r>
    </w:p>
    <w:p w14:paraId="1634CA49" w14:textId="76234187" w:rsidR="00477A6A" w:rsidRPr="00D207EA" w:rsidRDefault="008D666E" w:rsidP="008D666E">
      <w:pPr>
        <w:pStyle w:val="Point10"/>
        <w:rPr>
          <w:noProof/>
          <w:szCs w:val="24"/>
        </w:rPr>
      </w:pPr>
      <w:r w:rsidRPr="008D666E">
        <w:rPr>
          <w:noProof/>
        </w:rPr>
        <w:t>(q)</w:t>
      </w:r>
      <w:r w:rsidRPr="008D666E">
        <w:rPr>
          <w:noProof/>
        </w:rPr>
        <w:tab/>
      </w:r>
      <w:r w:rsidR="00477A6A" w:rsidRPr="00D207EA">
        <w:rPr>
          <w:noProof/>
        </w:rPr>
        <w:t>programme à destination des écoles de l’Union visé au titre I, partie II, chapitre II bis, du règlement (UE) nº 1308/2013;</w:t>
      </w:r>
    </w:p>
    <w:p w14:paraId="02411C8E" w14:textId="11EE1834" w:rsidR="00017B06" w:rsidRPr="00D207EA" w:rsidRDefault="008D666E" w:rsidP="008D666E">
      <w:pPr>
        <w:pStyle w:val="Point10"/>
        <w:rPr>
          <w:noProof/>
          <w:szCs w:val="24"/>
        </w:rPr>
      </w:pPr>
      <w:r w:rsidRPr="008D666E">
        <w:rPr>
          <w:noProof/>
        </w:rPr>
        <w:t>(r)</w:t>
      </w:r>
      <w:r w:rsidRPr="008D666E">
        <w:rPr>
          <w:noProof/>
        </w:rPr>
        <w:tab/>
      </w:r>
      <w:r w:rsidR="00017B06" w:rsidRPr="00D207EA">
        <w:rPr>
          <w:noProof/>
        </w:rPr>
        <w:t>soutien aux interventions dans certains secteurs visées au titre X du règlement (UE) nº 1308/2013.</w:t>
      </w:r>
    </w:p>
    <w:p w14:paraId="16F11262" w14:textId="0A0E8CA8" w:rsidR="002F277D" w:rsidRPr="00D207EA" w:rsidRDefault="002F277D" w:rsidP="00C21519">
      <w:pPr>
        <w:pStyle w:val="NumPar10000000"/>
        <w:numPr>
          <w:ilvl w:val="0"/>
          <w:numId w:val="148"/>
        </w:numPr>
        <w:rPr>
          <w:noProof/>
        </w:rPr>
      </w:pPr>
      <w:r w:rsidRPr="00D207EA">
        <w:rPr>
          <w:noProof/>
        </w:rPr>
        <w:t>Les interventions visées au paragraphe 1, points a), b), c) et g), ne s’appliquent pas aux régions ultrapériphériques visées au titre IV.</w:t>
      </w:r>
    </w:p>
    <w:p w14:paraId="395B062E" w14:textId="6B36B250" w:rsidR="00017B06" w:rsidRPr="00D207EA" w:rsidRDefault="00017B06" w:rsidP="00C21519">
      <w:pPr>
        <w:pStyle w:val="NumPar10000000"/>
        <w:numPr>
          <w:ilvl w:val="0"/>
          <w:numId w:val="148"/>
        </w:numPr>
        <w:rPr>
          <w:noProof/>
        </w:rPr>
      </w:pPr>
      <w:r w:rsidRPr="00D207EA">
        <w:rPr>
          <w:noProof/>
        </w:rPr>
        <w:t>Les interventions visées au paragraphe 1, points a) à k) et r), sont des interventions d’aide au revenu financées par le Fonds conformément à l’article 10, paragraphe 2, point a) ii) [Budget].</w:t>
      </w:r>
    </w:p>
    <w:p w14:paraId="7408F59D" w14:textId="2C63AA7D" w:rsidR="001B28E6" w:rsidRPr="00D207EA" w:rsidRDefault="00723C5B" w:rsidP="001B28E6">
      <w:pPr>
        <w:pStyle w:val="Text1"/>
        <w:rPr>
          <w:noProof/>
        </w:rPr>
      </w:pPr>
      <w:r w:rsidRPr="00D207EA">
        <w:rPr>
          <w:noProof/>
        </w:rPr>
        <w:t>L’aide moyenne prévue par hectare pour l’aide dégressive fondée sur la surface visée au premier alinéa n’est pas inférieure à 130 EUR ni supérieure à 240 EUR pour chaque État membre. Pour le coton, les aides sont définies à l’article 38.</w:t>
      </w:r>
    </w:p>
    <w:p w14:paraId="16C37F40" w14:textId="2B808025" w:rsidR="004D2B6E" w:rsidRPr="00D207EA" w:rsidRDefault="001D0ADB" w:rsidP="00C21519">
      <w:pPr>
        <w:pStyle w:val="NumPar10000000"/>
        <w:numPr>
          <w:ilvl w:val="0"/>
          <w:numId w:val="148"/>
        </w:numPr>
        <w:rPr>
          <w:noProof/>
          <w:szCs w:val="24"/>
        </w:rPr>
      </w:pPr>
      <w:r w:rsidRPr="00D207EA">
        <w:rPr>
          <w:noProof/>
        </w:rPr>
        <w:t>Sous réserve du respect de l’article 20, paragraphe 4 [contribution nationale aux coûts estimés], la contribution nationale minimale aux interventions visées au paragraphe 1, points d) à k), n’est pas inférieure à 30 % des coûts totaux estimés de chaque intervention.</w:t>
      </w:r>
    </w:p>
    <w:p w14:paraId="64F56D6D" w14:textId="7BC0C582" w:rsidR="00380A9B" w:rsidRPr="00D207EA" w:rsidRDefault="002D02CB" w:rsidP="008C57CF">
      <w:pPr>
        <w:pStyle w:val="Text1"/>
        <w:rPr>
          <w:noProof/>
          <w:szCs w:val="24"/>
        </w:rPr>
      </w:pPr>
      <w:r w:rsidRPr="00D207EA">
        <w:rPr>
          <w:noProof/>
        </w:rPr>
        <w:t>Le taux de soutien maximal applicable aux interventions visées au paragraphe 1, point i) [investissements en faveur des agriculteurs], s’élève à 75 % du total des coûts éligibles de chaque intervention. Toutefois, le taux de soutien maximal applicable aux interventions visées au paragraphe 1, point i), en faveur des jeunes agriculteurs s’élève à 85 % des dépenses publiques éligibles.</w:t>
      </w:r>
    </w:p>
    <w:p w14:paraId="3673CAC3" w14:textId="5166709E" w:rsidR="003B33CE" w:rsidRPr="00D207EA" w:rsidRDefault="003B33CE" w:rsidP="00C21519">
      <w:pPr>
        <w:pStyle w:val="NumPar10000000"/>
        <w:numPr>
          <w:ilvl w:val="0"/>
          <w:numId w:val="148"/>
        </w:numPr>
        <w:rPr>
          <w:noProof/>
        </w:rPr>
      </w:pPr>
      <w:r w:rsidRPr="00D207EA">
        <w:rPr>
          <w:noProof/>
        </w:rPr>
        <w:t>L’allocation financière aux interventions d’aide couplée au revenu tel que visé au paragraphe 1, point b), est limitée à un maximum de 20 % de la contribution de l’Union fixée par l’État membre dans le plan PNR pour les interventions d’aide au revenu au titre de la PAC visées au paragraphe 1, points a), c), f) et g). Ce pourcentage peut être augmenté de 5 points de pourcentage au maximum, à condition que le montant correspondant au pourcentage dépassant 20 % soit alloué aux protéagineux, aux agriculteurs combinant la production de cultures et d’élevage ou aux zones agricoles menacées d’abandon de production agricole, en particulier dans les régions frontalières orientales, définies dans les plans. Aux fins du présent article, on entend par régions frontalières orientales les régions NUTS 2 de l’Union limitrophes, par terre ou par mer, de la Fédération de Russie, de la Biélorussie ou de l’Ukraine, qui ne couvrent pas la totalité du territoire de l’État membre concerné.</w:t>
      </w:r>
    </w:p>
    <w:p w14:paraId="13365E5A" w14:textId="77777777" w:rsidR="00AD0CAC" w:rsidRPr="00D207EA" w:rsidRDefault="00AD0CAC" w:rsidP="00C21519">
      <w:pPr>
        <w:pStyle w:val="NumPar10000000"/>
        <w:numPr>
          <w:ilvl w:val="0"/>
          <w:numId w:val="148"/>
        </w:numPr>
        <w:rPr>
          <w:noProof/>
        </w:rPr>
      </w:pPr>
      <w:r w:rsidRPr="00D207EA">
        <w:rPr>
          <w:noProof/>
        </w:rPr>
        <w:t>La contribution nationale minimale aux dépenses publiques totales éligibles des interventions du programme à destination des écoles de l’Union visées au titre I, partie II, chapitre II </w:t>
      </w:r>
      <w:r w:rsidRPr="00D207EA">
        <w:rPr>
          <w:i/>
          <w:iCs/>
          <w:noProof/>
        </w:rPr>
        <w:t>bis</w:t>
      </w:r>
      <w:r w:rsidRPr="00D207EA">
        <w:rPr>
          <w:noProof/>
        </w:rPr>
        <w:t xml:space="preserve"> du règlement (UE) nº 1308/2013 est de 30 % des dépenses publiques totales éligibles de chaque intervention.</w:t>
      </w:r>
    </w:p>
    <w:p w14:paraId="27CE6F6C" w14:textId="77777777" w:rsidR="00AD0CAC" w:rsidRPr="00D207EA" w:rsidRDefault="00AD0CAC" w:rsidP="008C57CF">
      <w:pPr>
        <w:pStyle w:val="Text1"/>
        <w:rPr>
          <w:noProof/>
        </w:rPr>
      </w:pPr>
      <w:r w:rsidRPr="00D207EA">
        <w:rPr>
          <w:noProof/>
        </w:rPr>
        <w:t>Les États membres peuvent, en plus de l’aide financière de l’Union et de la contribution nationale aux coûts des interventions visées au premier alinéa, accorder un financement national supplémentaire.</w:t>
      </w:r>
    </w:p>
    <w:p w14:paraId="35955C13" w14:textId="77777777" w:rsidR="00AD0CAC" w:rsidRPr="00D207EA" w:rsidRDefault="00AD0CAC" w:rsidP="008C57CF">
      <w:pPr>
        <w:pStyle w:val="Text1"/>
        <w:rPr>
          <w:noProof/>
        </w:rPr>
      </w:pPr>
      <w:r w:rsidRPr="00D207EA">
        <w:rPr>
          <w:noProof/>
        </w:rPr>
        <w:t>Le montant de l’aide financière de l’Union prévue dans le plan PNR pour les interventions de sensibilisation visées à l’article 29 du règlement (UE) nº 1308/2013 ne dépasse pas 15 % du montant total de l’aide financière de l’Union et de la contribution nationale prévues dans le plan PNR pour les interventions du programme à destination des écoles de l’Union visées au premier alinéa.</w:t>
      </w:r>
    </w:p>
    <w:p w14:paraId="3DFA1693" w14:textId="77777777" w:rsidR="00AD0CAC" w:rsidRPr="00D207EA" w:rsidRDefault="00AD0CAC" w:rsidP="008C57CF">
      <w:pPr>
        <w:pStyle w:val="Text1"/>
        <w:rPr>
          <w:noProof/>
        </w:rPr>
      </w:pPr>
      <w:r w:rsidRPr="00D207EA">
        <w:rPr>
          <w:noProof/>
        </w:rPr>
        <w:t>Le montant de l’aide financière de l’Union prévu dans le plan PNR pour la fourniture et la distribution de produits contenant des sucres libres ou ayant une teneur en matières grasses supérieure à 4 % ne dépasse pas 10 % du montant total de l’aide financière de l’Union et de la contribution nationale prévu dans le plan PNR pour les interventions visées au premier alinéa.</w:t>
      </w:r>
    </w:p>
    <w:p w14:paraId="3E40DECB" w14:textId="77777777" w:rsidR="00AD0CAC" w:rsidRPr="00D207EA" w:rsidRDefault="00DF5E62" w:rsidP="00C21519">
      <w:pPr>
        <w:pStyle w:val="NumPar10000000"/>
        <w:numPr>
          <w:ilvl w:val="0"/>
          <w:numId w:val="148"/>
        </w:numPr>
        <w:rPr>
          <w:noProof/>
        </w:rPr>
      </w:pPr>
      <w:r w:rsidRPr="00D207EA">
        <w:rPr>
          <w:noProof/>
        </w:rPr>
        <w:t>Le programme à destination des écoles de l’Union n’a pas d’incidence sur les éventuels programmes nationaux distincts à destination des écoles qui sont conformes à la législation de l’Union. Le financement de l’Union peut être utilisé en vue d’étendre la portée ou d’améliorer l’efficacité de programmes nationaux existants à destination des écoles ou de programmes nationaux de distribution de fruits, de légumes et de lait dans les établissements d’enseignement, mais il ne remplace pas le financement de ces programmes nationaux existants, sauf en ce qui concerne la distribution gratuite de repas aux enfants dans les établissements scolaires.</w:t>
      </w:r>
    </w:p>
    <w:p w14:paraId="59AFDFF8" w14:textId="77777777" w:rsidR="008C13C9" w:rsidRPr="00D207EA" w:rsidRDefault="001D0ADB" w:rsidP="00C21519">
      <w:pPr>
        <w:pStyle w:val="NumPar10000000"/>
        <w:numPr>
          <w:ilvl w:val="0"/>
          <w:numId w:val="148"/>
        </w:numPr>
        <w:rPr>
          <w:noProof/>
        </w:rPr>
      </w:pPr>
      <w:r w:rsidRPr="00D207EA">
        <w:rPr>
          <w:noProof/>
        </w:rPr>
        <w:t>Sous réserve du respect des dispositions de l’article 20, paragraphe 4 [contribution nationale aux coûts estimés], la contribution nationale minimale aux dépenses publiques totales éligibles des interventions du programme à destination des écoles de l’Union visées au titre I, partie II, chapitre II </w:t>
      </w:r>
      <w:r w:rsidRPr="00D207EA">
        <w:rPr>
          <w:i/>
          <w:iCs/>
          <w:noProof/>
        </w:rPr>
        <w:t>bis</w:t>
      </w:r>
      <w:r w:rsidRPr="00D207EA">
        <w:rPr>
          <w:noProof/>
        </w:rPr>
        <w:t xml:space="preserve"> du règlement (UE) nº 1308/2013 s’élève à 30 % des dépenses publiques totales éligibles de chaque intervention.</w:t>
      </w:r>
    </w:p>
    <w:p w14:paraId="4B301F36" w14:textId="77777777" w:rsidR="008C13C9" w:rsidRPr="00D207EA" w:rsidRDefault="008C13C9" w:rsidP="008C57CF">
      <w:pPr>
        <w:pStyle w:val="Text1"/>
        <w:rPr>
          <w:noProof/>
        </w:rPr>
      </w:pPr>
      <w:r w:rsidRPr="00D207EA">
        <w:rPr>
          <w:noProof/>
        </w:rPr>
        <w:t>Le taux de soutien maximal applicable à ces interventions s’élève à 75 % du total des coûts éligibles de chaque intervention.</w:t>
      </w:r>
    </w:p>
    <w:p w14:paraId="102A2699" w14:textId="77777777" w:rsidR="008C13C9" w:rsidRPr="00D207EA" w:rsidRDefault="008C13C9" w:rsidP="008C57CF">
      <w:pPr>
        <w:pStyle w:val="Text1"/>
        <w:rPr>
          <w:noProof/>
        </w:rPr>
      </w:pPr>
      <w:r w:rsidRPr="00D207EA">
        <w:rPr>
          <w:noProof/>
        </w:rPr>
        <w:t>Par dérogation aux premier et deuxième alinéas, la contribution nationale minimale aux dépenses publiques éligibles des interventions dans le secteur de l’apiculture mises en œuvre par des bénéficiaires autres que des organisations de producteurs, des associations d’organisations de producteurs ou des groupements de producteurs identifiés est au moins égale à l’aide financière de l’Union accordée pour ces interventions.</w:t>
      </w:r>
    </w:p>
    <w:p w14:paraId="3C17761A" w14:textId="77777777" w:rsidR="008C13C9" w:rsidRPr="00D207EA" w:rsidRDefault="008C13C9" w:rsidP="008C57CF">
      <w:pPr>
        <w:pStyle w:val="Text1"/>
        <w:rPr>
          <w:noProof/>
        </w:rPr>
      </w:pPr>
      <w:r w:rsidRPr="00D207EA">
        <w:rPr>
          <w:noProof/>
        </w:rPr>
        <w:t>Par dérogation au deuxième alinéa, les États membres peuvent décider de porter le taux de soutien maximal à 95 % du total des coûts éligibles de chaque intervention pour les interventions liées au renouvellement des générations, à la recherche et à l’innovation, à la gestion des risques ou à l’environnement et au climat, ainsi que pour les organisations de producteurs qui mettent en œuvre des programmes opérationnels pour la première fois.</w:t>
      </w:r>
    </w:p>
    <w:p w14:paraId="6B1A97F6" w14:textId="77777777" w:rsidR="008C13C9" w:rsidRPr="00D207EA" w:rsidRDefault="008C13C9" w:rsidP="008C57CF">
      <w:pPr>
        <w:pStyle w:val="Text1"/>
        <w:rPr>
          <w:noProof/>
        </w:rPr>
      </w:pPr>
      <w:r w:rsidRPr="00D207EA">
        <w:rPr>
          <w:noProof/>
        </w:rPr>
        <w:t>Par dérogation au deuxième alinéa, les États membres peuvent également décider d’indemniser les producteurs pour les pertes de revenu dues à la mise en œuvre des interventions visées à l’article 31, point n), du règlement (UE) nº 1308/2013, en couvrant jusqu’à 100 % de la perte correspondante pendant une période maximale de trois ans.</w:t>
      </w:r>
    </w:p>
    <w:p w14:paraId="7644B45F" w14:textId="77777777" w:rsidR="008C13C9" w:rsidRPr="00D207EA" w:rsidRDefault="008C13C9" w:rsidP="008C57CF">
      <w:pPr>
        <w:pStyle w:val="Text1"/>
        <w:rPr>
          <w:noProof/>
        </w:rPr>
      </w:pPr>
      <w:r w:rsidRPr="00D207EA">
        <w:rPr>
          <w:noProof/>
        </w:rPr>
        <w:t>Par dérogation au deuxième alinéa, les États membres peuvent décider de porter le taux de soutien maximal aux interventions concernant les retraits du marché pour distribution gratuite à 100 % dans le cas des retraits du marché qui ne dépassent pas 5 % du volume de la production commercialisée par une organisation de producteurs. Le volume de la production est calculé comme la moyenne des volumes globaux des produits pour lesquels l’organisation de producteurs est reconnue et qui sont commercialisés par ladite organisation au cours des trois années précédentes. Les États membres veillent à ce que l’indemnisation accordée pour les retraits du marché ne dépasse pas le prix du marché des produits retirés.</w:t>
      </w:r>
    </w:p>
    <w:p w14:paraId="44C89207" w14:textId="77777777" w:rsidR="008C13C9" w:rsidRPr="00D207EA" w:rsidRDefault="008C13C9" w:rsidP="00C21519">
      <w:pPr>
        <w:pStyle w:val="NumPar10000000"/>
        <w:numPr>
          <w:ilvl w:val="0"/>
          <w:numId w:val="148"/>
        </w:numPr>
        <w:rPr>
          <w:noProof/>
        </w:rPr>
      </w:pPr>
      <w:r w:rsidRPr="00D207EA">
        <w:rPr>
          <w:noProof/>
        </w:rPr>
        <w:t>Sous réserve du respect des dispositions de l’article 20, paragraphe 4, l’aide financière de l’Union à accorder aux organisations de producteurs reconnues, aux associations d’organisations de producteurs ou aux groupements de producteurs identifiés qui mettent en œuvre des interventions dans certains secteurs visés à l’article 31 du règlement (UE) nº 1308/2013 est limitée à:</w:t>
      </w:r>
    </w:p>
    <w:p w14:paraId="5D96F793" w14:textId="4B86EAE4" w:rsidR="008C13C9" w:rsidRPr="00D207EA" w:rsidRDefault="008D666E" w:rsidP="008D666E">
      <w:pPr>
        <w:pStyle w:val="Point2"/>
        <w:rPr>
          <w:noProof/>
        </w:rPr>
      </w:pPr>
      <w:r w:rsidRPr="008D666E">
        <w:rPr>
          <w:noProof/>
        </w:rPr>
        <w:t>(a)</w:t>
      </w:r>
      <w:r w:rsidRPr="008D666E">
        <w:rPr>
          <w:noProof/>
        </w:rPr>
        <w:tab/>
      </w:r>
      <w:r w:rsidR="008C13C9" w:rsidRPr="00D207EA">
        <w:rPr>
          <w:noProof/>
        </w:rPr>
        <w:t>4,1 % de la valeur de la production commercialisée de chaque organisation de producteurs;</w:t>
      </w:r>
    </w:p>
    <w:p w14:paraId="03A4A4DD" w14:textId="72FF69B3" w:rsidR="008C13C9" w:rsidRPr="00D207EA" w:rsidRDefault="008D666E" w:rsidP="008D666E">
      <w:pPr>
        <w:pStyle w:val="Point2"/>
        <w:rPr>
          <w:noProof/>
        </w:rPr>
      </w:pPr>
      <w:r w:rsidRPr="008D666E">
        <w:rPr>
          <w:noProof/>
        </w:rPr>
        <w:t>(b)</w:t>
      </w:r>
      <w:r w:rsidRPr="008D666E">
        <w:rPr>
          <w:noProof/>
        </w:rPr>
        <w:tab/>
      </w:r>
      <w:r w:rsidR="008C13C9" w:rsidRPr="00D207EA">
        <w:rPr>
          <w:noProof/>
        </w:rPr>
        <w:t>4,5 % de la valeur de la production commercialisée de chaque association d’organisations de producteurs;</w:t>
      </w:r>
    </w:p>
    <w:p w14:paraId="5E555952" w14:textId="2F448718" w:rsidR="008C13C9" w:rsidRPr="00D207EA" w:rsidRDefault="008D666E" w:rsidP="008D666E">
      <w:pPr>
        <w:pStyle w:val="Point2"/>
        <w:rPr>
          <w:noProof/>
        </w:rPr>
      </w:pPr>
      <w:r w:rsidRPr="008D666E">
        <w:rPr>
          <w:noProof/>
        </w:rPr>
        <w:t>(c)</w:t>
      </w:r>
      <w:r w:rsidRPr="008D666E">
        <w:rPr>
          <w:noProof/>
        </w:rPr>
        <w:tab/>
      </w:r>
      <w:r w:rsidR="008C13C9" w:rsidRPr="00D207EA">
        <w:rPr>
          <w:noProof/>
        </w:rPr>
        <w:t>5 % de la valeur de la production commercialisée de chaque organisation transnationale de producteurs ou association transnationale d’organisations de producteurs.</w:t>
      </w:r>
    </w:p>
    <w:p w14:paraId="0B5090FC" w14:textId="77777777" w:rsidR="008C13C9" w:rsidRPr="00D207EA" w:rsidRDefault="008C13C9" w:rsidP="008C57CF">
      <w:pPr>
        <w:pStyle w:val="Text1"/>
        <w:rPr>
          <w:noProof/>
        </w:rPr>
      </w:pPr>
      <w:r w:rsidRPr="00D207EA">
        <w:rPr>
          <w:noProof/>
        </w:rPr>
        <w:t>Ces limites peuvent être augmentées de 0,5 point de pourcentage lorsque le programme opérationnel comprend une ou plusieurs interventions liées au renouvellement des générations, à la recherche et à l’innovation, à la gestion des risques ou à l’environnement et au climat, à condition que le montant dépassant le pourcentage correspondant fixé au premier alinéa, points a), b) ou c), soit utilisé uniquement pour financer les dépenses liées à la mise en œuvre de ces interventions.</w:t>
      </w:r>
    </w:p>
    <w:p w14:paraId="2CD6C021" w14:textId="77777777" w:rsidR="008C13C9" w:rsidRPr="00D207EA" w:rsidRDefault="008C13C9" w:rsidP="008C57CF">
      <w:pPr>
        <w:pStyle w:val="Text1"/>
        <w:rPr>
          <w:noProof/>
        </w:rPr>
      </w:pPr>
      <w:r w:rsidRPr="00D207EA">
        <w:rPr>
          <w:noProof/>
        </w:rPr>
        <w:t>Les États membres établissent dans leur plan PNR des règles relatives au calcul de l’aide à la distillation des sous-produits du vin, en veillant à ce que les distillateurs et les producteurs de vin bénéficient d’une indemnisation équitable.</w:t>
      </w:r>
    </w:p>
    <w:p w14:paraId="45958EC0" w14:textId="77777777" w:rsidR="008C13C9" w:rsidRPr="00D207EA" w:rsidRDefault="008C13C9" w:rsidP="008C57CF">
      <w:pPr>
        <w:pStyle w:val="Text1"/>
        <w:rPr>
          <w:noProof/>
        </w:rPr>
      </w:pPr>
      <w:r w:rsidRPr="00D207EA">
        <w:rPr>
          <w:noProof/>
        </w:rPr>
        <w:t>Si les États membres établissent dans leur plan PNR que les entités visées à l’article 32, paragraphe 3, du règlement (UE) nº 1308/2013 peuvent être bénéficiaires des interventions dans certains secteurs visés à l’article 31 dudit règlement, les États membres fournissent également un soutien à la mise en place d’organisations de producteurs conformément à l’article 74 [coopération] en plus du soutien fourni pour la mise en œuvre de l’intervention.</w:t>
      </w:r>
    </w:p>
    <w:p w14:paraId="159230A6" w14:textId="77777777" w:rsidR="001D0ADB" w:rsidRPr="00D207EA" w:rsidRDefault="008C13C9" w:rsidP="008C57CF">
      <w:pPr>
        <w:pStyle w:val="Text1"/>
        <w:rPr>
          <w:noProof/>
        </w:rPr>
      </w:pPr>
      <w:r w:rsidRPr="00D207EA">
        <w:rPr>
          <w:noProof/>
        </w:rPr>
        <w:t>L’aide financière de l’Union et la contribution nationale à chaque intervention dans certains secteurs visés à l’article 31 du règlement (UE) nº 1308/2013 ne dépassent pas ensemble 100 % des coûts réels de l’intervention.</w:t>
      </w:r>
    </w:p>
    <w:p w14:paraId="2460FC11" w14:textId="77777777" w:rsidR="007A2212" w:rsidRPr="00D207EA" w:rsidRDefault="00A145D3" w:rsidP="00C21519">
      <w:pPr>
        <w:pStyle w:val="NumPar10000000"/>
        <w:numPr>
          <w:ilvl w:val="0"/>
          <w:numId w:val="148"/>
        </w:numPr>
        <w:rPr>
          <w:noProof/>
        </w:rPr>
      </w:pPr>
      <w:r w:rsidRPr="00D207EA">
        <w:rPr>
          <w:noProof/>
        </w:rPr>
        <w:t>Le soutien aux interventions visées au paragraphe 1 ne peut être fourni que dans les conditions prévues par le présent titre. Tout montant relatif à l’année de demande 2027 figurant à l’annexe V du règlement (UE) 2021/2115 ainsi que les demandes liées aux types d’interventions visées à l’article 42 du règlement (UE) 2021/2115, les demandes liées aux règlements (UE) 228/2013 et 229/2013 sont comptabilisés dans les «engagements budgétaires» pour l’exercice 2028, conformément à l’article 14, paragraphe 1, point a).</w:t>
      </w:r>
    </w:p>
    <w:p w14:paraId="37B2CEA6" w14:textId="77777777" w:rsidR="007A2212" w:rsidRPr="00D207EA" w:rsidRDefault="00A145D3" w:rsidP="008C57CF">
      <w:pPr>
        <w:pStyle w:val="Text1"/>
        <w:rPr>
          <w:noProof/>
        </w:rPr>
      </w:pPr>
      <w:r w:rsidRPr="00D207EA">
        <w:rPr>
          <w:noProof/>
        </w:rPr>
        <w:t>Par dérogation à l’article 23, paragraphe 7, du présent règlement, la décision de financement au sens de l’article 110 du règlement (UE, Euratom) 2024/2509 peut être adoptée pour le montant visé au premier alinéa et le montant peut être engagé et payé avant l’adoption de la décision d’exécution visée à l’article 23, paragraphe 6, du présent règlement.</w:t>
      </w:r>
    </w:p>
    <w:p w14:paraId="61AE922A" w14:textId="77777777" w:rsidR="00EB6853" w:rsidRPr="00D207EA" w:rsidRDefault="00EB6853" w:rsidP="00C21519">
      <w:pPr>
        <w:pStyle w:val="NumPar10000000"/>
        <w:numPr>
          <w:ilvl w:val="0"/>
          <w:numId w:val="148"/>
        </w:numPr>
        <w:rPr>
          <w:noProof/>
        </w:rPr>
      </w:pPr>
      <w:r w:rsidRPr="00D207EA">
        <w:rPr>
          <w:noProof/>
        </w:rPr>
        <w:t>Les interventions de la politique commune de la pêche sont les suivantes:</w:t>
      </w:r>
    </w:p>
    <w:p w14:paraId="012A49A0" w14:textId="556C1A94" w:rsidR="00EB6853" w:rsidRPr="00D207EA" w:rsidRDefault="008D666E" w:rsidP="008D666E">
      <w:pPr>
        <w:pStyle w:val="Point10"/>
        <w:rPr>
          <w:noProof/>
        </w:rPr>
      </w:pPr>
      <w:r w:rsidRPr="008D666E">
        <w:rPr>
          <w:noProof/>
        </w:rPr>
        <w:t>(a)</w:t>
      </w:r>
      <w:r w:rsidRPr="008D666E">
        <w:rPr>
          <w:noProof/>
        </w:rPr>
        <w:tab/>
      </w:r>
      <w:r w:rsidR="00EB6853" w:rsidRPr="00D207EA">
        <w:rPr>
          <w:noProof/>
        </w:rPr>
        <w:t>le soutien à la pêche durable, à la restauration et à la conservation des ressources biologiques aquatiques, à la transition énergétique de la pêche et de l’aquaculture, ainsi qu’aux actions visant à améliorer la sécurité;</w:t>
      </w:r>
    </w:p>
    <w:p w14:paraId="4E5735F9" w14:textId="77821BA9" w:rsidR="00EB6853" w:rsidRPr="00D207EA" w:rsidRDefault="008D666E" w:rsidP="008D666E">
      <w:pPr>
        <w:pStyle w:val="Point10"/>
        <w:rPr>
          <w:noProof/>
        </w:rPr>
      </w:pPr>
      <w:r w:rsidRPr="008D666E">
        <w:rPr>
          <w:noProof/>
        </w:rPr>
        <w:t>(b)</w:t>
      </w:r>
      <w:r w:rsidRPr="008D666E">
        <w:rPr>
          <w:noProof/>
        </w:rPr>
        <w:tab/>
      </w:r>
      <w:r w:rsidR="00EB6853" w:rsidRPr="00D207EA">
        <w:rPr>
          <w:noProof/>
        </w:rPr>
        <w:t>le soutien à l’innovation pour des activités de pêche plus sélectives et pour la conservation, la protection et la restauration de la biodiversité et des écosystèmes aquatiques;</w:t>
      </w:r>
    </w:p>
    <w:p w14:paraId="02BE69CD" w14:textId="3FD207CD" w:rsidR="00EB6853" w:rsidRPr="00D207EA" w:rsidRDefault="008D666E" w:rsidP="008D666E">
      <w:pPr>
        <w:pStyle w:val="Point10"/>
        <w:rPr>
          <w:noProof/>
        </w:rPr>
      </w:pPr>
      <w:r w:rsidRPr="008D666E">
        <w:rPr>
          <w:noProof/>
        </w:rPr>
        <w:t>(c)</w:t>
      </w:r>
      <w:r w:rsidRPr="008D666E">
        <w:rPr>
          <w:noProof/>
        </w:rPr>
        <w:tab/>
      </w:r>
      <w:r w:rsidR="00EB6853" w:rsidRPr="00D207EA">
        <w:rPr>
          <w:noProof/>
        </w:rPr>
        <w:t>le soutien à l’organisation commune des marchés agricoles (OCM);</w:t>
      </w:r>
    </w:p>
    <w:p w14:paraId="5DEDA255" w14:textId="03D93BA6" w:rsidR="00EB6853" w:rsidRPr="00D207EA" w:rsidRDefault="008D666E" w:rsidP="008D666E">
      <w:pPr>
        <w:pStyle w:val="Point10"/>
        <w:rPr>
          <w:noProof/>
        </w:rPr>
      </w:pPr>
      <w:r w:rsidRPr="008D666E">
        <w:rPr>
          <w:noProof/>
        </w:rPr>
        <w:t>(d)</w:t>
      </w:r>
      <w:r w:rsidRPr="008D666E">
        <w:rPr>
          <w:noProof/>
        </w:rPr>
        <w:tab/>
      </w:r>
      <w:r w:rsidR="00EB6853" w:rsidRPr="00D207EA">
        <w:rPr>
          <w:noProof/>
        </w:rPr>
        <w:t>un soutien aux pêcheurs ou aux aquaculteurs pour l’indemnisation des opérateurs du secteur de la pêche et de l’aquaculture au titre de leurs pertes de revenus ou de leurs surcoûts et l’indemnisation des organisations de producteurs reconnues et des associations d’organisations de producteurs qui stockent des produits de la pêche énumérés à l’annexe II du règlement (UE) nº 1379/2013, pour autant que ces produits soient stockés conformément aux articles 30 et 31 dudit règlement.</w:t>
      </w:r>
    </w:p>
    <w:p w14:paraId="00796DF4" w14:textId="77777777" w:rsidR="000906E2" w:rsidRPr="00D207EA" w:rsidRDefault="00385942" w:rsidP="00C21519">
      <w:pPr>
        <w:pStyle w:val="NumPar10000000"/>
        <w:numPr>
          <w:ilvl w:val="0"/>
          <w:numId w:val="148"/>
        </w:numPr>
        <w:rPr>
          <w:noProof/>
        </w:rPr>
      </w:pPr>
      <w:r w:rsidRPr="00D207EA">
        <w:rPr>
          <w:noProof/>
        </w:rPr>
        <w:t>Lors de la détermination des montants à verser pour le soutien apporté aux interventions au titre de la PAC visées à l’article 35, paragraphe 1, points a) à h) et j), k) et r), et au paragraphe 11, les valeurs de paiement sont calculées sans mettre de côté les montants pour les réformes.</w:t>
      </w:r>
    </w:p>
    <w:p w14:paraId="4D7BD04E" w14:textId="77777777" w:rsidR="00385942" w:rsidRPr="00D207EA" w:rsidRDefault="00385942" w:rsidP="004D4C26">
      <w:pPr>
        <w:pStyle w:val="Titrearticle"/>
        <w:rPr>
          <w:noProof/>
        </w:rPr>
      </w:pPr>
      <w:r w:rsidRPr="00D207EA">
        <w:rPr>
          <w:noProof/>
        </w:rPr>
        <w:t>Article 36</w:t>
      </w:r>
      <w:r w:rsidRPr="00D207EA">
        <w:rPr>
          <w:noProof/>
        </w:rPr>
        <w:br/>
      </w:r>
      <w:r w:rsidRPr="00D207EA">
        <w:rPr>
          <w:b/>
          <w:noProof/>
        </w:rPr>
        <w:t>Exigences spécifiques pour les interventions au titre de la PAC</w:t>
      </w:r>
    </w:p>
    <w:p w14:paraId="21F30FB0" w14:textId="77777777" w:rsidR="00202276" w:rsidRPr="00D207EA" w:rsidRDefault="5BB54122" w:rsidP="00C21519">
      <w:pPr>
        <w:pStyle w:val="NumPar10000000"/>
        <w:numPr>
          <w:ilvl w:val="0"/>
          <w:numId w:val="190"/>
        </w:numPr>
        <w:rPr>
          <w:noProof/>
        </w:rPr>
      </w:pPr>
      <w:r w:rsidRPr="00D207EA">
        <w:rPr>
          <w:noProof/>
        </w:rPr>
        <w:t>Les États membres prévoient pour chaque intervention inscrite dans leurs plans:</w:t>
      </w:r>
    </w:p>
    <w:p w14:paraId="04AD9F98" w14:textId="28EC1473" w:rsidR="0018536E" w:rsidRPr="00D207EA" w:rsidRDefault="008D666E" w:rsidP="008D666E">
      <w:pPr>
        <w:pStyle w:val="Point10"/>
        <w:rPr>
          <w:noProof/>
        </w:rPr>
      </w:pPr>
      <w:r w:rsidRPr="008D666E">
        <w:rPr>
          <w:noProof/>
        </w:rPr>
        <w:t>(a)</w:t>
      </w:r>
      <w:r w:rsidRPr="008D666E">
        <w:rPr>
          <w:noProof/>
        </w:rPr>
        <w:tab/>
      </w:r>
      <w:r w:rsidR="0018536E" w:rsidRPr="00D207EA">
        <w:rPr>
          <w:noProof/>
        </w:rPr>
        <w:t>le type d’intervention sur lequel elle se fonde, le champ d’application territorial et le type de zone ciblée par l’intervention; </w:t>
      </w:r>
    </w:p>
    <w:p w14:paraId="13D036BB" w14:textId="1AAAE3A6" w:rsidR="00145689" w:rsidRPr="00D207EA" w:rsidRDefault="008D666E" w:rsidP="008D666E">
      <w:pPr>
        <w:pStyle w:val="Point10"/>
        <w:rPr>
          <w:noProof/>
        </w:rPr>
      </w:pPr>
      <w:r w:rsidRPr="008D666E">
        <w:rPr>
          <w:noProof/>
        </w:rPr>
        <w:t>(b)</w:t>
      </w:r>
      <w:r w:rsidRPr="008D666E">
        <w:rPr>
          <w:noProof/>
        </w:rPr>
        <w:tab/>
      </w:r>
      <w:r w:rsidR="00145689" w:rsidRPr="00D207EA">
        <w:rPr>
          <w:noProof/>
        </w:rPr>
        <w:t>le cas échéant, les secteurs visés par l’intervention ou le groupe d’agriculteurs ou d’autres bénéficiaires visés par l’intervention, le domaine prioritaire de la PAC en matière d’environnement et de climat, conformément à l’article 4 du règlement (UE) 202X/XXXX [règlement relatif à la PAC]; </w:t>
      </w:r>
    </w:p>
    <w:p w14:paraId="35D0535D" w14:textId="29C23653" w:rsidR="006F7A37" w:rsidRPr="00D207EA" w:rsidRDefault="008D666E" w:rsidP="008D666E">
      <w:pPr>
        <w:pStyle w:val="Point10"/>
        <w:rPr>
          <w:noProof/>
        </w:rPr>
      </w:pPr>
      <w:r w:rsidRPr="008D666E">
        <w:rPr>
          <w:noProof/>
        </w:rPr>
        <w:t>(c)</w:t>
      </w:r>
      <w:r w:rsidRPr="008D666E">
        <w:rPr>
          <w:noProof/>
        </w:rPr>
        <w:tab/>
      </w:r>
      <w:r w:rsidR="67CE74A8" w:rsidRPr="00D207EA">
        <w:rPr>
          <w:noProof/>
        </w:rPr>
        <w:t>une explication des critères pertinents de l’annexe 2 de l’accord de l’OMC sur l’agriculture, tels que visés à l’article 40 [soutien interne de l’OMC] et à l’annexe XVII [annexe relative à l’OMC];</w:t>
      </w:r>
    </w:p>
    <w:p w14:paraId="141AEFCE" w14:textId="22BF8E48" w:rsidR="00F13038" w:rsidRPr="00D207EA" w:rsidRDefault="008D666E" w:rsidP="008D666E">
      <w:pPr>
        <w:pStyle w:val="Point10"/>
        <w:rPr>
          <w:noProof/>
        </w:rPr>
      </w:pPr>
      <w:r w:rsidRPr="008D666E">
        <w:rPr>
          <w:noProof/>
        </w:rPr>
        <w:t>(d)</w:t>
      </w:r>
      <w:r w:rsidRPr="008D666E">
        <w:rPr>
          <w:noProof/>
        </w:rPr>
        <w:tab/>
      </w:r>
      <w:r w:rsidR="07CBAEA8" w:rsidRPr="00D207EA">
        <w:rPr>
          <w:noProof/>
        </w:rPr>
        <w:t xml:space="preserve">une description de la conception de l’intervention, y compris les conditions d’éligibilité, et des actions agroenvironnementales et climatiques visées à l’article 10 du règlement XX [PAC]; </w:t>
      </w:r>
    </w:p>
    <w:p w14:paraId="686E5D38" w14:textId="1BF1B528" w:rsidR="0054126B" w:rsidRPr="00D207EA" w:rsidRDefault="008D666E" w:rsidP="008D666E">
      <w:pPr>
        <w:pStyle w:val="Point10"/>
        <w:rPr>
          <w:noProof/>
        </w:rPr>
      </w:pPr>
      <w:r w:rsidRPr="008D666E">
        <w:rPr>
          <w:noProof/>
        </w:rPr>
        <w:t>(e)</w:t>
      </w:r>
      <w:r w:rsidRPr="008D666E">
        <w:rPr>
          <w:noProof/>
        </w:rPr>
        <w:tab/>
      </w:r>
      <w:r w:rsidR="50B0DFDC" w:rsidRPr="00D207EA">
        <w:rPr>
          <w:noProof/>
        </w:rPr>
        <w:t>une description des pratiques agricoles couvertes par l’intervention, fondée sur la classification des pratiques agricoles établie par le Centre commun de recherche conformément à l’article 3, paragraphe 5, du règlement (UE) 202X/XXXX [règlement relatif à la PAC];</w:t>
      </w:r>
    </w:p>
    <w:p w14:paraId="6CFB0DB3" w14:textId="16281D1E" w:rsidR="00385942" w:rsidRPr="00D207EA" w:rsidRDefault="008D666E" w:rsidP="008D666E">
      <w:pPr>
        <w:pStyle w:val="Point10"/>
        <w:rPr>
          <w:noProof/>
        </w:rPr>
      </w:pPr>
      <w:r w:rsidRPr="008D666E">
        <w:rPr>
          <w:noProof/>
        </w:rPr>
        <w:t>(f)</w:t>
      </w:r>
      <w:r w:rsidRPr="008D666E">
        <w:rPr>
          <w:noProof/>
        </w:rPr>
        <w:tab/>
      </w:r>
      <w:r w:rsidR="00385942" w:rsidRPr="00D207EA">
        <w:rPr>
          <w:noProof/>
        </w:rPr>
        <w:t>en ce qui concerne les interventions dans certains secteurs visés au titre I, partie II, chapitre II </w:t>
      </w:r>
      <w:r w:rsidR="00385942" w:rsidRPr="00D207EA">
        <w:rPr>
          <w:i/>
          <w:iCs/>
          <w:noProof/>
        </w:rPr>
        <w:t>bis</w:t>
      </w:r>
      <w:r w:rsidR="00385942" w:rsidRPr="00D207EA">
        <w:rPr>
          <w:noProof/>
        </w:rPr>
        <w:t>, du règlement (UE) nº 1308/2013, les raisons pour lesquelles les secteurs sélectionnés sont ciblés et la complémentarité avec d’autres interventions au titre de la PAC et, le cas échéant, avec d’autres mesures énoncées dans le plan.</w:t>
      </w:r>
    </w:p>
    <w:p w14:paraId="76497C7E" w14:textId="5D78DABA" w:rsidR="00AA0877" w:rsidRPr="00D207EA" w:rsidRDefault="00AA0877" w:rsidP="00C21519">
      <w:pPr>
        <w:pStyle w:val="NumPar10000000"/>
        <w:numPr>
          <w:ilvl w:val="0"/>
          <w:numId w:val="190"/>
        </w:numPr>
        <w:rPr>
          <w:noProof/>
        </w:rPr>
      </w:pPr>
      <w:r w:rsidRPr="00D207EA">
        <w:rPr>
          <w:noProof/>
        </w:rPr>
        <w:t>Les États membres déterminent le montant du soutien aux actions de transition visées à l’article 10, paragraphe 1, point b), du règlement (UE) 202X/XXXX [règlement relatif à la PAC] sur la base des estimations de coûts figurant dans les plans de transition. Le soutien est limité à [200 000 EUR] par agriculteur et par période de programmation du plan.</w:t>
      </w:r>
    </w:p>
    <w:p w14:paraId="7C39E056" w14:textId="3DA758EA" w:rsidR="00E9506B" w:rsidRPr="00D207EA" w:rsidRDefault="00EF21AB" w:rsidP="00C21519">
      <w:pPr>
        <w:pStyle w:val="NumPar10000000"/>
        <w:numPr>
          <w:ilvl w:val="0"/>
          <w:numId w:val="190"/>
        </w:numPr>
        <w:rPr>
          <w:noProof/>
        </w:rPr>
      </w:pPr>
      <w:r w:rsidRPr="00D207EA">
        <w:rPr>
          <w:noProof/>
        </w:rPr>
        <w:t>Lorsque l’aide publique accordée au titre de l’article 13 du règlement (UE) 202X/XXXX [règlement relatif à la PAC] pour une opération d’investissement ne dépasse pas 100 000 EUR et n’est pas soumise aux règles de passation des marchés publics, cette aide prend la forme de barèmes standards de coûts unitaires, de montants forfaitaires ou de taux forfaitaires.</w:t>
      </w:r>
    </w:p>
    <w:p w14:paraId="5360391B" w14:textId="77777777" w:rsidR="00767B44" w:rsidRPr="00D207EA" w:rsidRDefault="00767B44" w:rsidP="004D4C26">
      <w:pPr>
        <w:pStyle w:val="Titlearticle"/>
        <w:rPr>
          <w:b/>
          <w:noProof/>
        </w:rPr>
      </w:pPr>
      <w:r w:rsidRPr="00D207EA">
        <w:rPr>
          <w:noProof/>
        </w:rPr>
        <w:t>Article 37</w:t>
      </w:r>
      <w:r w:rsidRPr="00D207EA">
        <w:rPr>
          <w:noProof/>
        </w:rPr>
        <w:br/>
      </w:r>
      <w:r w:rsidRPr="00D207EA">
        <w:rPr>
          <w:b/>
          <w:noProof/>
        </w:rPr>
        <w:t>Suivi des ressources agricoles</w:t>
      </w:r>
    </w:p>
    <w:p w14:paraId="2D7B9002" w14:textId="77777777" w:rsidR="009E274C" w:rsidRPr="00D207EA" w:rsidRDefault="009E274C" w:rsidP="00B939FF">
      <w:pPr>
        <w:rPr>
          <w:noProof/>
        </w:rPr>
      </w:pPr>
      <w:r w:rsidRPr="00D207EA">
        <w:rPr>
          <w:noProof/>
        </w:rPr>
        <w:t>Le Fonds peut soutenir les actions entreprises par la Commission au moyen d’applications de télédétection servant au suivi des ressources agricoles, qui visent à donner à la Commission les moyens: </w:t>
      </w:r>
    </w:p>
    <w:p w14:paraId="78507656" w14:textId="3EF34844" w:rsidR="009E274C" w:rsidRPr="00D207EA" w:rsidRDefault="008D666E" w:rsidP="008D666E">
      <w:pPr>
        <w:pStyle w:val="Point0"/>
        <w:rPr>
          <w:noProof/>
        </w:rPr>
      </w:pPr>
      <w:r w:rsidRPr="008D666E">
        <w:rPr>
          <w:noProof/>
        </w:rPr>
        <w:t>(a)</w:t>
      </w:r>
      <w:r w:rsidRPr="008D666E">
        <w:rPr>
          <w:noProof/>
        </w:rPr>
        <w:tab/>
      </w:r>
      <w:r w:rsidR="009E274C" w:rsidRPr="00D207EA">
        <w:rPr>
          <w:noProof/>
        </w:rPr>
        <w:t>de gérer les marchés agricoles de l’Union dans un contexte mondial; </w:t>
      </w:r>
    </w:p>
    <w:p w14:paraId="41D8CABC" w14:textId="5DA93215" w:rsidR="009E274C" w:rsidRPr="00D207EA" w:rsidRDefault="008D666E" w:rsidP="008D666E">
      <w:pPr>
        <w:pStyle w:val="Point0"/>
        <w:rPr>
          <w:noProof/>
        </w:rPr>
      </w:pPr>
      <w:r w:rsidRPr="008D666E">
        <w:rPr>
          <w:noProof/>
        </w:rPr>
        <w:t>(b)</w:t>
      </w:r>
      <w:r w:rsidRPr="008D666E">
        <w:rPr>
          <w:noProof/>
        </w:rPr>
        <w:tab/>
      </w:r>
      <w:r w:rsidR="009E274C" w:rsidRPr="00D207EA">
        <w:rPr>
          <w:noProof/>
        </w:rPr>
        <w:t>d’assurer le suivi agroéconomique, agroenvironnemental et climatique de l’affectation des terres agricoles et du changement d’affectation des terres agricoles, y compris l’agroforesterie, et le suivi de l’état des sols, des cultures, des paysages agricoles et des terres agricoles, de manière à permettre des estimations, notamment en ce qui concerne les rendements et la production agricole et les incidences agricoles liées aux circonstances exceptionnelles, et à permettre l’évaluation de la résilience des systèmes agricoles ainsi que des progrès accomplis en vue de la réalisation des objectifs de développement durable des Nations unies pertinents;</w:t>
      </w:r>
    </w:p>
    <w:p w14:paraId="34E67420" w14:textId="4D7D5EC3" w:rsidR="009E274C" w:rsidRPr="00D207EA" w:rsidRDefault="008D666E" w:rsidP="008D666E">
      <w:pPr>
        <w:pStyle w:val="Point0"/>
        <w:rPr>
          <w:noProof/>
        </w:rPr>
      </w:pPr>
      <w:r w:rsidRPr="008D666E">
        <w:rPr>
          <w:noProof/>
        </w:rPr>
        <w:t>(c)</w:t>
      </w:r>
      <w:r w:rsidRPr="008D666E">
        <w:rPr>
          <w:noProof/>
        </w:rPr>
        <w:tab/>
      </w:r>
      <w:r w:rsidR="009E274C" w:rsidRPr="00D207EA">
        <w:rPr>
          <w:noProof/>
        </w:rPr>
        <w:t>de partager l’accès aux estimations visées au point b) dans un contexte international, comme les initiatives coordonnées par les organisations des Nations unies, dont la constitution d’inventaires des gaz à effet de serre au titre de la convention-cadre des Nations unies sur les changements climatiques, ou d’autres agences internationales;</w:t>
      </w:r>
    </w:p>
    <w:p w14:paraId="0801C3B3" w14:textId="7F21C487" w:rsidR="009E274C" w:rsidRPr="00D207EA" w:rsidRDefault="008D666E" w:rsidP="008D666E">
      <w:pPr>
        <w:pStyle w:val="Point0"/>
        <w:rPr>
          <w:noProof/>
        </w:rPr>
      </w:pPr>
      <w:r w:rsidRPr="008D666E">
        <w:rPr>
          <w:noProof/>
        </w:rPr>
        <w:t>(d)</w:t>
      </w:r>
      <w:r w:rsidRPr="008D666E">
        <w:rPr>
          <w:noProof/>
        </w:rPr>
        <w:tab/>
      </w:r>
      <w:r w:rsidR="009E274C" w:rsidRPr="00D207EA">
        <w:rPr>
          <w:noProof/>
        </w:rPr>
        <w:t>de contribuer à des mesures spécifiques renforçant la transparence des marchés mondiaux, en tenant compte des objectifs et des engagements de l’Union;</w:t>
      </w:r>
    </w:p>
    <w:p w14:paraId="46BD55DC" w14:textId="79AD0EE8" w:rsidR="00B51071" w:rsidRPr="00D207EA" w:rsidRDefault="008D666E" w:rsidP="008D666E">
      <w:pPr>
        <w:pStyle w:val="Point0"/>
        <w:rPr>
          <w:noProof/>
        </w:rPr>
      </w:pPr>
      <w:r w:rsidRPr="008D666E">
        <w:rPr>
          <w:noProof/>
        </w:rPr>
        <w:t>(e)</w:t>
      </w:r>
      <w:r w:rsidRPr="008D666E">
        <w:rPr>
          <w:noProof/>
        </w:rPr>
        <w:tab/>
      </w:r>
      <w:r w:rsidR="009E274C" w:rsidRPr="00D207EA">
        <w:rPr>
          <w:noProof/>
        </w:rPr>
        <w:t>d’assurer le suivi technologique du système agrométéorologique.</w:t>
      </w:r>
    </w:p>
    <w:p w14:paraId="6893BCB9" w14:textId="77777777" w:rsidR="00DE7DC8" w:rsidRPr="00D207EA" w:rsidRDefault="00DE7DC8" w:rsidP="000528CF">
      <w:pPr>
        <w:pStyle w:val="Titlearticle"/>
        <w:rPr>
          <w:b/>
          <w:noProof/>
        </w:rPr>
      </w:pPr>
      <w:r w:rsidRPr="00D207EA">
        <w:rPr>
          <w:noProof/>
        </w:rPr>
        <w:t>Article 38</w:t>
      </w:r>
      <w:r w:rsidRPr="00D207EA">
        <w:rPr>
          <w:noProof/>
        </w:rPr>
        <w:br/>
      </w:r>
      <w:r w:rsidRPr="00D207EA">
        <w:rPr>
          <w:b/>
          <w:noProof/>
        </w:rPr>
        <w:t>Paiements de crise versés aux agriculteurs à la suite de catastrophes naturelles, de phénomènes climatiques défavorables et d’événements catastrophiques</w:t>
      </w:r>
    </w:p>
    <w:p w14:paraId="06BC0351" w14:textId="51CAF45A" w:rsidR="00DE7DC8" w:rsidRPr="00D207EA" w:rsidRDefault="00DE7DC8" w:rsidP="00C21519">
      <w:pPr>
        <w:pStyle w:val="NumPar10000000"/>
        <w:numPr>
          <w:ilvl w:val="0"/>
          <w:numId w:val="167"/>
        </w:numPr>
        <w:rPr>
          <w:noProof/>
        </w:rPr>
      </w:pPr>
      <w:r w:rsidRPr="00D207EA">
        <w:rPr>
          <w:noProof/>
        </w:rPr>
        <w:t>Les États membres peuvent verser des paiements de crise aux agriculteurs touchés par des catastrophes naturelles, des phénomènes climatiques défavorables ou des événements catastrophiques. Ces paiements visent à assurer la continuité de l’activité agricole de ces agriculteurs et sont soumis aux conditions énoncées dans le présent article et précisées par les États membres. </w:t>
      </w:r>
    </w:p>
    <w:p w14:paraId="75D7E26F" w14:textId="720D06AC" w:rsidR="00DE7DC8" w:rsidRPr="00D207EA" w:rsidRDefault="00DE7DC8" w:rsidP="00C21519">
      <w:pPr>
        <w:pStyle w:val="NumPar10000000"/>
        <w:numPr>
          <w:ilvl w:val="0"/>
          <w:numId w:val="167"/>
        </w:numPr>
        <w:rPr>
          <w:noProof/>
        </w:rPr>
      </w:pPr>
      <w:r w:rsidRPr="00D207EA">
        <w:rPr>
          <w:noProof/>
        </w:rPr>
        <w:t>L’aide au titre du présent article est subordonnée à la reconnaissance formelle par l’autorité compétente de l’État membre qu’une catastrophe naturelle, un phénomène climatique défavorable ou un événement catastrophique, tels que définis par l’État membre, ont bien eu lieu et que ces événements, ou les mesures adoptées conformément au règlement (UE) 2016/2031 pour éradiquer ou contenir une pathologie végétale ou une infestation parasitaire, ou les mesures adoptées pour prévenir ou éradiquer les maladies animales énumérées à l’annexe du règlement d’exécution (UE) 2018/1882 de la Commission ou les mesures adoptées concernant une maladie émergente conformément à l’article 6, paragraphe 3, et à l’article 259 du règlement (UE) 2016/429 ont directement causé un dommage entraînant la destruction d’au moins 30 % de la production annuelle moyenne de l’agriculteur au cours des trois années précédentes ou d’une moyenne triennale basée sur les cinq années précédentes, en excluant la valeur la plus élevée et la valeur la plus faible. </w:t>
      </w:r>
    </w:p>
    <w:p w14:paraId="7616BC60" w14:textId="343795CF" w:rsidR="00DE7DC8" w:rsidRPr="00D207EA" w:rsidRDefault="00DE7DC8" w:rsidP="00C21519">
      <w:pPr>
        <w:pStyle w:val="NumPar10000000"/>
        <w:numPr>
          <w:ilvl w:val="0"/>
          <w:numId w:val="167"/>
        </w:numPr>
        <w:rPr>
          <w:noProof/>
        </w:rPr>
      </w:pPr>
      <w:r w:rsidRPr="00D207EA">
        <w:rPr>
          <w:noProof/>
        </w:rPr>
        <w:t>Les pertes sont calculées au niveau de l’exploitation, au niveau de l’activité de l’exploitation dans le secteur concerné, ou par rapport à la zone spécifique concernée. </w:t>
      </w:r>
    </w:p>
    <w:p w14:paraId="6145990C" w14:textId="78C5E4E0" w:rsidR="00DE7DC8" w:rsidRPr="00D207EA" w:rsidRDefault="00DE7DC8" w:rsidP="00C21519">
      <w:pPr>
        <w:pStyle w:val="NumPar10000000"/>
        <w:numPr>
          <w:ilvl w:val="0"/>
          <w:numId w:val="167"/>
        </w:numPr>
        <w:rPr>
          <w:noProof/>
        </w:rPr>
      </w:pPr>
      <w:r w:rsidRPr="00D207EA">
        <w:rPr>
          <w:noProof/>
        </w:rPr>
        <w:t>Les États membres établissent les taux d’aide applicables pour compenser les pertes de production. Ces taux sont plus élevés pour les agriculteurs qui mettent également en œuvre des interventions ou d’autres actions préventives au niveau de l’exploitation, afin de réduire le niveau des risques liés à la production et au revenu pour lesquels l’aide est accordée. Des indices peuvent être utilisés pour le calcul de la perte de production. </w:t>
      </w:r>
    </w:p>
    <w:p w14:paraId="460D4A09" w14:textId="537AE8BC" w:rsidR="00DE7DC8" w:rsidRPr="00D207EA" w:rsidRDefault="00DE7DC8" w:rsidP="00C21519">
      <w:pPr>
        <w:pStyle w:val="NumPar10000000"/>
        <w:numPr>
          <w:ilvl w:val="0"/>
          <w:numId w:val="167"/>
        </w:numPr>
        <w:rPr>
          <w:noProof/>
        </w:rPr>
      </w:pPr>
      <w:r w:rsidRPr="00D207EA">
        <w:rPr>
          <w:noProof/>
        </w:rPr>
        <w:t>Lorsqu’ils accordent un soutien au titre du présent article, les États membres veillent à éviter toute surcompensation résultant de la combinaison de cette aide avec d’autres instruments de soutien nationaux ou de l’Union ou avec des régimes d’assurance privés. </w:t>
      </w:r>
    </w:p>
    <w:p w14:paraId="06DE0B99" w14:textId="069047F8" w:rsidR="00E9506B" w:rsidRPr="00D207EA" w:rsidRDefault="00E9506B" w:rsidP="00E9506B">
      <w:pPr>
        <w:pStyle w:val="Titlearticle"/>
        <w:rPr>
          <w:b/>
          <w:noProof/>
        </w:rPr>
      </w:pPr>
      <w:r w:rsidRPr="00D207EA">
        <w:rPr>
          <w:noProof/>
        </w:rPr>
        <w:t>Article 39</w:t>
      </w:r>
      <w:r w:rsidRPr="00D207EA">
        <w:rPr>
          <w:noProof/>
        </w:rPr>
        <w:br/>
      </w:r>
      <w:r w:rsidRPr="00D207EA">
        <w:rPr>
          <w:b/>
          <w:noProof/>
        </w:rPr>
        <w:t>Aide spécifique au coton</w:t>
      </w:r>
    </w:p>
    <w:p w14:paraId="0F6F9545" w14:textId="5AEA50E5" w:rsidR="00E9506B" w:rsidRPr="00D207EA" w:rsidRDefault="00E9506B" w:rsidP="00C21519">
      <w:pPr>
        <w:pStyle w:val="NumPar10000000"/>
        <w:numPr>
          <w:ilvl w:val="0"/>
          <w:numId w:val="168"/>
        </w:numPr>
        <w:rPr>
          <w:noProof/>
        </w:rPr>
      </w:pPr>
      <w:r w:rsidRPr="00D207EA">
        <w:rPr>
          <w:noProof/>
        </w:rPr>
        <w:t>La Bulgarie, la Grèce, l’Espagne et le Portugal octroient une aide spécifique au coton aux agriculteurs produisant du coton relevant du code NC 5201 00. Ces États membres établissent des exigences spécifiques pour garantir un niveau minimal d’efficacité de la production et de qualité des produits. </w:t>
      </w:r>
    </w:p>
    <w:p w14:paraId="46BE43BE" w14:textId="6A2E5434" w:rsidR="00E9506B" w:rsidRPr="00D207EA" w:rsidRDefault="00E9506B" w:rsidP="00C21519">
      <w:pPr>
        <w:pStyle w:val="NumPar10000000"/>
        <w:numPr>
          <w:ilvl w:val="0"/>
          <w:numId w:val="75"/>
        </w:numPr>
        <w:rPr>
          <w:noProof/>
        </w:rPr>
      </w:pPr>
      <w:r w:rsidRPr="00D207EA">
        <w:rPr>
          <w:noProof/>
        </w:rPr>
        <w:t>Les États membres visés au paragraphe 1 veillent à ce que la production de coton bénéficiant d’une aide n’exerce pas de pression excessive sur les ressources naturelles telles que l’eau et le sol. À cette fin, ou pour d’autres raisons environnementales ou socio-économiques, ces États membres peuvent n’accorder l’aide que pour des variétés de coton spécifiques, dans des régions spécifiques ou pour des types d’exploitation spécifiques, ou peuvent établir des exigences en matière de pratiques agronomiques. </w:t>
      </w:r>
    </w:p>
    <w:p w14:paraId="0C39BB66" w14:textId="2D3F5987" w:rsidR="00E9506B" w:rsidRPr="00D207EA" w:rsidRDefault="00E9506B" w:rsidP="00C21519">
      <w:pPr>
        <w:pStyle w:val="NumPar10000000"/>
        <w:numPr>
          <w:ilvl w:val="0"/>
          <w:numId w:val="75"/>
        </w:numPr>
        <w:rPr>
          <w:noProof/>
        </w:rPr>
      </w:pPr>
      <w:r w:rsidRPr="00D207EA">
        <w:rPr>
          <w:noProof/>
        </w:rPr>
        <w:t>L’aide spécifique au coton est octroyée par hectare de coton admissible au bénéfice de l’aide. </w:t>
      </w:r>
    </w:p>
    <w:p w14:paraId="1DD6F6B2" w14:textId="77777777" w:rsidR="00E9506B" w:rsidRPr="00D207EA" w:rsidRDefault="00E9506B" w:rsidP="00C21519">
      <w:pPr>
        <w:pStyle w:val="NumPar10000000"/>
        <w:numPr>
          <w:ilvl w:val="0"/>
          <w:numId w:val="75"/>
        </w:numPr>
        <w:rPr>
          <w:noProof/>
        </w:rPr>
      </w:pPr>
      <w:r w:rsidRPr="00D207EA">
        <w:rPr>
          <w:noProof/>
        </w:rPr>
        <w:t>Les superficies de base nationales suivantes sont établies:   </w:t>
      </w:r>
    </w:p>
    <w:p w14:paraId="5AC2DECF" w14:textId="11D02877" w:rsidR="00E9506B" w:rsidRPr="00D207EA" w:rsidRDefault="008D666E" w:rsidP="008D666E">
      <w:pPr>
        <w:pStyle w:val="Point10"/>
        <w:rPr>
          <w:noProof/>
        </w:rPr>
      </w:pPr>
      <w:r w:rsidRPr="008D666E">
        <w:rPr>
          <w:noProof/>
        </w:rPr>
        <w:t>(a)</w:t>
      </w:r>
      <w:r w:rsidRPr="008D666E">
        <w:rPr>
          <w:noProof/>
        </w:rPr>
        <w:tab/>
      </w:r>
      <w:r w:rsidR="00E9506B" w:rsidRPr="00D207EA">
        <w:rPr>
          <w:noProof/>
        </w:rPr>
        <w:t>Bulgarie: 3 342 ha;   </w:t>
      </w:r>
    </w:p>
    <w:p w14:paraId="00EA845E" w14:textId="744B8F94" w:rsidR="00E9506B" w:rsidRPr="00D207EA" w:rsidRDefault="008D666E" w:rsidP="008D666E">
      <w:pPr>
        <w:pStyle w:val="Point10"/>
        <w:rPr>
          <w:noProof/>
        </w:rPr>
      </w:pPr>
      <w:r w:rsidRPr="008D666E">
        <w:rPr>
          <w:noProof/>
        </w:rPr>
        <w:t>(b)</w:t>
      </w:r>
      <w:r w:rsidRPr="008D666E">
        <w:rPr>
          <w:noProof/>
        </w:rPr>
        <w:tab/>
      </w:r>
      <w:r w:rsidR="00E9506B" w:rsidRPr="00D207EA">
        <w:rPr>
          <w:noProof/>
        </w:rPr>
        <w:t>Grèce: 250 000 ha;   </w:t>
      </w:r>
    </w:p>
    <w:p w14:paraId="3FE4C378" w14:textId="73FAB701" w:rsidR="00E9506B" w:rsidRPr="00D207EA" w:rsidRDefault="008D666E" w:rsidP="008D666E">
      <w:pPr>
        <w:pStyle w:val="Point10"/>
        <w:rPr>
          <w:noProof/>
        </w:rPr>
      </w:pPr>
      <w:r w:rsidRPr="008D666E">
        <w:rPr>
          <w:noProof/>
        </w:rPr>
        <w:t>(c)</w:t>
      </w:r>
      <w:r w:rsidRPr="008D666E">
        <w:rPr>
          <w:noProof/>
        </w:rPr>
        <w:tab/>
      </w:r>
      <w:r w:rsidR="00E9506B" w:rsidRPr="00D207EA">
        <w:rPr>
          <w:noProof/>
        </w:rPr>
        <w:t>Espagne: 48 000 ha;   </w:t>
      </w:r>
    </w:p>
    <w:p w14:paraId="462BAAB6" w14:textId="48E77EDD" w:rsidR="00E9506B" w:rsidRPr="00D207EA" w:rsidRDefault="008D666E" w:rsidP="008D666E">
      <w:pPr>
        <w:pStyle w:val="Point10"/>
        <w:rPr>
          <w:noProof/>
        </w:rPr>
      </w:pPr>
      <w:r w:rsidRPr="008D666E">
        <w:rPr>
          <w:noProof/>
        </w:rPr>
        <w:t>(d)</w:t>
      </w:r>
      <w:r w:rsidRPr="008D666E">
        <w:rPr>
          <w:noProof/>
        </w:rPr>
        <w:tab/>
      </w:r>
      <w:r w:rsidR="00E9506B" w:rsidRPr="00D207EA">
        <w:rPr>
          <w:noProof/>
        </w:rPr>
        <w:t>Portugal: 360 ha. </w:t>
      </w:r>
    </w:p>
    <w:p w14:paraId="1440DE70" w14:textId="77777777" w:rsidR="00E9506B" w:rsidRPr="00D207EA" w:rsidRDefault="00E9506B" w:rsidP="00C21519">
      <w:pPr>
        <w:pStyle w:val="NumPar10000000"/>
        <w:numPr>
          <w:ilvl w:val="0"/>
          <w:numId w:val="167"/>
        </w:numPr>
        <w:rPr>
          <w:noProof/>
        </w:rPr>
      </w:pPr>
      <w:r w:rsidRPr="00D207EA">
        <w:rPr>
          <w:noProof/>
        </w:rPr>
        <w:t>Les rendements fixes suivants au cours de la période de référence sont établis:   </w:t>
      </w:r>
    </w:p>
    <w:p w14:paraId="17A22BC2" w14:textId="0B4749D1" w:rsidR="00E9506B" w:rsidRPr="00D207EA" w:rsidRDefault="008D666E" w:rsidP="008D666E">
      <w:pPr>
        <w:pStyle w:val="Point10"/>
        <w:rPr>
          <w:noProof/>
        </w:rPr>
      </w:pPr>
      <w:r w:rsidRPr="008D666E">
        <w:rPr>
          <w:noProof/>
        </w:rPr>
        <w:t>(a)</w:t>
      </w:r>
      <w:r w:rsidRPr="008D666E">
        <w:rPr>
          <w:noProof/>
        </w:rPr>
        <w:tab/>
      </w:r>
      <w:r w:rsidR="00E9506B" w:rsidRPr="00D207EA">
        <w:rPr>
          <w:noProof/>
        </w:rPr>
        <w:t>Bulgarie: 1,2 tonnes/ha;  </w:t>
      </w:r>
    </w:p>
    <w:p w14:paraId="43756660" w14:textId="5110C44B" w:rsidR="00E9506B" w:rsidRPr="00D207EA" w:rsidRDefault="008D666E" w:rsidP="008D666E">
      <w:pPr>
        <w:pStyle w:val="Point10"/>
        <w:rPr>
          <w:noProof/>
        </w:rPr>
      </w:pPr>
      <w:r w:rsidRPr="008D666E">
        <w:rPr>
          <w:noProof/>
        </w:rPr>
        <w:t>(b)</w:t>
      </w:r>
      <w:r w:rsidRPr="008D666E">
        <w:rPr>
          <w:noProof/>
        </w:rPr>
        <w:tab/>
      </w:r>
      <w:r w:rsidR="00E9506B" w:rsidRPr="00D207EA">
        <w:rPr>
          <w:noProof/>
        </w:rPr>
        <w:t>Grèce: 3,2 tonnes/ha;   </w:t>
      </w:r>
    </w:p>
    <w:p w14:paraId="09E553DC" w14:textId="622C1AE6" w:rsidR="00E9506B" w:rsidRPr="00D207EA" w:rsidRDefault="008D666E" w:rsidP="008D666E">
      <w:pPr>
        <w:pStyle w:val="Point10"/>
        <w:rPr>
          <w:noProof/>
        </w:rPr>
      </w:pPr>
      <w:r w:rsidRPr="008D666E">
        <w:rPr>
          <w:noProof/>
        </w:rPr>
        <w:t>(c)</w:t>
      </w:r>
      <w:r w:rsidRPr="008D666E">
        <w:rPr>
          <w:noProof/>
        </w:rPr>
        <w:tab/>
      </w:r>
      <w:r w:rsidR="00E9506B" w:rsidRPr="00D207EA">
        <w:rPr>
          <w:noProof/>
        </w:rPr>
        <w:t>Espagne: 3,5 tonnes/ha;   </w:t>
      </w:r>
    </w:p>
    <w:p w14:paraId="3DCED060" w14:textId="6FC13571" w:rsidR="00E9506B" w:rsidRPr="00D207EA" w:rsidRDefault="008D666E" w:rsidP="008D666E">
      <w:pPr>
        <w:pStyle w:val="Point10"/>
        <w:rPr>
          <w:noProof/>
        </w:rPr>
      </w:pPr>
      <w:r w:rsidRPr="008D666E">
        <w:rPr>
          <w:noProof/>
        </w:rPr>
        <w:t>(d)</w:t>
      </w:r>
      <w:r w:rsidRPr="008D666E">
        <w:rPr>
          <w:noProof/>
        </w:rPr>
        <w:tab/>
      </w:r>
      <w:r w:rsidR="00E9506B" w:rsidRPr="00D207EA">
        <w:rPr>
          <w:noProof/>
        </w:rPr>
        <w:t>Portugal: 2,2 tonnes/ha. </w:t>
      </w:r>
    </w:p>
    <w:p w14:paraId="421CC838" w14:textId="77777777" w:rsidR="00E9506B" w:rsidRPr="00D207EA" w:rsidRDefault="00E9506B" w:rsidP="00C21519">
      <w:pPr>
        <w:pStyle w:val="NumPar10000000"/>
        <w:numPr>
          <w:ilvl w:val="0"/>
          <w:numId w:val="167"/>
        </w:numPr>
        <w:rPr>
          <w:noProof/>
        </w:rPr>
      </w:pPr>
      <w:r w:rsidRPr="00D207EA">
        <w:rPr>
          <w:noProof/>
        </w:rPr>
        <w:t>Le montant de l’aide spécifique à verser par hectare admissible est calculé en multipliant les rendements énoncés au paragraphe 2 par les montants de référence suivants:   </w:t>
      </w:r>
    </w:p>
    <w:p w14:paraId="6539E1E9" w14:textId="5B15D60A" w:rsidR="00E9506B" w:rsidRPr="00D207EA" w:rsidRDefault="008D666E" w:rsidP="008D666E">
      <w:pPr>
        <w:pStyle w:val="Point10"/>
        <w:rPr>
          <w:noProof/>
        </w:rPr>
      </w:pPr>
      <w:r w:rsidRPr="008D666E">
        <w:rPr>
          <w:noProof/>
        </w:rPr>
        <w:t>(a)</w:t>
      </w:r>
      <w:r w:rsidRPr="008D666E">
        <w:rPr>
          <w:noProof/>
        </w:rPr>
        <w:tab/>
      </w:r>
      <w:r w:rsidR="00E9506B" w:rsidRPr="00D207EA">
        <w:rPr>
          <w:noProof/>
        </w:rPr>
        <w:t>Bulgarie: 636,13 EUR;</w:t>
      </w:r>
    </w:p>
    <w:p w14:paraId="789C921D" w14:textId="26886EF8" w:rsidR="00E9506B" w:rsidRPr="00D207EA" w:rsidRDefault="008D666E" w:rsidP="008D666E">
      <w:pPr>
        <w:pStyle w:val="Point10"/>
        <w:rPr>
          <w:noProof/>
        </w:rPr>
      </w:pPr>
      <w:r w:rsidRPr="008D666E">
        <w:rPr>
          <w:noProof/>
        </w:rPr>
        <w:t>(b)</w:t>
      </w:r>
      <w:r w:rsidRPr="008D666E">
        <w:rPr>
          <w:noProof/>
        </w:rPr>
        <w:tab/>
      </w:r>
      <w:r w:rsidR="00E9506B" w:rsidRPr="00D207EA">
        <w:rPr>
          <w:noProof/>
        </w:rPr>
        <w:t>Grèce: 229,37 EUR;  </w:t>
      </w:r>
    </w:p>
    <w:p w14:paraId="299E6703" w14:textId="1F65FC30" w:rsidR="00E9506B" w:rsidRPr="00D207EA" w:rsidRDefault="008D666E" w:rsidP="008D666E">
      <w:pPr>
        <w:pStyle w:val="Point10"/>
        <w:rPr>
          <w:noProof/>
        </w:rPr>
      </w:pPr>
      <w:r w:rsidRPr="008D666E">
        <w:rPr>
          <w:noProof/>
        </w:rPr>
        <w:t>(c)</w:t>
      </w:r>
      <w:r w:rsidRPr="008D666E">
        <w:rPr>
          <w:noProof/>
        </w:rPr>
        <w:tab/>
      </w:r>
      <w:r w:rsidR="00E9506B" w:rsidRPr="00D207EA">
        <w:rPr>
          <w:noProof/>
        </w:rPr>
        <w:t>Espagne: 354,73 EUR;   </w:t>
      </w:r>
    </w:p>
    <w:p w14:paraId="3CE296F6" w14:textId="6B6F142D" w:rsidR="00E9506B" w:rsidRPr="00D207EA" w:rsidRDefault="008D666E" w:rsidP="008D666E">
      <w:pPr>
        <w:pStyle w:val="Point10"/>
        <w:rPr>
          <w:noProof/>
        </w:rPr>
      </w:pPr>
      <w:r w:rsidRPr="008D666E">
        <w:rPr>
          <w:noProof/>
        </w:rPr>
        <w:t>(d)</w:t>
      </w:r>
      <w:r w:rsidRPr="008D666E">
        <w:rPr>
          <w:noProof/>
        </w:rPr>
        <w:tab/>
      </w:r>
      <w:r w:rsidR="00E9506B" w:rsidRPr="00D207EA">
        <w:rPr>
          <w:noProof/>
        </w:rPr>
        <w:t>Portugal: 223,32 EUR;  </w:t>
      </w:r>
    </w:p>
    <w:p w14:paraId="5BC63009" w14:textId="2485733A" w:rsidR="00E9506B" w:rsidRPr="00D207EA" w:rsidRDefault="00E9506B" w:rsidP="00C21519">
      <w:pPr>
        <w:pStyle w:val="NumPar10000000"/>
        <w:numPr>
          <w:ilvl w:val="0"/>
          <w:numId w:val="167"/>
        </w:numPr>
        <w:rPr>
          <w:noProof/>
        </w:rPr>
      </w:pPr>
      <w:r w:rsidRPr="00D207EA">
        <w:rPr>
          <w:noProof/>
        </w:rPr>
        <w:t>Si la superficie de coton admissible dans un État membre spécifique au cours d’une année donnée ne dépasse pas la superficie de base prévue au paragraphe 1, le montant par hectare visé au paragraphe 3 peut être majoré soit d’un coefficient obtenu en divisant la superficie de base nationale par la superficie admissible réelle, soit d’un pourcentage de 25 %, la plus petite de ces deux superficies étant retenue.</w:t>
      </w:r>
    </w:p>
    <w:p w14:paraId="5D2DACD9" w14:textId="62F3E6E2" w:rsidR="00E9506B" w:rsidRPr="00D207EA" w:rsidRDefault="00E9506B" w:rsidP="00C21519">
      <w:pPr>
        <w:pStyle w:val="NumPar10000000"/>
        <w:numPr>
          <w:ilvl w:val="0"/>
          <w:numId w:val="167"/>
        </w:numPr>
        <w:rPr>
          <w:noProof/>
        </w:rPr>
      </w:pPr>
      <w:r w:rsidRPr="00D207EA">
        <w:rPr>
          <w:noProof/>
        </w:rPr>
        <w:t>Si la superficie admissible dépasse la superficie de base, le montant par hectare est réduit proportionnellement au dépassement de la superficie de base. </w:t>
      </w:r>
    </w:p>
    <w:p w14:paraId="3C4CEA08" w14:textId="3C88D61C" w:rsidR="00E9506B" w:rsidRPr="00D207EA" w:rsidRDefault="00E9506B" w:rsidP="00C21519">
      <w:pPr>
        <w:pStyle w:val="NumPar10000000"/>
        <w:numPr>
          <w:ilvl w:val="0"/>
          <w:numId w:val="167"/>
        </w:numPr>
        <w:rPr>
          <w:noProof/>
        </w:rPr>
      </w:pPr>
      <w:r w:rsidRPr="00D207EA">
        <w:rPr>
          <w:noProof/>
        </w:rPr>
        <w:t>Aux fins du présent article, on entend par «organisation interprofessionnelle agréée» une personne morale fondée par un ensemble composé d’agriculteurs producteurs de coton et d’au moins un égreneur. Ces organisations assurent une action efficace et durable dans le but de concentrer l’offre et d’adapter la production aux exigences du marché.   </w:t>
      </w:r>
    </w:p>
    <w:p w14:paraId="6DBB0FA4" w14:textId="41ED6436" w:rsidR="00E9506B" w:rsidRPr="00D207EA" w:rsidRDefault="00E9506B" w:rsidP="00C21519">
      <w:pPr>
        <w:pStyle w:val="NumPar10000000"/>
        <w:numPr>
          <w:ilvl w:val="0"/>
          <w:numId w:val="167"/>
        </w:numPr>
        <w:rPr>
          <w:noProof/>
        </w:rPr>
      </w:pPr>
      <w:r w:rsidRPr="00D207EA">
        <w:rPr>
          <w:noProof/>
        </w:rPr>
        <w:t>L’État membre dans lequel les égreneurs sont établis procède à l’agrément des organisations interprofessionnelles qui respectent les critères énoncés au paragraphe 1. </w:t>
      </w:r>
    </w:p>
    <w:p w14:paraId="3C540582" w14:textId="725A52BA" w:rsidR="0018523C" w:rsidRPr="00D207EA" w:rsidRDefault="00E9506B" w:rsidP="00C21519">
      <w:pPr>
        <w:pStyle w:val="NumPar10000000"/>
        <w:numPr>
          <w:ilvl w:val="0"/>
          <w:numId w:val="167"/>
        </w:numPr>
        <w:rPr>
          <w:noProof/>
        </w:rPr>
      </w:pPr>
      <w:r w:rsidRPr="00D207EA">
        <w:rPr>
          <w:noProof/>
        </w:rPr>
        <w:t>Lorsque les agriculteurs sont membres d’une organisation interprofessionnelle agréée, l’aide spécifique au coton pour les hectares qui sont admissibles dans les limites de la superficie nationale de base énoncée au paragraphe 4 est majorée d’un montant de 2 EUR. À cette fin, les États membres peuvent fixer des exigences spécifiques pour les membres de ces organisations interprofessionnelles. </w:t>
      </w:r>
    </w:p>
    <w:p w14:paraId="7E641AAC" w14:textId="77777777" w:rsidR="006E79BD" w:rsidRPr="00D207EA" w:rsidRDefault="5190A4BB" w:rsidP="002D16EF">
      <w:pPr>
        <w:pStyle w:val="ChapterTitle0"/>
        <w:rPr>
          <w:b w:val="0"/>
          <w:bCs/>
          <w:noProof/>
          <w:szCs w:val="32"/>
        </w:rPr>
      </w:pPr>
      <w:r w:rsidRPr="00D207EA">
        <w:rPr>
          <w:noProof/>
        </w:rPr>
        <w:t>CHAPITRE II</w:t>
      </w:r>
      <w:r w:rsidRPr="00D207EA">
        <w:rPr>
          <w:noProof/>
        </w:rPr>
        <w:br/>
        <w:t>Obligations internationales</w:t>
      </w:r>
    </w:p>
    <w:p w14:paraId="61603F81" w14:textId="77777777" w:rsidR="003B7937" w:rsidRPr="00D207EA" w:rsidRDefault="3A329CD6" w:rsidP="07DC7BA7">
      <w:pPr>
        <w:pStyle w:val="Titrearticle"/>
        <w:rPr>
          <w:b/>
          <w:bCs/>
          <w:noProof/>
        </w:rPr>
      </w:pPr>
      <w:r w:rsidRPr="00D207EA">
        <w:rPr>
          <w:noProof/>
        </w:rPr>
        <w:t>Article 40</w:t>
      </w:r>
      <w:r w:rsidRPr="00D207EA">
        <w:rPr>
          <w:noProof/>
        </w:rPr>
        <w:br/>
      </w:r>
      <w:r w:rsidRPr="00D207EA">
        <w:rPr>
          <w:b/>
          <w:noProof/>
        </w:rPr>
        <w:t>Soutien interne de l’OMC</w:t>
      </w:r>
    </w:p>
    <w:p w14:paraId="44711DFE" w14:textId="0E249CBD" w:rsidR="003B7937" w:rsidRPr="00D207EA" w:rsidRDefault="3A329CD6" w:rsidP="00C21519">
      <w:pPr>
        <w:pStyle w:val="NumPar10000000"/>
        <w:numPr>
          <w:ilvl w:val="0"/>
          <w:numId w:val="146"/>
        </w:numPr>
        <w:rPr>
          <w:noProof/>
        </w:rPr>
      </w:pPr>
      <w:r w:rsidRPr="00D207EA">
        <w:rPr>
          <w:noProof/>
        </w:rPr>
        <w:t>Les États membres conçoivent les interventions d’aide au revenu au titre de la PAC sur la base des types d’intervention énumérés à l’annexe XVII [</w:t>
      </w:r>
      <w:r w:rsidRPr="00D207EA">
        <w:rPr>
          <w:i/>
          <w:iCs/>
          <w:noProof/>
        </w:rPr>
        <w:t>annexe relative à l’OMC</w:t>
      </w:r>
      <w:r w:rsidRPr="00D207EA">
        <w:rPr>
          <w:noProof/>
        </w:rPr>
        <w:t>] du présent règlement, y compris les définitions et les conditions figurant à l’article 4, de façon qu’elles répondent aux critères fixés à l’annexe 2 de l’accord de l’OMC sur l’agriculture.</w:t>
      </w:r>
    </w:p>
    <w:p w14:paraId="429862DA" w14:textId="2D9DB92E" w:rsidR="008D7249" w:rsidRPr="00D207EA" w:rsidRDefault="3A329CD6" w:rsidP="00C21519">
      <w:pPr>
        <w:pStyle w:val="NumPar10000000"/>
        <w:numPr>
          <w:ilvl w:val="0"/>
          <w:numId w:val="167"/>
        </w:numPr>
        <w:rPr>
          <w:noProof/>
        </w:rPr>
      </w:pPr>
      <w:r w:rsidRPr="00D207EA">
        <w:rPr>
          <w:noProof/>
        </w:rPr>
        <w:t>Le soutien visé à l’article 35, paragraphe 1, points a), d), g), o) et p) répond aux critères des paragraphes de l’annexe 2 de l’accord de l’OMC sur l’agriculture indiqués à l’annexe XVII [</w:t>
      </w:r>
      <w:r w:rsidRPr="00D207EA">
        <w:rPr>
          <w:i/>
          <w:noProof/>
        </w:rPr>
        <w:t>annexe relative à l’OMC</w:t>
      </w:r>
      <w:r w:rsidRPr="00D207EA">
        <w:rPr>
          <w:noProof/>
        </w:rPr>
        <w:t>] du présent règlement pour ces interventions. Pour les autres interventions, les paragraphes de l’annexe II de l’accord de l’OMC sur l’agriculture mentionnés à l’annexe XVII du présent règlement [annexe relative à l’OMC] sont indicatifs, et ces interventions peuvent à défaut respecter un autre paragraphe de l’annexe II de l’accord de l’OMC sur l’agriculture si cela est spécifié et expliqué dans le plan PNR.</w:t>
      </w:r>
    </w:p>
    <w:p w14:paraId="6B152D45" w14:textId="77777777" w:rsidR="003B7937" w:rsidRPr="00D207EA" w:rsidRDefault="3A329CD6" w:rsidP="07DC7BA7">
      <w:pPr>
        <w:pStyle w:val="Titrearticle"/>
        <w:rPr>
          <w:b/>
          <w:bCs/>
          <w:noProof/>
        </w:rPr>
      </w:pPr>
      <w:r w:rsidRPr="00D207EA">
        <w:rPr>
          <w:noProof/>
        </w:rPr>
        <w:t>Article 41</w:t>
      </w:r>
      <w:r w:rsidRPr="00D207EA">
        <w:rPr>
          <w:noProof/>
        </w:rPr>
        <w:br/>
      </w:r>
      <w:r w:rsidRPr="00D207EA">
        <w:rPr>
          <w:b/>
          <w:noProof/>
        </w:rPr>
        <w:t>Mise en œuvre du mémorandum d’accord concernant les graines oléagineuses</w:t>
      </w:r>
    </w:p>
    <w:p w14:paraId="2676955F" w14:textId="77777777" w:rsidR="003B7937" w:rsidRPr="00D207EA" w:rsidRDefault="3A329CD6" w:rsidP="00C21519">
      <w:pPr>
        <w:pStyle w:val="NumPar10000000"/>
        <w:numPr>
          <w:ilvl w:val="0"/>
          <w:numId w:val="138"/>
        </w:numPr>
        <w:rPr>
          <w:noProof/>
        </w:rPr>
      </w:pPr>
      <w:r w:rsidRPr="00D207EA">
        <w:rPr>
          <w:noProof/>
        </w:rPr>
        <w:t>Lorsque les États membres prévoient des interventions fondées sur la surface en rapport avec l’annexe du mémorandum d’accord entre la Communauté économique européenne et les États-Unis d’Amérique sur les graines oléagineuses dans le cadre du GATT, la surface totale faisant l’objet du soutien sur la base des productions prévues dans les plans des États membres concernés ne dépasse pas la surface maximale faisant l’objet du soutien pour l’ensemble de l’Union.</w:t>
      </w:r>
    </w:p>
    <w:p w14:paraId="2E4D272B" w14:textId="77777777" w:rsidR="003B7937" w:rsidRPr="00D207EA" w:rsidRDefault="3A329CD6" w:rsidP="00C21519">
      <w:pPr>
        <w:pStyle w:val="NumPar10000000"/>
        <w:numPr>
          <w:ilvl w:val="0"/>
          <w:numId w:val="167"/>
        </w:numPr>
        <w:rPr>
          <w:i/>
          <w:iCs/>
          <w:noProof/>
        </w:rPr>
      </w:pPr>
      <w:r w:rsidRPr="00D207EA">
        <w:rPr>
          <w:noProof/>
        </w:rPr>
        <w:t>Chaque État membre ayant l’intention d’accorder le soutien visé au paragraphe 1 du présent article indique dans le plan PNR les productions prévues correspondantes en hectares.</w:t>
      </w:r>
    </w:p>
    <w:p w14:paraId="60E4654D" w14:textId="68259E4D" w:rsidR="003B7937" w:rsidRPr="00D207EA" w:rsidRDefault="3A329CD6" w:rsidP="00C21519">
      <w:pPr>
        <w:pStyle w:val="NumPar10000000"/>
        <w:numPr>
          <w:ilvl w:val="0"/>
          <w:numId w:val="167"/>
        </w:numPr>
        <w:rPr>
          <w:rFonts w:eastAsia="Calibri"/>
          <w:noProof/>
        </w:rPr>
      </w:pPr>
      <w:r w:rsidRPr="00D207EA">
        <w:rPr>
          <w:noProof/>
        </w:rPr>
        <w:t>Si toutes les productions prévues proposées par les États membres dans leur plan PNR dépassent la surface maximale faisant l’objet du soutien pour l’ensemble de l’Union visée au paragraphe 1 du présent article, la Commission adopte des actes d’exécution fixant</w:t>
      </w:r>
      <w:r w:rsidRPr="00D207EA">
        <w:rPr>
          <w:i/>
          <w:noProof/>
        </w:rPr>
        <w:t xml:space="preserve"> </w:t>
      </w:r>
      <w:r w:rsidRPr="00D207EA">
        <w:rPr>
          <w:noProof/>
        </w:rPr>
        <w:t>la surface de référence indicative faisant l’objet du soutien pour chaque État membre, calculée sur la base de la part de chaque État membre dans la superficie cultivée moyenne de l’Union au cours des cinq années précédentes, à compter de l’année précédant la présentation de la proposition de plan. Ces actes d’exécution sont adoptés conformément à la procédure d’examen visée à l’article 88 [</w:t>
      </w:r>
      <w:r w:rsidRPr="00D207EA">
        <w:rPr>
          <w:i/>
          <w:iCs/>
          <w:noProof/>
        </w:rPr>
        <w:t>procédure de comité</w:t>
      </w:r>
      <w:r w:rsidRPr="00D207EA">
        <w:rPr>
          <w:noProof/>
        </w:rPr>
        <w:t>].</w:t>
      </w:r>
    </w:p>
    <w:p w14:paraId="350F1C28" w14:textId="61FB2F38" w:rsidR="003B7937" w:rsidRPr="00D207EA" w:rsidRDefault="3A329CD6" w:rsidP="00C21519">
      <w:pPr>
        <w:pStyle w:val="NumPar10000000"/>
        <w:numPr>
          <w:ilvl w:val="0"/>
          <w:numId w:val="167"/>
        </w:numPr>
        <w:rPr>
          <w:noProof/>
        </w:rPr>
      </w:pPr>
      <w:r w:rsidRPr="00D207EA">
        <w:rPr>
          <w:noProof/>
        </w:rPr>
        <w:t>La Commission informe chacun de ces États membres du coefficient de réduction. Les États membres adaptent les productions prévues proposées dans les plans PNR en fonction des coefficients de réduction.</w:t>
      </w:r>
    </w:p>
    <w:p w14:paraId="1FB7F490" w14:textId="0636EC6F" w:rsidR="003B7937" w:rsidRPr="00D207EA" w:rsidRDefault="3A329CD6" w:rsidP="00C21519">
      <w:pPr>
        <w:pStyle w:val="NumPar10000000"/>
        <w:numPr>
          <w:ilvl w:val="0"/>
          <w:numId w:val="167"/>
        </w:numPr>
        <w:rPr>
          <w:noProof/>
        </w:rPr>
      </w:pPr>
      <w:r w:rsidRPr="00D207EA">
        <w:rPr>
          <w:noProof/>
        </w:rPr>
        <w:t>Si un État membre a l’intention d’augmenter les productions prévues dans le plan PNR approuvé par la Commission visées au paragraphe 1, il en informe la Commission au moyen d’une demande de modification du plan PNR.</w:t>
      </w:r>
    </w:p>
    <w:p w14:paraId="6F2DFD78" w14:textId="0419067D" w:rsidR="003B7937" w:rsidRPr="00D207EA" w:rsidRDefault="3A329CD6" w:rsidP="00C21519">
      <w:pPr>
        <w:pStyle w:val="NumPar10000000"/>
        <w:numPr>
          <w:ilvl w:val="0"/>
          <w:numId w:val="167"/>
        </w:numPr>
        <w:rPr>
          <w:noProof/>
        </w:rPr>
      </w:pPr>
      <w:r w:rsidRPr="00D207EA">
        <w:rPr>
          <w:noProof/>
        </w:rPr>
        <w:t>Lorsque cela est nécessaire pour éviter que la surface maximale faisant l’objet du soutien pour l’ensemble de l’Union visée au paragraphe 1 ne soit dépassée, la Commission fixe des coefficients de réduction ou révise les coefficients de réduction existants pour tous les États membres qui ont dépassé leur surface de référence faisant l’objet du soutien dans leur plan PNR.</w:t>
      </w:r>
    </w:p>
    <w:p w14:paraId="5261D788" w14:textId="4F1AAAAC" w:rsidR="003B7937" w:rsidRPr="00D207EA" w:rsidRDefault="3A329CD6" w:rsidP="006E7A91">
      <w:pPr>
        <w:pStyle w:val="Text1"/>
        <w:rPr>
          <w:noProof/>
        </w:rPr>
      </w:pPr>
      <w:r w:rsidRPr="00D207EA">
        <w:rPr>
          <w:noProof/>
        </w:rPr>
        <w:t>La Commission fixe ou révise les coefficients de réduction visés au premier alinéa au moyen d’une décision d’exécution.</w:t>
      </w:r>
    </w:p>
    <w:p w14:paraId="0E966ED3" w14:textId="77777777" w:rsidR="00DF6716" w:rsidRPr="00D207EA" w:rsidRDefault="3A329CD6" w:rsidP="00C21519">
      <w:pPr>
        <w:pStyle w:val="NumPar10000000"/>
        <w:numPr>
          <w:ilvl w:val="0"/>
          <w:numId w:val="167"/>
        </w:numPr>
        <w:rPr>
          <w:noProof/>
        </w:rPr>
      </w:pPr>
      <w:r w:rsidRPr="00D207EA">
        <w:rPr>
          <w:noProof/>
        </w:rPr>
        <w:t>Les États membres excluent la culture de graines de tournesol de bouche de toute intervention fondée sur la surface visée au paragraphe 1.</w:t>
      </w:r>
    </w:p>
    <w:p w14:paraId="3C265624" w14:textId="21924752" w:rsidR="006B30B4" w:rsidRPr="00D207EA" w:rsidRDefault="00074292" w:rsidP="003B5537">
      <w:pPr>
        <w:pStyle w:val="ChapterTitle0"/>
        <w:rPr>
          <w:noProof/>
          <w:sz w:val="18"/>
          <w:szCs w:val="18"/>
        </w:rPr>
      </w:pPr>
      <w:r w:rsidRPr="00D207EA">
        <w:rPr>
          <w:noProof/>
        </w:rPr>
        <w:t>CHAPITRE</w:t>
      </w:r>
      <w:r w:rsidR="00B769AE" w:rsidRPr="00D207EA">
        <w:rPr>
          <w:noProof/>
        </w:rPr>
        <w:t> </w:t>
      </w:r>
      <w:r w:rsidRPr="00D207EA">
        <w:rPr>
          <w:noProof/>
        </w:rPr>
        <w:t>III</w:t>
      </w:r>
      <w:r w:rsidRPr="00D207EA">
        <w:rPr>
          <w:noProof/>
        </w:rPr>
        <w:br/>
      </w:r>
      <w:r w:rsidRPr="00D207EA">
        <w:rPr>
          <w:rStyle w:val="normaltextrun"/>
          <w:noProof/>
        </w:rPr>
        <w:t>Soutien aux îles mineures de la mer Égée</w:t>
      </w:r>
    </w:p>
    <w:p w14:paraId="25C3737A" w14:textId="28212314" w:rsidR="006B30B4" w:rsidRPr="00D207EA" w:rsidRDefault="006B30B4" w:rsidP="006E7A91">
      <w:pPr>
        <w:pStyle w:val="Titrearticle"/>
        <w:rPr>
          <w:b/>
          <w:noProof/>
        </w:rPr>
      </w:pPr>
      <w:r w:rsidRPr="00D207EA">
        <w:rPr>
          <w:rStyle w:val="eop"/>
          <w:noProof/>
        </w:rPr>
        <w:t>Article 42</w:t>
      </w:r>
      <w:r w:rsidRPr="00D207EA">
        <w:rPr>
          <w:rStyle w:val="eop"/>
          <w:noProof/>
        </w:rPr>
        <w:br/>
      </w:r>
      <w:r w:rsidRPr="00D207EA">
        <w:rPr>
          <w:rStyle w:val="eop"/>
          <w:b/>
          <w:noProof/>
        </w:rPr>
        <w:t>Champ d’application et exigences communes</w:t>
      </w:r>
    </w:p>
    <w:p w14:paraId="5631E556" w14:textId="1A4B8159" w:rsidR="006B30B4" w:rsidRPr="00D207EA" w:rsidRDefault="006B30B4" w:rsidP="00C21519">
      <w:pPr>
        <w:pStyle w:val="NumPar10000000"/>
        <w:numPr>
          <w:ilvl w:val="0"/>
          <w:numId w:val="157"/>
        </w:numPr>
        <w:rPr>
          <w:noProof/>
        </w:rPr>
      </w:pPr>
      <w:r w:rsidRPr="00D207EA">
        <w:rPr>
          <w:rStyle w:val="normaltextrun"/>
          <w:noProof/>
        </w:rPr>
        <w:t>Le présent chapitre établit des types d’intervention spécifiques dans le domaine agricole pour remédier aux difficultés causées par l’insularité, la faible superficie et la distance par rapport aux marchés qui touchent les îles mineures de la mer Égée.</w:t>
      </w:r>
    </w:p>
    <w:p w14:paraId="53380229" w14:textId="5DADE6F5" w:rsidR="006B30B4" w:rsidRPr="00D207EA" w:rsidRDefault="006B30B4" w:rsidP="00C21519">
      <w:pPr>
        <w:pStyle w:val="NumPar10000000"/>
        <w:numPr>
          <w:ilvl w:val="0"/>
          <w:numId w:val="167"/>
        </w:numPr>
        <w:rPr>
          <w:noProof/>
        </w:rPr>
      </w:pPr>
      <w:r w:rsidRPr="00D207EA">
        <w:rPr>
          <w:rStyle w:val="normaltextrun"/>
          <w:noProof/>
        </w:rPr>
        <w:t>Aux fins du présent règlement, on entend par «îles mineures de la mer Égée» toutes les îles de la mer Égée, à l’exception de la Crète et d’Eubée.</w:t>
      </w:r>
    </w:p>
    <w:p w14:paraId="26B7CAA5" w14:textId="77777777" w:rsidR="006B30B4" w:rsidRPr="00D207EA" w:rsidRDefault="006B30B4" w:rsidP="00C21519">
      <w:pPr>
        <w:pStyle w:val="NumPar10000000"/>
        <w:numPr>
          <w:ilvl w:val="0"/>
          <w:numId w:val="167"/>
        </w:numPr>
        <w:rPr>
          <w:noProof/>
        </w:rPr>
      </w:pPr>
      <w:r w:rsidRPr="00D207EA">
        <w:rPr>
          <w:rStyle w:val="normaltextrun"/>
          <w:noProof/>
        </w:rPr>
        <w:t>Outre leur contribution aux objectifs spécifiques énoncés à l’article 3, point d), les interventions visées au paragraphe 1 contribuent aux objectifs suivants:</w:t>
      </w:r>
      <w:r w:rsidRPr="00D207EA">
        <w:rPr>
          <w:rStyle w:val="eop"/>
          <w:noProof/>
        </w:rPr>
        <w:t> </w:t>
      </w:r>
    </w:p>
    <w:p w14:paraId="73E5D70F" w14:textId="4C702B71" w:rsidR="006B30B4" w:rsidRPr="00D207EA" w:rsidRDefault="008D666E" w:rsidP="008D666E">
      <w:pPr>
        <w:pStyle w:val="Point10"/>
        <w:rPr>
          <w:noProof/>
        </w:rPr>
      </w:pPr>
      <w:r w:rsidRPr="008D666E">
        <w:rPr>
          <w:noProof/>
        </w:rPr>
        <w:t>(a)</w:t>
      </w:r>
      <w:r w:rsidRPr="008D666E">
        <w:rPr>
          <w:noProof/>
        </w:rPr>
        <w:tab/>
      </w:r>
      <w:r w:rsidR="006B30B4" w:rsidRPr="00D207EA">
        <w:rPr>
          <w:rStyle w:val="normaltextrun"/>
          <w:noProof/>
        </w:rPr>
        <w:t>garantir l’approvisionnement des îles mineures de la mer Égée en produits essentiels à la consommation humaine ou à la transformation et en tant qu’intrants agricoles en allégeant les surcoûts liés à leur ultrapériphéricité ou insularité, sans porter préjudice à la production locale et à son développement;</w:t>
      </w:r>
      <w:r w:rsidR="006B30B4" w:rsidRPr="00D207EA">
        <w:rPr>
          <w:rStyle w:val="eop"/>
          <w:noProof/>
        </w:rPr>
        <w:t> </w:t>
      </w:r>
    </w:p>
    <w:p w14:paraId="5378405A" w14:textId="65C4DD71" w:rsidR="006B30B4" w:rsidRPr="00D207EA" w:rsidRDefault="008D666E" w:rsidP="008D666E">
      <w:pPr>
        <w:pStyle w:val="Point10"/>
        <w:rPr>
          <w:noProof/>
        </w:rPr>
      </w:pPr>
      <w:r w:rsidRPr="008D666E">
        <w:rPr>
          <w:noProof/>
        </w:rPr>
        <w:t>(b)</w:t>
      </w:r>
      <w:r w:rsidRPr="008D666E">
        <w:rPr>
          <w:noProof/>
        </w:rPr>
        <w:tab/>
      </w:r>
      <w:r w:rsidR="006B30B4" w:rsidRPr="00D207EA">
        <w:rPr>
          <w:rStyle w:val="normaltextrun"/>
          <w:noProof/>
        </w:rPr>
        <w:t>assurer l’avenir et le développement à long terme des activités agricoles des îles mineures de la mer Égée, y compris la production, la transformation et la vente de cultures et de produits locaux, en mettant l’accent sur la sécurité et l’autosuffisance alimentaires, ainsi que le maintien et le renforcement de leur compétitivité.</w:t>
      </w:r>
    </w:p>
    <w:p w14:paraId="474997BC" w14:textId="62C36C2E" w:rsidR="006B30B4" w:rsidRPr="00D207EA" w:rsidRDefault="006B30B4" w:rsidP="00C21519">
      <w:pPr>
        <w:pStyle w:val="NumPar10000000"/>
        <w:numPr>
          <w:ilvl w:val="0"/>
          <w:numId w:val="167"/>
        </w:numPr>
        <w:rPr>
          <w:noProof/>
        </w:rPr>
      </w:pPr>
      <w:r w:rsidRPr="00D207EA">
        <w:rPr>
          <w:rStyle w:val="normaltextrun"/>
          <w:noProof/>
        </w:rPr>
        <w:t>La Grèce peut mettre en œuvre dans les îles mineures de la mer Égée les interventions visées à l’article 35, paragraphe 1 [Types d’intervention], à l’exception de celles visées au point o) [régions ultrapériphériques] dudit article.</w:t>
      </w:r>
    </w:p>
    <w:p w14:paraId="6D4ED55F" w14:textId="7E1A161F" w:rsidR="006B30B4" w:rsidRPr="00D207EA" w:rsidRDefault="006B30B4" w:rsidP="00C21519">
      <w:pPr>
        <w:pStyle w:val="NumPar10000000"/>
        <w:numPr>
          <w:ilvl w:val="0"/>
          <w:numId w:val="167"/>
        </w:numPr>
        <w:rPr>
          <w:noProof/>
        </w:rPr>
      </w:pPr>
      <w:r w:rsidRPr="00D207EA">
        <w:rPr>
          <w:rStyle w:val="normaltextrun"/>
          <w:noProof/>
        </w:rPr>
        <w:t>La gérance des exploitations agricoles visée à l’article 3 du règlement (UE) .../... [règlement relatif à la PAC] s’applique aux bénéficiaires du soutien aux produits agricoles locaux visé à l’article 44 [Soutien aux produits agricoles locaux].</w:t>
      </w:r>
    </w:p>
    <w:p w14:paraId="045C81B2" w14:textId="49CF954D" w:rsidR="006B30B4" w:rsidRPr="00D207EA" w:rsidRDefault="006B30B4" w:rsidP="00C21519">
      <w:pPr>
        <w:pStyle w:val="NumPar10000000"/>
        <w:numPr>
          <w:ilvl w:val="0"/>
          <w:numId w:val="167"/>
        </w:numPr>
        <w:rPr>
          <w:noProof/>
        </w:rPr>
      </w:pPr>
      <w:r w:rsidRPr="00D207EA">
        <w:rPr>
          <w:rStyle w:val="normaltextrun"/>
          <w:noProof/>
        </w:rPr>
        <w:t>Toutefois, le bénéficiaire du soutien aux produits agricoles locaux visé à l’article 44 [Soutien aux produits agricoles locaux] recevant un paiement annuel ne dépassant pas 3 000 EUR est exempté des exigences en matière de gérance des exploitations agricoles visées à l’annexe XI, parties A et C, du règlement (UE) 202X/XXXX [règlement relatif à la PAC].</w:t>
      </w:r>
    </w:p>
    <w:p w14:paraId="6BE83798" w14:textId="77777777" w:rsidR="006B30B4" w:rsidRPr="00D207EA" w:rsidRDefault="006B30B4" w:rsidP="005A28DE">
      <w:pPr>
        <w:pStyle w:val="Titrearticle"/>
        <w:rPr>
          <w:rFonts w:eastAsiaTheme="majorEastAsia"/>
          <w:b/>
          <w:noProof/>
        </w:rPr>
      </w:pPr>
      <w:r w:rsidRPr="00D207EA">
        <w:rPr>
          <w:rStyle w:val="eop"/>
          <w:noProof/>
        </w:rPr>
        <w:t>Article 43</w:t>
      </w:r>
      <w:r w:rsidRPr="00D207EA">
        <w:rPr>
          <w:rStyle w:val="eop"/>
          <w:noProof/>
        </w:rPr>
        <w:br/>
      </w:r>
      <w:r w:rsidRPr="00D207EA">
        <w:rPr>
          <w:rStyle w:val="eop"/>
          <w:b/>
          <w:noProof/>
        </w:rPr>
        <w:t>Régimes spécifiques d’approvisionnement</w:t>
      </w:r>
    </w:p>
    <w:p w14:paraId="46A9A952" w14:textId="3B9F967F" w:rsidR="006B30B4" w:rsidRPr="00D207EA" w:rsidRDefault="006B30B4" w:rsidP="00C21519">
      <w:pPr>
        <w:pStyle w:val="NumPar10000000"/>
        <w:numPr>
          <w:ilvl w:val="0"/>
          <w:numId w:val="159"/>
        </w:numPr>
        <w:rPr>
          <w:noProof/>
        </w:rPr>
      </w:pPr>
      <w:r w:rsidRPr="00D207EA">
        <w:rPr>
          <w:rStyle w:val="normaltextrun"/>
          <w:noProof/>
        </w:rPr>
        <w:t>Il est établi des régimes spécifiques d’approvisionnement pour les produits agricoles figurant à l’annexe I du traité FUE qui sont essentiels, dans les îles mineures de la mer Égée, à la consommation humaine ou à la fabrication d’autres produits, ou en tant qu’intrants agricoles.</w:t>
      </w:r>
    </w:p>
    <w:p w14:paraId="75D1863A" w14:textId="745D52B6" w:rsidR="006B30B4" w:rsidRPr="00D207EA" w:rsidRDefault="006B30B4" w:rsidP="00C21519">
      <w:pPr>
        <w:pStyle w:val="NumPar10000000"/>
        <w:numPr>
          <w:ilvl w:val="0"/>
          <w:numId w:val="167"/>
        </w:numPr>
        <w:rPr>
          <w:noProof/>
        </w:rPr>
      </w:pPr>
      <w:r w:rsidRPr="00D207EA">
        <w:rPr>
          <w:rStyle w:val="normaltextrun"/>
          <w:noProof/>
        </w:rPr>
        <w:t>La Grèce établit dans son plan, au niveau géographique qu’elle juge le plus approprié, un volume maximal de chaque produit agricole, parmi les produits énumérés à l’annexe I du traité FUE, pour quantifier les besoins annuels d’approvisionnement des îles mineures de la mer Égée.</w:t>
      </w:r>
    </w:p>
    <w:p w14:paraId="02175E4D" w14:textId="3B3B0262" w:rsidR="006B30B4" w:rsidRPr="00D207EA" w:rsidRDefault="006B30B4" w:rsidP="00C21519">
      <w:pPr>
        <w:pStyle w:val="NumPar10000000"/>
        <w:numPr>
          <w:ilvl w:val="0"/>
          <w:numId w:val="167"/>
        </w:numPr>
        <w:rPr>
          <w:noProof/>
        </w:rPr>
      </w:pPr>
      <w:r w:rsidRPr="00D207EA">
        <w:rPr>
          <w:rStyle w:val="normaltextrun"/>
          <w:noProof/>
        </w:rPr>
        <w:t>Le volume maximal de produits agricoles visé au paragraphe 1 comprend également les volumes de ces produits nécessaires aux entreprises de conditionnement et de transformation de produits destinés au marché local, à l’expédition vers le reste de l’Union ou à l’exportation vers les pays tiers dans le cadre du commerce régional ou des flux commerciaux traditionnels. Le volume maximal des produits visé au paragraphe 1 est établi compte tenu notamment des quantités de ces produits fixées dans les bilans prévisionnels d’approvisionnement de la période de programmation précédente.</w:t>
      </w:r>
    </w:p>
    <w:p w14:paraId="558973EE" w14:textId="61D74397" w:rsidR="006B30B4" w:rsidRPr="00D207EA" w:rsidRDefault="006B30B4" w:rsidP="00C21519">
      <w:pPr>
        <w:pStyle w:val="NumPar10000000"/>
        <w:numPr>
          <w:ilvl w:val="0"/>
          <w:numId w:val="167"/>
        </w:numPr>
        <w:rPr>
          <w:noProof/>
        </w:rPr>
      </w:pPr>
      <w:r w:rsidRPr="00D207EA">
        <w:rPr>
          <w:rStyle w:val="normaltextrun"/>
          <w:noProof/>
        </w:rPr>
        <w:t>Un soutien est accordé à l’approvisionnement des îles mineures de la mer Égée en produits de l’Union afin de couvrir les besoins spécifiques d’approvisionnement établis conformément au paragraphe 2 en matière de prix et de qualité, tout en maintenant la part de l’Union dans l’approvisionnement de ces produits.</w:t>
      </w:r>
    </w:p>
    <w:p w14:paraId="15316801" w14:textId="1A48D777" w:rsidR="006B30B4" w:rsidRPr="00D207EA" w:rsidRDefault="006B30B4" w:rsidP="00C21519">
      <w:pPr>
        <w:pStyle w:val="NumPar10000000"/>
        <w:numPr>
          <w:ilvl w:val="0"/>
          <w:numId w:val="167"/>
        </w:numPr>
        <w:rPr>
          <w:noProof/>
        </w:rPr>
      </w:pPr>
      <w:r w:rsidRPr="00D207EA">
        <w:rPr>
          <w:rStyle w:val="normaltextrun"/>
          <w:noProof/>
        </w:rPr>
        <w:t>Aucun soutien n’est octroyé pour l’approvisionnement en produits ayant déjà bénéficié des régimes spécifiques d’approvisionnement sur une autre île mineure de la mer Égée.</w:t>
      </w:r>
    </w:p>
    <w:p w14:paraId="236FA01E" w14:textId="4D126A57" w:rsidR="006B30B4" w:rsidRPr="00D207EA" w:rsidRDefault="006B30B4" w:rsidP="00C21519">
      <w:pPr>
        <w:pStyle w:val="NumPar10000000"/>
        <w:numPr>
          <w:ilvl w:val="0"/>
          <w:numId w:val="167"/>
        </w:numPr>
        <w:rPr>
          <w:noProof/>
        </w:rPr>
      </w:pPr>
      <w:r w:rsidRPr="00D207EA">
        <w:rPr>
          <w:rStyle w:val="normaltextrun"/>
          <w:noProof/>
        </w:rPr>
        <w:t>Seuls des produits de qualité saine, loyale et marchande bénéficient du régime spécifique d’approvisionnement.</w:t>
      </w:r>
    </w:p>
    <w:p w14:paraId="0C5E69C1" w14:textId="777EC160" w:rsidR="006B30B4" w:rsidRPr="00D207EA" w:rsidRDefault="006B30B4" w:rsidP="00C21519">
      <w:pPr>
        <w:pStyle w:val="NumPar10000000"/>
        <w:numPr>
          <w:ilvl w:val="0"/>
          <w:numId w:val="167"/>
        </w:numPr>
        <w:rPr>
          <w:rStyle w:val="normaltextrun"/>
          <w:noProof/>
        </w:rPr>
      </w:pPr>
      <w:r w:rsidRPr="00D207EA">
        <w:rPr>
          <w:rStyle w:val="normaltextrun"/>
          <w:noProof/>
        </w:rPr>
        <w:t>Dans la mise en œuvre du régime spécifique d’approvisionnement, la Grèce tient compte notamment du fait que la production locale existante ne doit pas être déstabilisée ni entravée dans son développement, ainsi que de l’exigence prévue au paragraphe 5.</w:t>
      </w:r>
    </w:p>
    <w:p w14:paraId="1D0BD633" w14:textId="77777777" w:rsidR="006B30B4" w:rsidRPr="00D207EA" w:rsidRDefault="006B30B4" w:rsidP="005A28DE">
      <w:pPr>
        <w:pStyle w:val="Titrearticle"/>
        <w:spacing w:before="0"/>
        <w:rPr>
          <w:rStyle w:val="normaltextrun"/>
          <w:b/>
          <w:noProof/>
        </w:rPr>
      </w:pPr>
      <w:r w:rsidRPr="00D207EA">
        <w:rPr>
          <w:rStyle w:val="eop"/>
          <w:noProof/>
        </w:rPr>
        <w:t>Article 44</w:t>
      </w:r>
      <w:r w:rsidRPr="00D207EA">
        <w:rPr>
          <w:rStyle w:val="eop"/>
          <w:noProof/>
        </w:rPr>
        <w:br/>
      </w:r>
      <w:r w:rsidRPr="00D207EA">
        <w:rPr>
          <w:rStyle w:val="eop"/>
          <w:b/>
          <w:noProof/>
        </w:rPr>
        <w:t>Soutien aux produits agricoles locaux</w:t>
      </w:r>
    </w:p>
    <w:p w14:paraId="6A252822" w14:textId="54CD7536" w:rsidR="006B30B4" w:rsidRPr="00D207EA" w:rsidRDefault="006B30B4" w:rsidP="00C21519">
      <w:pPr>
        <w:pStyle w:val="NumPar10000000"/>
        <w:numPr>
          <w:ilvl w:val="0"/>
          <w:numId w:val="160"/>
        </w:numPr>
        <w:rPr>
          <w:noProof/>
        </w:rPr>
      </w:pPr>
      <w:r w:rsidRPr="00D207EA">
        <w:rPr>
          <w:rStyle w:val="normaltextrun"/>
          <w:noProof/>
        </w:rPr>
        <w:t>La Grèce accorde un soutien à la production, à la transformation, à la commercialisation et au transport des produits agricoles bruts et transformés dans les îles mineures de la mer Égée.</w:t>
      </w:r>
    </w:p>
    <w:p w14:paraId="2E8196BD" w14:textId="691683D6" w:rsidR="006B30B4" w:rsidRPr="00D207EA" w:rsidRDefault="006B30B4" w:rsidP="00C21519">
      <w:pPr>
        <w:pStyle w:val="NumPar10000000"/>
        <w:numPr>
          <w:ilvl w:val="0"/>
          <w:numId w:val="167"/>
        </w:numPr>
        <w:rPr>
          <w:noProof/>
        </w:rPr>
      </w:pPr>
      <w:r w:rsidRPr="00D207EA">
        <w:rPr>
          <w:rStyle w:val="normaltextrun"/>
          <w:noProof/>
        </w:rPr>
        <w:t>Elle conçoit les interventions de manière à assurer la continuité et le développement de la production agricole locale dans lesdites îles.</w:t>
      </w:r>
    </w:p>
    <w:p w14:paraId="3C80AA33" w14:textId="1FCCA62D" w:rsidR="006B30B4" w:rsidRPr="00D207EA" w:rsidRDefault="006B30B4" w:rsidP="00C21519">
      <w:pPr>
        <w:pStyle w:val="NumPar10000000"/>
        <w:numPr>
          <w:ilvl w:val="0"/>
          <w:numId w:val="167"/>
        </w:numPr>
        <w:rPr>
          <w:noProof/>
        </w:rPr>
      </w:pPr>
      <w:r w:rsidRPr="00D207EA">
        <w:rPr>
          <w:rStyle w:val="normaltextrun"/>
          <w:noProof/>
        </w:rPr>
        <w:t>Elle assure une répartition équitable des paiements. La Grèce peut plafonner le montant du soutien à accorder à un bénéficiaire au cours d’une année civile donnée ou recourir à des paiements dégressifs.</w:t>
      </w:r>
    </w:p>
    <w:p w14:paraId="2F0E42B1" w14:textId="090FC260" w:rsidR="006B30B4" w:rsidRPr="00D207EA" w:rsidRDefault="006B30B4" w:rsidP="00C21519">
      <w:pPr>
        <w:pStyle w:val="NumPar10000000"/>
        <w:numPr>
          <w:ilvl w:val="0"/>
          <w:numId w:val="167"/>
        </w:numPr>
        <w:rPr>
          <w:noProof/>
        </w:rPr>
      </w:pPr>
      <w:r w:rsidRPr="00D207EA">
        <w:rPr>
          <w:rStyle w:val="normaltextrun"/>
          <w:noProof/>
        </w:rPr>
        <w:t>Elle peut accorder un soutien à la commercialisation des produits en dehors de la région dans laquelle ils sont produits. Ce soutien n’excède pas 10 % de la valeur de la production commercialisée, livrée dans une zone de destination au cours d’une année civile donnée.</w:t>
      </w:r>
    </w:p>
    <w:p w14:paraId="512143CF" w14:textId="3CA08EED" w:rsidR="006B30B4" w:rsidRPr="00D207EA" w:rsidRDefault="006B30B4" w:rsidP="00C21519">
      <w:pPr>
        <w:pStyle w:val="NumPar10000000"/>
        <w:numPr>
          <w:ilvl w:val="0"/>
          <w:numId w:val="167"/>
        </w:numPr>
        <w:rPr>
          <w:rStyle w:val="eop"/>
          <w:noProof/>
        </w:rPr>
      </w:pPr>
      <w:r w:rsidRPr="00D207EA">
        <w:rPr>
          <w:rStyle w:val="normaltextrun"/>
          <w:noProof/>
        </w:rPr>
        <w:t>Lorsqu’un plan est modifié conformément à l’article 24 [Modification du plan PNR], les bénéficiaires frappés par la catastrophe naturelle exceptionnelle ou l’événement météorologique grave peuvent continuer à bénéficier du soutien sous la forme de mesures de soutien à la production, à la transformation ou à la commercialisation prévues au paragraphe 1, quel que soit leur niveau d’activité tout au long de la période de restauration, mais à condition qu’ils s’engagent formellement à restaurer leur capacité de production agricole.</w:t>
      </w:r>
    </w:p>
    <w:p w14:paraId="04334F4B" w14:textId="77777777" w:rsidR="006B30B4" w:rsidRPr="00D207EA" w:rsidRDefault="006B30B4" w:rsidP="004D4C26">
      <w:pPr>
        <w:pStyle w:val="Titlearticle"/>
        <w:rPr>
          <w:rStyle w:val="eop"/>
          <w:rFonts w:eastAsiaTheme="majorEastAsia"/>
          <w:b/>
          <w:noProof/>
        </w:rPr>
      </w:pPr>
      <w:r w:rsidRPr="00D207EA">
        <w:rPr>
          <w:rStyle w:val="eop"/>
          <w:noProof/>
        </w:rPr>
        <w:t>Article 45</w:t>
      </w:r>
      <w:r w:rsidRPr="00D207EA">
        <w:rPr>
          <w:rStyle w:val="eop"/>
          <w:noProof/>
        </w:rPr>
        <w:br/>
      </w:r>
      <w:r w:rsidRPr="00D207EA">
        <w:rPr>
          <w:rStyle w:val="eop"/>
          <w:b/>
          <w:noProof/>
        </w:rPr>
        <w:t>Contrôles et sanctions</w:t>
      </w:r>
    </w:p>
    <w:p w14:paraId="3F75A3B9" w14:textId="56866DFC" w:rsidR="006B30B4" w:rsidRPr="00D207EA" w:rsidRDefault="006B30B4" w:rsidP="00C21519">
      <w:pPr>
        <w:pStyle w:val="NumPar10000000"/>
        <w:numPr>
          <w:ilvl w:val="0"/>
          <w:numId w:val="162"/>
        </w:numPr>
        <w:rPr>
          <w:rFonts w:eastAsiaTheme="majorEastAsia"/>
          <w:noProof/>
        </w:rPr>
      </w:pPr>
      <w:r w:rsidRPr="00D207EA">
        <w:rPr>
          <w:noProof/>
        </w:rPr>
        <w:t>Pour les régimes spécifiques d’approvisionnement, la Grèce effectue les vérifications au moyen de contrôles administratifs, physiques et sur place.</w:t>
      </w:r>
    </w:p>
    <w:p w14:paraId="1F16C1E2" w14:textId="77777777" w:rsidR="006B30B4" w:rsidRPr="00D207EA" w:rsidRDefault="006B30B4" w:rsidP="00C21519">
      <w:pPr>
        <w:pStyle w:val="NumPar10000000"/>
        <w:numPr>
          <w:ilvl w:val="0"/>
          <w:numId w:val="167"/>
        </w:numPr>
        <w:rPr>
          <w:rFonts w:eastAsiaTheme="majorEastAsia"/>
          <w:noProof/>
        </w:rPr>
      </w:pPr>
      <w:r w:rsidRPr="00D207EA">
        <w:rPr>
          <w:noProof/>
        </w:rPr>
        <w:t>Les contrôles administratifs à l’importation, à l’introduction, à l’exportation et à l’expédition des produits agricoles sont exhaustifs et comportent notamment des contrôles par recoupements avec les justificatifs. Les contrôles physiques effectués dans les îles mineures de la mer Égée concernées lors de l’importation ou de l’introduction de produits agricoles portent sur un échantillon représentatif d’au moins 5 % des licences et des certificats.</w:t>
      </w:r>
    </w:p>
    <w:p w14:paraId="4718AE21" w14:textId="7E364957" w:rsidR="006B30B4" w:rsidRPr="00D207EA" w:rsidRDefault="006B30B4" w:rsidP="00C21519">
      <w:pPr>
        <w:pStyle w:val="NumPar10000000"/>
        <w:numPr>
          <w:ilvl w:val="0"/>
          <w:numId w:val="167"/>
        </w:numPr>
        <w:rPr>
          <w:rFonts w:eastAsiaTheme="majorEastAsia"/>
          <w:noProof/>
        </w:rPr>
      </w:pPr>
      <w:r w:rsidRPr="00D207EA">
        <w:rPr>
          <w:noProof/>
        </w:rPr>
        <w:t>Dans le cas des mesures de soutien à la production locale, la Grèce procède à des vérifications au moyen de contrôles administratifs et sur place.</w:t>
      </w:r>
    </w:p>
    <w:p w14:paraId="18DCF637" w14:textId="77777777" w:rsidR="006B30B4" w:rsidRPr="00D207EA" w:rsidRDefault="006B30B4" w:rsidP="00C21519">
      <w:pPr>
        <w:pStyle w:val="NumPar10000000"/>
        <w:numPr>
          <w:ilvl w:val="0"/>
          <w:numId w:val="167"/>
        </w:numPr>
        <w:rPr>
          <w:rFonts w:eastAsiaTheme="majorEastAsia"/>
          <w:noProof/>
        </w:rPr>
      </w:pPr>
      <w:r w:rsidRPr="00D207EA">
        <w:rPr>
          <w:noProof/>
        </w:rPr>
        <w:t>Les contrôles administratifs sont exhaustifs et comprennent des contrôles par recoupements avec, entre autres, les données de la gestion et du contrôle intégrés.</w:t>
      </w:r>
    </w:p>
    <w:p w14:paraId="6FDE67BB" w14:textId="77777777" w:rsidR="006B30B4" w:rsidRPr="00D207EA" w:rsidRDefault="006B30B4" w:rsidP="00C21519">
      <w:pPr>
        <w:pStyle w:val="NumPar10000000"/>
        <w:numPr>
          <w:ilvl w:val="0"/>
          <w:numId w:val="167"/>
        </w:numPr>
        <w:rPr>
          <w:rFonts w:eastAsiaTheme="majorEastAsia"/>
          <w:noProof/>
        </w:rPr>
      </w:pPr>
      <w:r w:rsidRPr="00D207EA">
        <w:rPr>
          <w:noProof/>
        </w:rPr>
        <w:t>Les demandeurs d’aide au titre du régime spécifique d’approvisionnement et du soutien à la production locale sont sélectionnés pour faire l’objet de contrôles sur place par l’autorité compétente sur la base d’une analyse des risques et de la représentativité des demandes d’aide présentées; les autorités compétentes effectuent des contrôles sur place en prélevant, pour chaque action, un échantillon d’au moins 5 % des demandes d’aide. L’échantillon représente aussi 5 % au moins des montants faisant l’objet de l’aide pour chaque action.</w:t>
      </w:r>
    </w:p>
    <w:p w14:paraId="423E6346" w14:textId="77777777" w:rsidR="006B30B4" w:rsidRPr="00D207EA" w:rsidRDefault="006B30B4" w:rsidP="005A28DE">
      <w:pPr>
        <w:pStyle w:val="Text1"/>
        <w:rPr>
          <w:noProof/>
        </w:rPr>
      </w:pPr>
      <w:r w:rsidRPr="00D207EA">
        <w:rPr>
          <w:noProof/>
        </w:rPr>
        <w:t>Dans tous les cas appropriés, la Grèce a recours au système intégré de gestion et de contrôle prévu à l’article 70.</w:t>
      </w:r>
    </w:p>
    <w:p w14:paraId="6E735576" w14:textId="77777777" w:rsidR="006B30B4" w:rsidRPr="00D207EA" w:rsidRDefault="006B30B4" w:rsidP="005A28DE">
      <w:pPr>
        <w:pStyle w:val="Text1"/>
        <w:rPr>
          <w:noProof/>
        </w:rPr>
      </w:pPr>
      <w:r w:rsidRPr="00D207EA">
        <w:rPr>
          <w:noProof/>
        </w:rPr>
        <w:t>Chaque contrôle sur place fait l’objet d’un rapport rendant compte avec précision des différents éléments du contrôle.</w:t>
      </w:r>
    </w:p>
    <w:p w14:paraId="59A27252" w14:textId="03A884EC" w:rsidR="00E43C17" w:rsidRPr="00D207EA" w:rsidRDefault="39F95803" w:rsidP="00E43C17">
      <w:pPr>
        <w:pStyle w:val="SectionTitle"/>
        <w:rPr>
          <w:noProof/>
        </w:rPr>
      </w:pPr>
      <w:r w:rsidRPr="00D207EA">
        <w:rPr>
          <w:noProof/>
        </w:rPr>
        <w:t>TITRE VI</w:t>
      </w:r>
      <w:r w:rsidRPr="00D207EA">
        <w:rPr>
          <w:noProof/>
        </w:rPr>
        <w:br/>
        <w:t>RÉGIONS ULTRAPÉRIPHÉRIQUES</w:t>
      </w:r>
    </w:p>
    <w:p w14:paraId="4808A7B4" w14:textId="72FFFE04" w:rsidR="00BA2AFB" w:rsidRPr="00D207EA" w:rsidRDefault="00BA2AFB" w:rsidP="00BA2AFB">
      <w:pPr>
        <w:pStyle w:val="Titrearticle"/>
        <w:rPr>
          <w:b/>
          <w:bCs/>
          <w:noProof/>
        </w:rPr>
      </w:pPr>
      <w:r w:rsidRPr="00D207EA">
        <w:rPr>
          <w:noProof/>
        </w:rPr>
        <w:t>Article 46</w:t>
      </w:r>
      <w:r w:rsidRPr="00D207EA">
        <w:rPr>
          <w:noProof/>
        </w:rPr>
        <w:br/>
      </w:r>
      <w:r w:rsidRPr="00D207EA">
        <w:rPr>
          <w:b/>
          <w:noProof/>
        </w:rPr>
        <w:t>Régions ultrapériphériques</w:t>
      </w:r>
    </w:p>
    <w:p w14:paraId="0F167E28" w14:textId="77777777" w:rsidR="00715EB0" w:rsidRPr="00D207EA" w:rsidRDefault="00715EB0" w:rsidP="00C21519">
      <w:pPr>
        <w:pStyle w:val="NumPar10000000"/>
        <w:numPr>
          <w:ilvl w:val="0"/>
          <w:numId w:val="161"/>
        </w:numPr>
        <w:rPr>
          <w:noProof/>
        </w:rPr>
      </w:pPr>
      <w:r w:rsidRPr="00D207EA">
        <w:rPr>
          <w:noProof/>
        </w:rPr>
        <w:t>Les États membres concernés préparent, dans le cadre de leur plan, des mesures visant à remédier aux contraintes permanentes et structurelles des régions ultrapériphériques de l’Union qui nuisent gravement à leur développement, comme le reconnaît l’article 349 du traité FUE. Ces mesures peuvent être mises en œuvre dans un chapitre spécifique. Elles poursuivent les objectifs suivants:</w:t>
      </w:r>
    </w:p>
    <w:p w14:paraId="6CF28F3B" w14:textId="454AE876" w:rsidR="001F498F" w:rsidRPr="00D207EA" w:rsidRDefault="008D666E" w:rsidP="008D666E">
      <w:pPr>
        <w:pStyle w:val="Point10"/>
        <w:rPr>
          <w:noProof/>
        </w:rPr>
      </w:pPr>
      <w:r w:rsidRPr="008D666E">
        <w:rPr>
          <w:noProof/>
        </w:rPr>
        <w:t>(a)</w:t>
      </w:r>
      <w:r w:rsidRPr="008D666E">
        <w:rPr>
          <w:noProof/>
        </w:rPr>
        <w:tab/>
      </w:r>
      <w:r w:rsidR="00715EB0" w:rsidRPr="00D207EA">
        <w:rPr>
          <w:noProof/>
        </w:rPr>
        <w:t>répondre aux besoins des régions concernées et à leurs difficultés spécifiques, tels que la sécurité alimentaire, le logement, la gestion de l’eau et des déchets, l’emploi et la mobilité de la main-d’œuvre, en particulier pour les jeunes, la décarbonation, la circularité, l’éducation et les compétences, l’inclusion sociale, la migration, la résilience et l’adaptation au changement climatique, la protection de l’environnement, l’accès aux soins de santé, l’énergie, le transport durable et la connectivité numérique, et le développement économique, y compris en ce qui concerne une économie bleue durable et diversifiée;</w:t>
      </w:r>
    </w:p>
    <w:p w14:paraId="306DCE4F" w14:textId="3977D59E" w:rsidR="00715EB0" w:rsidRPr="00D207EA" w:rsidRDefault="008D666E" w:rsidP="008D666E">
      <w:pPr>
        <w:pStyle w:val="Point10"/>
        <w:rPr>
          <w:iCs/>
          <w:noProof/>
        </w:rPr>
      </w:pPr>
      <w:r w:rsidRPr="008D666E">
        <w:rPr>
          <w:noProof/>
        </w:rPr>
        <w:t>(b)</w:t>
      </w:r>
      <w:r w:rsidRPr="008D666E">
        <w:rPr>
          <w:noProof/>
        </w:rPr>
        <w:tab/>
      </w:r>
      <w:r w:rsidR="00715EB0" w:rsidRPr="00D207EA">
        <w:rPr>
          <w:noProof/>
        </w:rPr>
        <w:t>garantir l’approvisionnement en produits essentiels à la consommation humaine ou à la transformation et en tant qu’intrants agricoles en allégeant les surcoûts liés à leur ultrapériphéricité et/ou insularité, sans porter préjudice à la production locale et à son développement;</w:t>
      </w:r>
    </w:p>
    <w:p w14:paraId="7F907A8C" w14:textId="28FE2901" w:rsidR="00715EB0" w:rsidRPr="00D207EA" w:rsidRDefault="008D666E" w:rsidP="008D666E">
      <w:pPr>
        <w:pStyle w:val="Point10"/>
        <w:rPr>
          <w:noProof/>
        </w:rPr>
      </w:pPr>
      <w:r w:rsidRPr="008D666E">
        <w:rPr>
          <w:noProof/>
        </w:rPr>
        <w:t>(c)</w:t>
      </w:r>
      <w:r w:rsidRPr="008D666E">
        <w:rPr>
          <w:noProof/>
        </w:rPr>
        <w:tab/>
      </w:r>
      <w:r w:rsidR="00715EB0" w:rsidRPr="00D207EA">
        <w:rPr>
          <w:noProof/>
        </w:rPr>
        <w:t>assurer l’avenir et le développement à long terme de l’agriculture, de la pêche et de l’aquaculture, y compris la production, la transformation, la commercialisation et la vente de cultures et de produits locaux, ainsi que la diversification de la production alimentaire, en mettant l’accent sur la sécurité et l’autosuffisance alimentaires, ainsi que sur le maintien et le renforcement de leur compétitivité.</w:t>
      </w:r>
    </w:p>
    <w:p w14:paraId="64BA427F" w14:textId="77777777" w:rsidR="00715EB0" w:rsidRPr="00D207EA" w:rsidRDefault="00715EB0" w:rsidP="00C21519">
      <w:pPr>
        <w:pStyle w:val="NumPar10000000"/>
        <w:numPr>
          <w:ilvl w:val="0"/>
          <w:numId w:val="167"/>
        </w:numPr>
        <w:rPr>
          <w:iCs/>
          <w:noProof/>
        </w:rPr>
      </w:pPr>
      <w:r w:rsidRPr="00D207EA">
        <w:rPr>
          <w:noProof/>
        </w:rPr>
        <w:t xml:space="preserve">En outre, les chapitres comprennent également d’autres interventions [financées par les ressources prévues à l’article 10 – Budget], y compris des indemnisations, relatives: </w:t>
      </w:r>
    </w:p>
    <w:p w14:paraId="5895E2DE" w14:textId="41F9D8C7" w:rsidR="00715EB0" w:rsidRPr="00D207EA" w:rsidRDefault="008D666E" w:rsidP="008D666E">
      <w:pPr>
        <w:pStyle w:val="Point10"/>
        <w:rPr>
          <w:noProof/>
        </w:rPr>
      </w:pPr>
      <w:r w:rsidRPr="008D666E">
        <w:rPr>
          <w:noProof/>
        </w:rPr>
        <w:t>(a)</w:t>
      </w:r>
      <w:r w:rsidRPr="008D666E">
        <w:rPr>
          <w:noProof/>
        </w:rPr>
        <w:tab/>
      </w:r>
      <w:r w:rsidR="00715EB0" w:rsidRPr="00D207EA">
        <w:rPr>
          <w:noProof/>
        </w:rPr>
        <w:t>aux régimes spécifiques d’approvisionnement visés à l’article 47;</w:t>
      </w:r>
    </w:p>
    <w:p w14:paraId="092D4B99" w14:textId="2056EE1F" w:rsidR="00715EB0" w:rsidRPr="00D207EA" w:rsidRDefault="008D666E" w:rsidP="008D666E">
      <w:pPr>
        <w:pStyle w:val="Point10"/>
        <w:rPr>
          <w:noProof/>
        </w:rPr>
      </w:pPr>
      <w:r w:rsidRPr="008D666E">
        <w:rPr>
          <w:noProof/>
        </w:rPr>
        <w:t>(b)</w:t>
      </w:r>
      <w:r w:rsidRPr="008D666E">
        <w:rPr>
          <w:noProof/>
        </w:rPr>
        <w:tab/>
      </w:r>
      <w:r w:rsidR="00715EB0" w:rsidRPr="00D207EA">
        <w:rPr>
          <w:noProof/>
        </w:rPr>
        <w:t>au soutien spécifique en faveur de la production et de la transformation locales de produits agricoles visé à l’article 48;</w:t>
      </w:r>
    </w:p>
    <w:p w14:paraId="29B9E41B" w14:textId="3B9D65CB" w:rsidR="00715EB0" w:rsidRPr="00D207EA" w:rsidRDefault="008D666E" w:rsidP="008D666E">
      <w:pPr>
        <w:pStyle w:val="Point10"/>
        <w:rPr>
          <w:noProof/>
        </w:rPr>
      </w:pPr>
      <w:r w:rsidRPr="008D666E">
        <w:rPr>
          <w:noProof/>
        </w:rPr>
        <w:t>(c)</w:t>
      </w:r>
      <w:r w:rsidRPr="008D666E">
        <w:rPr>
          <w:noProof/>
        </w:rPr>
        <w:tab/>
      </w:r>
      <w:r w:rsidR="00715EB0" w:rsidRPr="00D207EA">
        <w:rPr>
          <w:noProof/>
        </w:rPr>
        <w:t>à la promotion de conditions de concurrence équitables pour les produits de la pêche et de l’aquaculture provenant des régions ultrapériphériques;</w:t>
      </w:r>
    </w:p>
    <w:p w14:paraId="5B70AA23" w14:textId="03F3D0C9" w:rsidR="00715EB0" w:rsidRPr="00D207EA" w:rsidRDefault="008D666E" w:rsidP="008D666E">
      <w:pPr>
        <w:pStyle w:val="Point10"/>
        <w:rPr>
          <w:noProof/>
        </w:rPr>
      </w:pPr>
      <w:r w:rsidRPr="008D666E">
        <w:rPr>
          <w:noProof/>
        </w:rPr>
        <w:t>(d)</w:t>
      </w:r>
      <w:r w:rsidRPr="008D666E">
        <w:rPr>
          <w:noProof/>
        </w:rPr>
        <w:tab/>
      </w:r>
      <w:r w:rsidR="00715EB0" w:rsidRPr="00D207EA">
        <w:rPr>
          <w:noProof/>
        </w:rPr>
        <w:t xml:space="preserve"> au soutien spécifique en faveur de la production, de la transformation et de la commercialisation de la pêche et de l’aquaculture locales visé à l’article 48;</w:t>
      </w:r>
    </w:p>
    <w:p w14:paraId="0C3BE1C0" w14:textId="791A6078" w:rsidR="003D4582" w:rsidRPr="00D207EA" w:rsidRDefault="008D666E" w:rsidP="008D666E">
      <w:pPr>
        <w:pStyle w:val="Point10"/>
        <w:rPr>
          <w:iCs/>
          <w:noProof/>
        </w:rPr>
      </w:pPr>
      <w:r w:rsidRPr="008D666E">
        <w:rPr>
          <w:noProof/>
        </w:rPr>
        <w:t>(e)</w:t>
      </w:r>
      <w:r w:rsidRPr="008D666E">
        <w:rPr>
          <w:noProof/>
        </w:rPr>
        <w:tab/>
      </w:r>
      <w:r w:rsidR="00715EB0" w:rsidRPr="00D207EA">
        <w:rPr>
          <w:noProof/>
        </w:rPr>
        <w:t xml:space="preserve"> au soutien spécifique du développement économique, social et territorial, en particulier pour renforcer les transports décarbonés, les énergies propres et la connectivité numérique afin de compenser les surcoûts liés à l’éloignement et d’assurer des conditions de concurrence équitables avec l’Europe continentale, en favorisant leur sécurité et leur résilience;</w:t>
      </w:r>
    </w:p>
    <w:p w14:paraId="70503ED7" w14:textId="5253EF91" w:rsidR="00715EB0" w:rsidRPr="00D207EA" w:rsidRDefault="008D666E" w:rsidP="008D666E">
      <w:pPr>
        <w:pStyle w:val="Point10"/>
        <w:rPr>
          <w:iCs/>
          <w:noProof/>
        </w:rPr>
      </w:pPr>
      <w:r w:rsidRPr="008D666E">
        <w:rPr>
          <w:noProof/>
        </w:rPr>
        <w:t>(f)</w:t>
      </w:r>
      <w:r w:rsidRPr="008D666E">
        <w:rPr>
          <w:noProof/>
        </w:rPr>
        <w:tab/>
      </w:r>
      <w:r w:rsidR="003D4582" w:rsidRPr="00D207EA">
        <w:rPr>
          <w:noProof/>
        </w:rPr>
        <w:t>au soutien spécifique destiné à renforcer l’accès à l’emploi et à la mobilité de la main-d’œuvre, à l’éducation, aux compétences et à l’inclusion sociale afin de compenser les surcoûts liés à l’éloignement et d’assurer des conditions de concurrence équitables avec l’Europe continentale, en favorisant leur sécurité et leur résilience;</w:t>
      </w:r>
    </w:p>
    <w:p w14:paraId="5187B1DE" w14:textId="3AB87B03" w:rsidR="009A3B8C" w:rsidRPr="00D207EA" w:rsidRDefault="008D666E" w:rsidP="008D666E">
      <w:pPr>
        <w:pStyle w:val="Point10"/>
        <w:rPr>
          <w:iCs/>
          <w:noProof/>
        </w:rPr>
      </w:pPr>
      <w:r w:rsidRPr="008D666E">
        <w:rPr>
          <w:noProof/>
        </w:rPr>
        <w:t>(g)</w:t>
      </w:r>
      <w:r w:rsidRPr="008D666E">
        <w:rPr>
          <w:noProof/>
        </w:rPr>
        <w:tab/>
      </w:r>
      <w:r w:rsidR="009A3B8C" w:rsidRPr="00D207EA">
        <w:rPr>
          <w:noProof/>
        </w:rPr>
        <w:t>au soutien structurel au secteur de la pêche et de l’aquaculture, à l’indemnisation des surcoûts pour ce secteur, y compris la méthode de calcul, et à tout autre investissement dans l’économie bleue durable nécessaire pour parvenir à un développement côtier durable.</w:t>
      </w:r>
    </w:p>
    <w:p w14:paraId="5DBF83EA" w14:textId="77777777" w:rsidR="00EF2731" w:rsidRPr="00D207EA" w:rsidRDefault="00EF2731" w:rsidP="00EF2731">
      <w:pPr>
        <w:pStyle w:val="Titrearticle"/>
        <w:rPr>
          <w:b/>
          <w:bCs/>
          <w:noProof/>
        </w:rPr>
      </w:pPr>
      <w:r w:rsidRPr="00D207EA">
        <w:rPr>
          <w:noProof/>
        </w:rPr>
        <w:t>Article 47</w:t>
      </w:r>
      <w:r w:rsidRPr="00D207EA">
        <w:rPr>
          <w:noProof/>
        </w:rPr>
        <w:br/>
      </w:r>
      <w:r w:rsidRPr="00D207EA">
        <w:rPr>
          <w:b/>
          <w:noProof/>
        </w:rPr>
        <w:t>Régimes spécifiques d’approvisionnement</w:t>
      </w:r>
    </w:p>
    <w:p w14:paraId="173481ED" w14:textId="769800D2" w:rsidR="007775A4" w:rsidRPr="00D207EA" w:rsidRDefault="007775A4" w:rsidP="00C21519">
      <w:pPr>
        <w:pStyle w:val="NumPar10000000"/>
        <w:numPr>
          <w:ilvl w:val="0"/>
          <w:numId w:val="78"/>
        </w:numPr>
        <w:rPr>
          <w:noProof/>
        </w:rPr>
      </w:pPr>
      <w:r w:rsidRPr="00D207EA">
        <w:rPr>
          <w:noProof/>
        </w:rPr>
        <w:t>Il est possible d’établir des régimes spécifiques d’approvisionnement pour les produits agricoles figurant à l’annexe I du traité FUE qui sont essentiels, dans les régions ultrapériphériques, à la consommation humaine, à la fabrication d’autres produits, ou en tant qu’intrants agricoles.</w:t>
      </w:r>
    </w:p>
    <w:p w14:paraId="54691360" w14:textId="77777777" w:rsidR="00581CD7" w:rsidRPr="00D207EA" w:rsidRDefault="007775A4" w:rsidP="00C21519">
      <w:pPr>
        <w:pStyle w:val="NumPar10000000"/>
        <w:numPr>
          <w:ilvl w:val="0"/>
          <w:numId w:val="78"/>
        </w:numPr>
        <w:rPr>
          <w:noProof/>
        </w:rPr>
      </w:pPr>
      <w:r w:rsidRPr="00D207EA">
        <w:rPr>
          <w:noProof/>
        </w:rPr>
        <w:t>L’État membre concerné établit, au niveau géographique qu’il juge le plus approprié, un volume maximal de chaque produit agricole énuméré à l’annexe I du traité FUE, pour quantifier les besoins annuels d’approvisionnement des régions ultrapériphériques.</w:t>
      </w:r>
    </w:p>
    <w:p w14:paraId="5E191F24" w14:textId="77777777" w:rsidR="00581CD7" w:rsidRPr="00D207EA" w:rsidRDefault="00581CD7" w:rsidP="00581CD7">
      <w:pPr>
        <w:pStyle w:val="Text1"/>
        <w:rPr>
          <w:noProof/>
        </w:rPr>
      </w:pPr>
      <w:r w:rsidRPr="00D207EA">
        <w:rPr>
          <w:noProof/>
        </w:rPr>
        <w:t>Le volume maximal de produits comprend également les volumes de ces produits nécessaires aux entreprises de conditionnement et de transformation de produits destinés au marché local, à l’expédition vers le reste de l’Union ou à l’exportation vers les pays tiers dans le cadre du commerce régional ou des flux commerciaux traditionnels. Le volume maximal des produits est établi en tenant compte notamment des quantités de ces produits constatées dans les bilans prévisionnels d’approvisionnement de la période de programmation précédente.</w:t>
      </w:r>
    </w:p>
    <w:p w14:paraId="04CC9D0C" w14:textId="4064799E" w:rsidR="007775A4" w:rsidRPr="00D207EA" w:rsidRDefault="007775A4" w:rsidP="00A364BE">
      <w:pPr>
        <w:pStyle w:val="Text1"/>
        <w:ind w:left="851"/>
        <w:rPr>
          <w:noProof/>
        </w:rPr>
      </w:pPr>
      <w:r w:rsidRPr="00D207EA">
        <w:rPr>
          <w:noProof/>
        </w:rPr>
        <w:t>Il est possible d’établir un bilan prévisionnel d’approvisionnement distinct pour couvrir les besoins des entreprises de conditionnement ou de transformation de produits destinés au marché local, expédiés vers le reste de l’Union ou exportés vers des pays tiers dans le cadre du commerce régional ou des flux commerciaux traditionnels.</w:t>
      </w:r>
    </w:p>
    <w:p w14:paraId="38B1773A" w14:textId="77777777" w:rsidR="00581CD7" w:rsidRPr="00D207EA" w:rsidRDefault="00581CD7" w:rsidP="00C21519">
      <w:pPr>
        <w:pStyle w:val="NumPar10000000"/>
        <w:numPr>
          <w:ilvl w:val="0"/>
          <w:numId w:val="78"/>
        </w:numPr>
        <w:rPr>
          <w:noProof/>
        </w:rPr>
      </w:pPr>
      <w:r w:rsidRPr="00D207EA">
        <w:rPr>
          <w:noProof/>
        </w:rPr>
        <w:t>Aucun droit de douane ne s’applique aux importations directes, depuis des pays tiers vers les régions ultrapériphériques, de produits couverts par les régimes spécifiques d’approvisionnement, dans la limite du volume maximal établi dans les plans PNR conformément au paragraphe 2.</w:t>
      </w:r>
    </w:p>
    <w:p w14:paraId="0B37C9CF" w14:textId="699A69A7" w:rsidR="007775A4" w:rsidRPr="00D207EA" w:rsidRDefault="00581CD7" w:rsidP="00A364BE">
      <w:pPr>
        <w:pStyle w:val="Text1"/>
        <w:ind w:left="851"/>
        <w:rPr>
          <w:noProof/>
        </w:rPr>
      </w:pPr>
      <w:r w:rsidRPr="00D207EA">
        <w:rPr>
          <w:noProof/>
        </w:rPr>
        <w:t>Les produits ayant fait l’objet du régime de perfectionnement actif ou du régime de l’entrepôt de douane sur le territoire douanier de l’Union sont considérés aux fins du présent article comme importés directement depuis des pays tiers.</w:t>
      </w:r>
    </w:p>
    <w:p w14:paraId="7645C697" w14:textId="63D421E7" w:rsidR="007775A4" w:rsidRPr="00D207EA" w:rsidRDefault="00581CD7" w:rsidP="00C21519">
      <w:pPr>
        <w:pStyle w:val="NumPar10000000"/>
        <w:numPr>
          <w:ilvl w:val="0"/>
          <w:numId w:val="78"/>
        </w:numPr>
        <w:rPr>
          <w:noProof/>
        </w:rPr>
      </w:pPr>
      <w:r w:rsidRPr="00D207EA">
        <w:rPr>
          <w:noProof/>
        </w:rPr>
        <w:t>Un soutien est accordé à l’approvisionnement des régions ultrapériphériques en produits de l’Union afin d’assurer les besoins spécifiques d’approvisionnement établis conformément au paragraphe 2 en matière de prix et de qualité, tout en maintenant la part de l’Union dans l’approvisionnement de ces produits.</w:t>
      </w:r>
    </w:p>
    <w:p w14:paraId="6DE07821" w14:textId="5C258CE2" w:rsidR="007775A4" w:rsidRPr="00D207EA" w:rsidRDefault="00581CD7" w:rsidP="00A364BE">
      <w:pPr>
        <w:pStyle w:val="Text1"/>
        <w:ind w:left="851"/>
        <w:rPr>
          <w:noProof/>
        </w:rPr>
      </w:pPr>
      <w:r w:rsidRPr="00D207EA">
        <w:rPr>
          <w:noProof/>
        </w:rPr>
        <w:t>Aucun soutien n’est octroyé pour l’approvisionnement des produits ayant déjà bénéficié des régimes spécifiques d’approvisionnement dans une autre région ultrapériphérique.</w:t>
      </w:r>
    </w:p>
    <w:p w14:paraId="576D6BC5" w14:textId="77777777" w:rsidR="007775A4" w:rsidRPr="00D207EA" w:rsidRDefault="007775A4" w:rsidP="00C21519">
      <w:pPr>
        <w:pStyle w:val="NumPar10000000"/>
        <w:numPr>
          <w:ilvl w:val="0"/>
          <w:numId w:val="78"/>
        </w:numPr>
        <w:rPr>
          <w:noProof/>
        </w:rPr>
      </w:pPr>
      <w:r w:rsidRPr="00D207EA">
        <w:rPr>
          <w:noProof/>
        </w:rPr>
        <w:t>Seuls des produits de qualité saine, loyale et marchande bénéficient du régime spécifique d’approvisionnement. Les produits provenant de pays tiers présentent un niveau de garanties équivalent à celui des produits confectionnés dans le cadre des normes vétérinaires et phytosanitaires de l’Union.</w:t>
      </w:r>
    </w:p>
    <w:p w14:paraId="1BCC400E" w14:textId="279A9E82" w:rsidR="007775A4" w:rsidRPr="00D207EA" w:rsidRDefault="00581CD7" w:rsidP="00C21519">
      <w:pPr>
        <w:pStyle w:val="NumPar10000000"/>
        <w:numPr>
          <w:ilvl w:val="0"/>
          <w:numId w:val="78"/>
        </w:numPr>
        <w:rPr>
          <w:noProof/>
        </w:rPr>
      </w:pPr>
      <w:r w:rsidRPr="00D207EA">
        <w:rPr>
          <w:noProof/>
        </w:rPr>
        <w:t>Dans la mise en œuvre du régime spécifique d’approvisionnement, les États membres tiennent compte notamment du fait que la production locale existante ne doit pas être déstabilisée ni entravée dans son développement, ainsi que de l’exigence énoncée au paragraphe 6.</w:t>
      </w:r>
    </w:p>
    <w:p w14:paraId="05C22A9D" w14:textId="77777777" w:rsidR="00166EDF" w:rsidRPr="00D207EA" w:rsidRDefault="00194506" w:rsidP="00C21519">
      <w:pPr>
        <w:pStyle w:val="NumPar10000000"/>
        <w:numPr>
          <w:ilvl w:val="0"/>
          <w:numId w:val="78"/>
        </w:numPr>
        <w:rPr>
          <w:noProof/>
        </w:rPr>
      </w:pPr>
      <w:r w:rsidRPr="00D207EA">
        <w:rPr>
          <w:noProof/>
        </w:rPr>
        <w:t>Les États membres effectuent les vérifications au moyen de contrôles administratifs, physiques et sur place. Les contrôles administratifs à l’importation, à l’introduction, à l’exportation et à l’expédition des produits sont exhaustifs et comportent notamment des contrôles par recoupements avec les justificatifs. Les contrôles physiques effectués dans les régions ultrapériphériques concernées lors de l’importation ou de l’introduction de produits portent sur un échantillon représentatif d’au moins 5 % des licences et des certificats.</w:t>
      </w:r>
    </w:p>
    <w:p w14:paraId="04E96E21" w14:textId="77777777" w:rsidR="007775A4" w:rsidRPr="00D207EA" w:rsidRDefault="00EF2731" w:rsidP="007775A4">
      <w:pPr>
        <w:pStyle w:val="Titrearticle"/>
        <w:rPr>
          <w:noProof/>
        </w:rPr>
      </w:pPr>
      <w:r w:rsidRPr="00D207EA">
        <w:rPr>
          <w:noProof/>
        </w:rPr>
        <w:t>Article 48</w:t>
      </w:r>
      <w:r w:rsidRPr="00D207EA">
        <w:rPr>
          <w:noProof/>
        </w:rPr>
        <w:br/>
      </w:r>
      <w:r w:rsidRPr="00D207EA">
        <w:rPr>
          <w:b/>
          <w:noProof/>
        </w:rPr>
        <w:t>Soutien aux produits locaux de l’agriculture, de la pêche et de l’aquaculture</w:t>
      </w:r>
    </w:p>
    <w:p w14:paraId="0A329819" w14:textId="77777777" w:rsidR="007775A4" w:rsidRPr="00D207EA" w:rsidRDefault="007775A4" w:rsidP="00C21519">
      <w:pPr>
        <w:pStyle w:val="NumPar10000000"/>
        <w:numPr>
          <w:ilvl w:val="0"/>
          <w:numId w:val="79"/>
        </w:numPr>
        <w:rPr>
          <w:noProof/>
        </w:rPr>
      </w:pPr>
      <w:r w:rsidRPr="00D207EA">
        <w:rPr>
          <w:noProof/>
        </w:rPr>
        <w:t>Chaque État membre concerné détermine, en fonction des critères établis conformément au paragraphe 7 du présent article, pour chaque région ultrapériphérique, la liste des produits de l’agriculture, de la pêche et de l’aquaculture et la quantité de ces produits éligibles à l’indemnisation des surcoûts supportés par les opérateurs.</w:t>
      </w:r>
    </w:p>
    <w:p w14:paraId="52019BB9" w14:textId="77777777" w:rsidR="007775A4" w:rsidRPr="00D207EA" w:rsidRDefault="007775A4" w:rsidP="00C21519">
      <w:pPr>
        <w:pStyle w:val="NumPar10000000"/>
        <w:numPr>
          <w:ilvl w:val="0"/>
          <w:numId w:val="78"/>
        </w:numPr>
        <w:rPr>
          <w:noProof/>
        </w:rPr>
      </w:pPr>
      <w:r w:rsidRPr="00D207EA">
        <w:rPr>
          <w:noProof/>
        </w:rPr>
        <w:t>La liste visée au paragraphe 1 comporte au moins les éléments suivants: </w:t>
      </w:r>
    </w:p>
    <w:p w14:paraId="22BFDB3B" w14:textId="33E386D5" w:rsidR="007775A4" w:rsidRPr="00D207EA" w:rsidRDefault="008D666E" w:rsidP="008D666E">
      <w:pPr>
        <w:pStyle w:val="Point10"/>
        <w:rPr>
          <w:noProof/>
        </w:rPr>
      </w:pPr>
      <w:r w:rsidRPr="008D666E">
        <w:rPr>
          <w:noProof/>
        </w:rPr>
        <w:t>(a)</w:t>
      </w:r>
      <w:r w:rsidRPr="008D666E">
        <w:rPr>
          <w:noProof/>
        </w:rPr>
        <w:tab/>
      </w:r>
      <w:r w:rsidR="007775A4" w:rsidRPr="00D207EA">
        <w:rPr>
          <w:noProof/>
        </w:rPr>
        <w:t>une description des interventions envisagées;  </w:t>
      </w:r>
    </w:p>
    <w:p w14:paraId="354A23CD" w14:textId="3FEE4BED" w:rsidR="007775A4" w:rsidRPr="00D207EA" w:rsidRDefault="008D666E" w:rsidP="008D666E">
      <w:pPr>
        <w:pStyle w:val="Point10"/>
        <w:rPr>
          <w:noProof/>
        </w:rPr>
      </w:pPr>
      <w:r w:rsidRPr="008D666E">
        <w:rPr>
          <w:noProof/>
        </w:rPr>
        <w:t>(b)</w:t>
      </w:r>
      <w:r w:rsidRPr="008D666E">
        <w:rPr>
          <w:noProof/>
        </w:rPr>
        <w:tab/>
      </w:r>
      <w:r w:rsidR="007775A4" w:rsidRPr="00D207EA">
        <w:rPr>
          <w:noProof/>
        </w:rPr>
        <w:t>une liste de l’aide constituant des interventions d’aide au revenu conformément à l’article 35, paragraphe 1; </w:t>
      </w:r>
    </w:p>
    <w:p w14:paraId="784C403E" w14:textId="461C1F6C" w:rsidR="007775A4" w:rsidRPr="00D207EA" w:rsidRDefault="008D666E" w:rsidP="008D666E">
      <w:pPr>
        <w:pStyle w:val="Point10"/>
        <w:rPr>
          <w:noProof/>
        </w:rPr>
      </w:pPr>
      <w:r w:rsidRPr="008D666E">
        <w:rPr>
          <w:noProof/>
        </w:rPr>
        <w:t>(c)</w:t>
      </w:r>
      <w:r w:rsidRPr="008D666E">
        <w:rPr>
          <w:noProof/>
        </w:rPr>
        <w:tab/>
      </w:r>
      <w:r w:rsidR="007775A4" w:rsidRPr="00D207EA">
        <w:rPr>
          <w:noProof/>
        </w:rPr>
        <w:t>le montant d’aide fixé pour chaque intervention et le montant provisoire prévu pour chaque action en vue d’atteindre un ou plusieurs objectifs visés par le programme.</w:t>
      </w:r>
    </w:p>
    <w:p w14:paraId="20498363" w14:textId="77777777" w:rsidR="007775A4" w:rsidRPr="00D207EA" w:rsidRDefault="007775A4" w:rsidP="00C21519">
      <w:pPr>
        <w:pStyle w:val="NumPar10000000"/>
        <w:numPr>
          <w:ilvl w:val="0"/>
          <w:numId w:val="78"/>
        </w:numPr>
        <w:rPr>
          <w:noProof/>
        </w:rPr>
      </w:pPr>
      <w:r w:rsidRPr="00D207EA">
        <w:rPr>
          <w:noProof/>
        </w:rPr>
        <w:t>Les interventions peuvent consister en un soutien à la production, à la transformation, à la commercialisation et au transport des produits, bruts ou transformés, de l’agriculture, de la pêche et de l’aquaculture dans les régions ultrapériphériques.</w:t>
      </w:r>
    </w:p>
    <w:p w14:paraId="3F421FFE" w14:textId="6002F4AE" w:rsidR="002F311F" w:rsidRPr="00D207EA" w:rsidRDefault="007775A4" w:rsidP="005A28DE">
      <w:pPr>
        <w:pStyle w:val="Text1"/>
        <w:rPr>
          <w:noProof/>
        </w:rPr>
      </w:pPr>
      <w:r w:rsidRPr="00D207EA">
        <w:rPr>
          <w:noProof/>
        </w:rPr>
        <w:t>Lorsqu’ils établissent les listes et les quantités visées au paragraphe 1, les États membres tiennent compte de tous les facteurs pertinents, en particulier des surcoûts supportés par les opérateurs des régions ultrapériphériques, et du fait que l’indemnisation doit être compatible et cohérente avec les règles de la politique agricole commune et de la politique commune de la pêche.</w:t>
      </w:r>
    </w:p>
    <w:p w14:paraId="66D2217F" w14:textId="77777777" w:rsidR="002F311F" w:rsidRPr="00D207EA" w:rsidRDefault="002F311F" w:rsidP="00C21519">
      <w:pPr>
        <w:pStyle w:val="NumPar10000000"/>
        <w:numPr>
          <w:ilvl w:val="0"/>
          <w:numId w:val="78"/>
        </w:numPr>
        <w:rPr>
          <w:noProof/>
        </w:rPr>
      </w:pPr>
      <w:r w:rsidRPr="00D207EA">
        <w:rPr>
          <w:noProof/>
        </w:rPr>
        <w:t>Les États membres assurent une répartition équitable des paiements. Ils peuvent plafonner le montant du soutien à accorder à un bénéficiaire au cours d’une année civile donnée ou recourir à des paiements dégressifs.</w:t>
      </w:r>
    </w:p>
    <w:p w14:paraId="265BF741" w14:textId="77777777" w:rsidR="00AF7282" w:rsidRPr="00D207EA" w:rsidRDefault="000128C8" w:rsidP="00C21519">
      <w:pPr>
        <w:pStyle w:val="NumPar10000000"/>
        <w:numPr>
          <w:ilvl w:val="0"/>
          <w:numId w:val="78"/>
        </w:numPr>
        <w:rPr>
          <w:noProof/>
        </w:rPr>
      </w:pPr>
      <w:r w:rsidRPr="00D207EA">
        <w:rPr>
          <w:noProof/>
        </w:rPr>
        <w:t>Il n’est pas octroyé d’indemnisation pour les produits de la pêche et de l’aquaculture:</w:t>
      </w:r>
    </w:p>
    <w:p w14:paraId="31294498" w14:textId="6B01FB8C" w:rsidR="00FD2200" w:rsidRPr="00D207EA" w:rsidRDefault="008D666E" w:rsidP="008D666E">
      <w:pPr>
        <w:pStyle w:val="Point10"/>
        <w:rPr>
          <w:noProof/>
        </w:rPr>
      </w:pPr>
      <w:r w:rsidRPr="008D666E">
        <w:rPr>
          <w:noProof/>
        </w:rPr>
        <w:t>(a)</w:t>
      </w:r>
      <w:r w:rsidRPr="008D666E">
        <w:rPr>
          <w:noProof/>
        </w:rPr>
        <w:tab/>
      </w:r>
      <w:r w:rsidR="001A665E" w:rsidRPr="00D207EA">
        <w:rPr>
          <w:noProof/>
        </w:rPr>
        <w:t>capturés par des navires de pêche de pays tiers, à l’exception de ceux qui battent le pavillon du Venezuela et opèrent dans les eaux de l’Union, conformément à la décision (UE) 2015/1565 du Conseil;</w:t>
      </w:r>
    </w:p>
    <w:p w14:paraId="173935BE" w14:textId="6FCB72DA" w:rsidR="00063923" w:rsidRPr="00D207EA" w:rsidRDefault="008D666E" w:rsidP="008D666E">
      <w:pPr>
        <w:pStyle w:val="Point10"/>
        <w:rPr>
          <w:noProof/>
        </w:rPr>
      </w:pPr>
      <w:r w:rsidRPr="008D666E">
        <w:rPr>
          <w:noProof/>
        </w:rPr>
        <w:t>(b)</w:t>
      </w:r>
      <w:r w:rsidRPr="008D666E">
        <w:rPr>
          <w:noProof/>
        </w:rPr>
        <w:tab/>
      </w:r>
      <w:r w:rsidR="003F505C" w:rsidRPr="00D207EA">
        <w:rPr>
          <w:noProof/>
        </w:rPr>
        <w:t>capturés par des navires de pêche de l’Union qui ne sont pas enregistrés dans un port d’une des régions ultrapériphériques;</w:t>
      </w:r>
    </w:p>
    <w:p w14:paraId="08CF682F" w14:textId="025AC886" w:rsidR="003F505C" w:rsidRPr="00D207EA" w:rsidRDefault="008D666E" w:rsidP="008D666E">
      <w:pPr>
        <w:pStyle w:val="Point10"/>
        <w:rPr>
          <w:noProof/>
        </w:rPr>
      </w:pPr>
      <w:r w:rsidRPr="008D666E">
        <w:rPr>
          <w:noProof/>
        </w:rPr>
        <w:t>(c)</w:t>
      </w:r>
      <w:r w:rsidRPr="008D666E">
        <w:rPr>
          <w:noProof/>
        </w:rPr>
        <w:tab/>
      </w:r>
      <w:r w:rsidR="003E72F3" w:rsidRPr="00D207EA">
        <w:rPr>
          <w:noProof/>
        </w:rPr>
        <w:t>importés de pays tiers.</w:t>
      </w:r>
    </w:p>
    <w:p w14:paraId="17DC825B" w14:textId="77777777" w:rsidR="007214B5" w:rsidRPr="00D207EA" w:rsidRDefault="00625A2F" w:rsidP="00C21519">
      <w:pPr>
        <w:pStyle w:val="NumPar10000000"/>
        <w:numPr>
          <w:ilvl w:val="0"/>
          <w:numId w:val="78"/>
        </w:numPr>
        <w:rPr>
          <w:noProof/>
        </w:rPr>
      </w:pPr>
      <w:r w:rsidRPr="00D207EA">
        <w:rPr>
          <w:noProof/>
        </w:rPr>
        <w:t>Le paragraphe 5, point b), ne s’applique pas si la capacité existante du secteur de la transformation dans la région ultrapériphérique concernée dépasse la quantité de matière première fournie.</w:t>
      </w:r>
    </w:p>
    <w:p w14:paraId="0181A824" w14:textId="77777777" w:rsidR="007775A4" w:rsidRPr="00D207EA" w:rsidRDefault="007775A4" w:rsidP="00C21519">
      <w:pPr>
        <w:pStyle w:val="NumPar10000000"/>
        <w:numPr>
          <w:ilvl w:val="0"/>
          <w:numId w:val="78"/>
        </w:numPr>
        <w:rPr>
          <w:noProof/>
        </w:rPr>
      </w:pPr>
      <w:r w:rsidRPr="00D207EA">
        <w:rPr>
          <w:noProof/>
        </w:rPr>
        <w:t>La Commission est habilitée à adopter des actes délégués, conformément aux articles 86 et 87, pour compléter le présent règlement en énonçant les critères de calcul des surcoûts résultant des caractéristiques particulières des régions concernées.</w:t>
      </w:r>
    </w:p>
    <w:p w14:paraId="661C20B4" w14:textId="77777777" w:rsidR="002714BB" w:rsidRPr="00D207EA" w:rsidRDefault="002714BB" w:rsidP="002714BB">
      <w:pPr>
        <w:pStyle w:val="SectionTitle"/>
        <w:rPr>
          <w:noProof/>
        </w:rPr>
      </w:pPr>
      <w:r w:rsidRPr="00D207EA">
        <w:rPr>
          <w:noProof/>
        </w:rPr>
        <w:t>TITRE VII</w:t>
      </w:r>
      <w:r w:rsidRPr="00D207EA">
        <w:rPr>
          <w:noProof/>
        </w:rPr>
        <w:br/>
        <w:t>GOUVERNANCE DU PLAN</w:t>
      </w:r>
    </w:p>
    <w:p w14:paraId="601F7900" w14:textId="77777777" w:rsidR="0049006B" w:rsidRPr="00D207EA" w:rsidRDefault="0049006B" w:rsidP="0049006B">
      <w:pPr>
        <w:pStyle w:val="ChapterTitle0"/>
        <w:rPr>
          <w:noProof/>
        </w:rPr>
      </w:pPr>
      <w:r w:rsidRPr="00D207EA">
        <w:rPr>
          <w:noProof/>
        </w:rPr>
        <w:t>CHAPITRE 1</w:t>
      </w:r>
      <w:r w:rsidRPr="00D207EA">
        <w:rPr>
          <w:noProof/>
        </w:rPr>
        <w:br/>
        <w:t>Autorités du plan et leurs fonctions</w:t>
      </w:r>
    </w:p>
    <w:p w14:paraId="3271D19D" w14:textId="77777777" w:rsidR="006D4DFA" w:rsidRPr="00D207EA" w:rsidRDefault="006D4DFA" w:rsidP="006D4DFA">
      <w:pPr>
        <w:pStyle w:val="Titrearticle"/>
        <w:rPr>
          <w:noProof/>
        </w:rPr>
      </w:pPr>
      <w:r w:rsidRPr="00D207EA">
        <w:rPr>
          <w:noProof/>
        </w:rPr>
        <w:t>Article 49</w:t>
      </w:r>
      <w:r w:rsidRPr="00D207EA">
        <w:rPr>
          <w:noProof/>
        </w:rPr>
        <w:br/>
      </w:r>
      <w:r w:rsidRPr="00D207EA">
        <w:rPr>
          <w:b/>
          <w:noProof/>
        </w:rPr>
        <w:t>Autorités du plan</w:t>
      </w:r>
    </w:p>
    <w:p w14:paraId="53833AFE" w14:textId="77777777" w:rsidR="0049006B" w:rsidRPr="00D207EA" w:rsidRDefault="0049006B" w:rsidP="00C21519">
      <w:pPr>
        <w:pStyle w:val="NumPar10000000"/>
        <w:numPr>
          <w:ilvl w:val="0"/>
          <w:numId w:val="80"/>
        </w:numPr>
        <w:rPr>
          <w:noProof/>
        </w:rPr>
      </w:pPr>
      <w:r w:rsidRPr="00D207EA">
        <w:rPr>
          <w:noProof/>
        </w:rPr>
        <w:t>Aux fins de l’article 63, paragraphe 3, du règlement (UE, Euratom) 2024/2509, chaque État membre désigne une ou plusieurs autorités de gestion, un ou plusieurs organismes payeurs et une ou plusieurs autorités d’audit pour le plan. Les autorités identifiées satisfont aux exigences clés pertinentes énoncées à l’annexe IV du présent règlement. Toutes les autorités identifiées aux fins du présent article ont la possibilité de communiquer avec la Commission.</w:t>
      </w:r>
    </w:p>
    <w:p w14:paraId="6C7AFCA2" w14:textId="6C71940B" w:rsidR="0049006B" w:rsidRPr="00D207EA" w:rsidRDefault="006B6E38" w:rsidP="00C21519">
      <w:pPr>
        <w:pStyle w:val="NumPar10000000"/>
        <w:numPr>
          <w:ilvl w:val="0"/>
          <w:numId w:val="78"/>
        </w:numPr>
        <w:rPr>
          <w:noProof/>
        </w:rPr>
      </w:pPr>
      <w:r w:rsidRPr="00D207EA">
        <w:rPr>
          <w:noProof/>
        </w:rPr>
        <w:t>Lorsqu’un État membre confie la mise en œuvre du plan aux autorités chargées de la mise en œuvre de la politique de cohésion, de la PAC ou du Fonds européen pour les affaires maritimes, la pêche et l’aquaculture au cours de la période de programmation 2021-2027 et que, sur la base de tous les résultats d’audit disponibles, la Commission n’a pas remis en question le fonctionnement efficace de ces autorités, celles-ci sont réputées satisfaire aux exigences clés.</w:t>
      </w:r>
    </w:p>
    <w:p w14:paraId="453AD54D" w14:textId="61C0C6B4" w:rsidR="0049006B" w:rsidRPr="00D207EA" w:rsidRDefault="0049006B" w:rsidP="00C21519">
      <w:pPr>
        <w:pStyle w:val="NumPar10000000"/>
        <w:numPr>
          <w:ilvl w:val="0"/>
          <w:numId w:val="78"/>
        </w:numPr>
        <w:rPr>
          <w:rFonts w:eastAsia="Aptos"/>
          <w:noProof/>
        </w:rPr>
      </w:pPr>
      <w:r w:rsidRPr="00D207EA">
        <w:rPr>
          <w:noProof/>
        </w:rPr>
        <w:t>Lorsqu’un État membre nomme deux ou plusieurs autorités de gestion, il met en place une autorité de coordination. Une autorité de gestion peut être chargée d’exercer certaines fonctions de l’autorité de coordination. Les modalités conclues entre l’autorité de coordination et l’autorité de gestion sont consignées par écrit.</w:t>
      </w:r>
    </w:p>
    <w:p w14:paraId="7D15CDF3" w14:textId="77777777" w:rsidR="0049006B" w:rsidRPr="00D207EA" w:rsidRDefault="0049006B" w:rsidP="00C21519">
      <w:pPr>
        <w:pStyle w:val="NumPar10000000"/>
        <w:numPr>
          <w:ilvl w:val="0"/>
          <w:numId w:val="78"/>
        </w:numPr>
        <w:rPr>
          <w:noProof/>
        </w:rPr>
      </w:pPr>
      <w:r w:rsidRPr="00D207EA">
        <w:rPr>
          <w:noProof/>
        </w:rPr>
        <w:t>L’autorité de gestion peut désigner un ou plusieurs organismes intermédiaires pour exécuter certaines tâches sous sa responsabilité. Les modalités conclues entre l’autorité de gestion et les organismes intermédiaires sont consignées par écrit. Les tâches déléguées aux organismes intermédiaires ne peuvent être confiées à d’autres organismes.</w:t>
      </w:r>
    </w:p>
    <w:p w14:paraId="488AE175" w14:textId="6FE63B85" w:rsidR="0049006B" w:rsidRPr="00D207EA" w:rsidRDefault="0049006B" w:rsidP="00C21519">
      <w:pPr>
        <w:pStyle w:val="NumPar10000000"/>
        <w:numPr>
          <w:ilvl w:val="0"/>
          <w:numId w:val="78"/>
        </w:numPr>
        <w:rPr>
          <w:noProof/>
        </w:rPr>
      </w:pPr>
      <w:r w:rsidRPr="00D207EA">
        <w:rPr>
          <w:noProof/>
        </w:rPr>
        <w:t>L’autorité d’audit est une autorité publique, fonctionnellement indépendante des entités contrôlées. Les travaux d’audit peuvent être réalisés par un organisme public ou privé autre que l’autorité d’audit, sous la responsabilité de cette dernière. Lorsque l’État membre désigne deux ou plusieurs autorités d’audit, il met en place des dispositions de coordination pour la préparation de l’avis d’audit annuel et du résumé des audits visés à l’article 53 [fonctions de l’autorité d’audit].</w:t>
      </w:r>
    </w:p>
    <w:p w14:paraId="12F81ADA" w14:textId="5C496C38" w:rsidR="0049006B" w:rsidRPr="00D207EA" w:rsidRDefault="0049006B" w:rsidP="00C21519">
      <w:pPr>
        <w:pStyle w:val="NumPar10000000"/>
        <w:numPr>
          <w:ilvl w:val="0"/>
          <w:numId w:val="78"/>
        </w:numPr>
        <w:rPr>
          <w:noProof/>
        </w:rPr>
      </w:pPr>
      <w:r w:rsidRPr="00D207EA">
        <w:rPr>
          <w:noProof/>
        </w:rPr>
        <w:t>Les États membres veillent à ce que soit respecté le principe de séparation des fonctions entre les autorités désignées pour le plan et en leur sein.</w:t>
      </w:r>
    </w:p>
    <w:p w14:paraId="532ACC66" w14:textId="77777777" w:rsidR="0049006B" w:rsidRPr="00D207EA" w:rsidRDefault="0049006B" w:rsidP="00C21519">
      <w:pPr>
        <w:pStyle w:val="NumPar10000000"/>
        <w:numPr>
          <w:ilvl w:val="0"/>
          <w:numId w:val="78"/>
        </w:numPr>
        <w:rPr>
          <w:noProof/>
        </w:rPr>
      </w:pPr>
      <w:r w:rsidRPr="00D207EA">
        <w:rPr>
          <w:noProof/>
        </w:rPr>
        <w:t>Les États membres agréent les organismes payeurs chargés de la gestion et du contrôle des mesures visées à l’article 35, paragraphe 1, et des actions de l’Union visées à l’annexe XV, paragraphe 1, points h) et j), du présent règlement [actions de l’Union], mises en œuvre dans le cadre de la gestion partagée, et peuvent confier leurs fonctions, telles que visées à l’article 52 [fonctions de l’organisme payeur], à l’autorité de gestion ou à un autre organisme.</w:t>
      </w:r>
    </w:p>
    <w:p w14:paraId="2BF04F88" w14:textId="07C994DC" w:rsidR="0049006B" w:rsidRPr="00D207EA" w:rsidRDefault="0049006B" w:rsidP="00C21519">
      <w:pPr>
        <w:pStyle w:val="NumPar10000000"/>
        <w:numPr>
          <w:ilvl w:val="0"/>
          <w:numId w:val="78"/>
        </w:numPr>
        <w:rPr>
          <w:noProof/>
        </w:rPr>
      </w:pPr>
      <w:r w:rsidRPr="00D207EA">
        <w:rPr>
          <w:noProof/>
        </w:rPr>
        <w:t>Les autorités de gestion et d’audit peuvent être responsables d’un ou de plusieurs chapitres du plan. Elles disposent de ressources appropriées pour mener à bien leurs tâches.</w:t>
      </w:r>
    </w:p>
    <w:p w14:paraId="3D27CC27" w14:textId="77777777" w:rsidR="0049006B" w:rsidRPr="00D207EA" w:rsidRDefault="0049006B" w:rsidP="00C21519">
      <w:pPr>
        <w:pStyle w:val="NumPar10000000"/>
        <w:numPr>
          <w:ilvl w:val="0"/>
          <w:numId w:val="78"/>
        </w:numPr>
        <w:rPr>
          <w:noProof/>
        </w:rPr>
      </w:pPr>
      <w:r w:rsidRPr="00D207EA">
        <w:rPr>
          <w:noProof/>
        </w:rPr>
        <w:t>Dans l’exercice de leurs fonctions, les autorités désignées pour le plan peuvent utiliser un système intégré et interopérable unique d’information et de suivi, y compris un instrument unique d’exploration de données et de calcul du risque, tel que visé à l’article 36, paragraphe 2, point d), du règlement (UE, Euratom) 2024/2509, pour accéder aux données pertinentes et les analyser, en vue d’une application généralisée par les États membres.</w:t>
      </w:r>
    </w:p>
    <w:p w14:paraId="3ACFD367" w14:textId="600ED123" w:rsidR="0049006B" w:rsidRPr="00D207EA" w:rsidRDefault="0049006B" w:rsidP="00C21519">
      <w:pPr>
        <w:pStyle w:val="NumPar10000000"/>
        <w:numPr>
          <w:ilvl w:val="0"/>
          <w:numId w:val="78"/>
        </w:numPr>
        <w:rPr>
          <w:noProof/>
        </w:rPr>
      </w:pPr>
      <w:r w:rsidRPr="00D207EA">
        <w:rPr>
          <w:noProof/>
        </w:rPr>
        <w:t>Des réunions annuelles d’examen sont organisées une fois par an entre la Commission et chaque État membre pour examiner la performance du plan ou de ses chapitres. Les autorités compétentes et l’autorité de coordination participent aux réunions d’examen. Les conclusions de la réunion d’examen sont consignées par écrit. L’État membre assure le suivi des questions soulevées au cours de la réunion d’examen qui ont une incidence sur la mise en œuvre du plan ou d’un ou plusieurs chapitres, et informe la Commission, dans un délai de trois mois, des mesures prises pour y répondre.</w:t>
      </w:r>
    </w:p>
    <w:p w14:paraId="51EDEB16" w14:textId="7C4F5EAB" w:rsidR="0049006B" w:rsidRPr="00D207EA" w:rsidRDefault="006D4DFA" w:rsidP="0049006B">
      <w:pPr>
        <w:pStyle w:val="Titrearticle"/>
        <w:rPr>
          <w:b/>
          <w:bCs/>
          <w:noProof/>
        </w:rPr>
      </w:pPr>
      <w:r w:rsidRPr="00D207EA">
        <w:rPr>
          <w:noProof/>
        </w:rPr>
        <w:t>Article 50</w:t>
      </w:r>
      <w:r w:rsidRPr="00D207EA">
        <w:rPr>
          <w:noProof/>
        </w:rPr>
        <w:br/>
      </w:r>
      <w:r w:rsidRPr="00D207EA">
        <w:rPr>
          <w:b/>
          <w:noProof/>
        </w:rPr>
        <w:t>Fonctions de l’autorité de coordination</w:t>
      </w:r>
    </w:p>
    <w:p w14:paraId="2F608E93" w14:textId="77777777" w:rsidR="0049006B" w:rsidRPr="00D207EA" w:rsidRDefault="0049006B" w:rsidP="00B939FF">
      <w:pPr>
        <w:rPr>
          <w:noProof/>
        </w:rPr>
      </w:pPr>
      <w:r w:rsidRPr="00D207EA">
        <w:rPr>
          <w:noProof/>
        </w:rPr>
        <w:t>L’autorité de coordination est chargée de: </w:t>
      </w:r>
    </w:p>
    <w:p w14:paraId="264A603E" w14:textId="405119E2" w:rsidR="0049006B" w:rsidRPr="00D207EA" w:rsidRDefault="008D666E" w:rsidP="008D666E">
      <w:pPr>
        <w:pStyle w:val="Point0"/>
        <w:rPr>
          <w:noProof/>
        </w:rPr>
      </w:pPr>
      <w:r w:rsidRPr="008D666E">
        <w:rPr>
          <w:noProof/>
        </w:rPr>
        <w:t>(a)</w:t>
      </w:r>
      <w:r w:rsidRPr="008D666E">
        <w:rPr>
          <w:noProof/>
        </w:rPr>
        <w:tab/>
      </w:r>
      <w:r w:rsidR="0049006B" w:rsidRPr="00D207EA">
        <w:rPr>
          <w:noProof/>
        </w:rPr>
        <w:t>contrôler la mise en œuvre du plan tout en s’assurant que les autorités responsables du plan emploient des pratiques de gouvernance saines et disposent en permanence d’une capacité administrative adéquate; </w:t>
      </w:r>
    </w:p>
    <w:p w14:paraId="0E5ADEE7" w14:textId="4E76D834" w:rsidR="0049006B" w:rsidRPr="00D207EA" w:rsidRDefault="008D666E" w:rsidP="008D666E">
      <w:pPr>
        <w:pStyle w:val="Point0"/>
        <w:rPr>
          <w:noProof/>
        </w:rPr>
      </w:pPr>
      <w:r w:rsidRPr="008D666E">
        <w:rPr>
          <w:noProof/>
        </w:rPr>
        <w:t>(b)</w:t>
      </w:r>
      <w:r w:rsidRPr="008D666E">
        <w:rPr>
          <w:noProof/>
        </w:rPr>
        <w:tab/>
      </w:r>
      <w:r w:rsidR="0049006B" w:rsidRPr="00D207EA">
        <w:rPr>
          <w:noProof/>
        </w:rPr>
        <w:t>veiller à la cohérence de la mise en œuvre des différents chapitres du plan; </w:t>
      </w:r>
    </w:p>
    <w:p w14:paraId="4F25F61F" w14:textId="2C658A49" w:rsidR="0049006B" w:rsidRPr="00D207EA" w:rsidRDefault="008D666E" w:rsidP="008D666E">
      <w:pPr>
        <w:pStyle w:val="Point0"/>
        <w:rPr>
          <w:noProof/>
        </w:rPr>
      </w:pPr>
      <w:r w:rsidRPr="008D666E">
        <w:rPr>
          <w:noProof/>
        </w:rPr>
        <w:t>(c)</w:t>
      </w:r>
      <w:r w:rsidRPr="008D666E">
        <w:rPr>
          <w:noProof/>
        </w:rPr>
        <w:tab/>
      </w:r>
      <w:r w:rsidR="0049006B" w:rsidRPr="00D207EA">
        <w:rPr>
          <w:noProof/>
        </w:rPr>
        <w:t>présenter à la Commission les demandes de paiement pour le plan conformément à l’article 65; </w:t>
      </w:r>
    </w:p>
    <w:p w14:paraId="7E5FD18F" w14:textId="3A2EB1BE" w:rsidR="0049006B" w:rsidRPr="00D207EA" w:rsidRDefault="008D666E" w:rsidP="008D666E">
      <w:pPr>
        <w:pStyle w:val="Point0"/>
        <w:rPr>
          <w:noProof/>
        </w:rPr>
      </w:pPr>
      <w:r w:rsidRPr="008D666E">
        <w:rPr>
          <w:noProof/>
        </w:rPr>
        <w:t>(d)</w:t>
      </w:r>
      <w:r w:rsidRPr="008D666E">
        <w:rPr>
          <w:noProof/>
        </w:rPr>
        <w:tab/>
      </w:r>
      <w:r w:rsidR="0049006B" w:rsidRPr="00D207EA">
        <w:rPr>
          <w:noProof/>
        </w:rPr>
        <w:t>fournir des prévisions du montant des demandes de paiement à présenter pour l’année civile en cours et les années suivantes au plus tard le 31 janvier et le 3</w:t>
      </w:r>
      <w:r w:rsidR="0091700F" w:rsidRPr="00D207EA">
        <w:rPr>
          <w:noProof/>
        </w:rPr>
        <w:t>0</w:t>
      </w:r>
      <w:r w:rsidR="0049006B" w:rsidRPr="00D207EA">
        <w:rPr>
          <w:noProof/>
        </w:rPr>
        <w:t> juillet conformément au modèle figurant à l’annexe X [prévisions de paiement]; </w:t>
      </w:r>
    </w:p>
    <w:p w14:paraId="3CF75409" w14:textId="6C3EA437" w:rsidR="0049006B" w:rsidRPr="00D207EA" w:rsidRDefault="008D666E" w:rsidP="008D666E">
      <w:pPr>
        <w:pStyle w:val="Point0"/>
        <w:rPr>
          <w:noProof/>
        </w:rPr>
      </w:pPr>
      <w:r w:rsidRPr="008D666E">
        <w:rPr>
          <w:noProof/>
        </w:rPr>
        <w:t>(e)</w:t>
      </w:r>
      <w:r w:rsidRPr="008D666E">
        <w:rPr>
          <w:noProof/>
        </w:rPr>
        <w:tab/>
      </w:r>
      <w:r w:rsidR="0049006B" w:rsidRPr="00D207EA">
        <w:rPr>
          <w:noProof/>
        </w:rPr>
        <w:t>fournir la déclaration de gestion visée à l’article 59, paragraphe 1, point c) [dossier «assurance» annuel] conformément au modèle figurant à l’annexe XII [déclaration de gestion], signée par l’autorité de gestion ou l’organisme payeur;   </w:t>
      </w:r>
    </w:p>
    <w:p w14:paraId="775FA51F" w14:textId="01887D61" w:rsidR="0049006B" w:rsidRPr="00D207EA" w:rsidRDefault="008D666E" w:rsidP="008D666E">
      <w:pPr>
        <w:pStyle w:val="Point0"/>
        <w:rPr>
          <w:noProof/>
        </w:rPr>
      </w:pPr>
      <w:r w:rsidRPr="008D666E">
        <w:rPr>
          <w:noProof/>
        </w:rPr>
        <w:t>(f)</w:t>
      </w:r>
      <w:r w:rsidRPr="008D666E">
        <w:rPr>
          <w:noProof/>
        </w:rPr>
        <w:tab/>
      </w:r>
      <w:r w:rsidR="0049006B" w:rsidRPr="00D207EA">
        <w:rPr>
          <w:noProof/>
        </w:rPr>
        <w:t>coordonner et présenter à la Commission tous les documents demandés dans le cadre du dossier «assurance» annuel visé à l’article 59 [dossier annuel]; </w:t>
      </w:r>
    </w:p>
    <w:p w14:paraId="2B4E9DE2" w14:textId="307E8A32" w:rsidR="0049006B" w:rsidRPr="00D207EA" w:rsidRDefault="008D666E" w:rsidP="008D666E">
      <w:pPr>
        <w:pStyle w:val="Point0"/>
        <w:rPr>
          <w:noProof/>
        </w:rPr>
      </w:pPr>
      <w:r w:rsidRPr="008D666E">
        <w:rPr>
          <w:noProof/>
        </w:rPr>
        <w:t>(g)</w:t>
      </w:r>
      <w:r w:rsidRPr="008D666E">
        <w:rPr>
          <w:noProof/>
        </w:rPr>
        <w:tab/>
      </w:r>
      <w:r w:rsidR="0049006B" w:rsidRPr="00D207EA">
        <w:rPr>
          <w:noProof/>
        </w:rPr>
        <w:t>veiller à diriger les flux financiers vers les autorités de gestion, en garantissant que, lors de chaque paiement effectué par la Commission, ces autorités reçoivent les montants qui leur sont dus, en fonction des progrès réalisés dans la mise en œuvre des mesures incluses dans leurs chapitres respectifs et compte tenu des corrections financières potentielles résultant de la mise en œuvre desdits chapitres, et qu’elles reçoivent, à la fin de la période, un montant au moins équivalent à leur contribution de l’Union;</w:t>
      </w:r>
    </w:p>
    <w:p w14:paraId="020BB841" w14:textId="534245D9" w:rsidR="00B32979" w:rsidRPr="00D207EA" w:rsidRDefault="008D666E" w:rsidP="008D666E">
      <w:pPr>
        <w:pStyle w:val="Point0"/>
        <w:rPr>
          <w:noProof/>
        </w:rPr>
      </w:pPr>
      <w:r w:rsidRPr="008D666E">
        <w:rPr>
          <w:noProof/>
        </w:rPr>
        <w:t>(h)</w:t>
      </w:r>
      <w:r w:rsidRPr="008D666E">
        <w:rPr>
          <w:noProof/>
        </w:rPr>
        <w:tab/>
      </w:r>
      <w:r w:rsidR="00B32979" w:rsidRPr="00D207EA">
        <w:rPr>
          <w:noProof/>
        </w:rPr>
        <w:t>mettre en place un cadre pour renforcer la capacité administrative des autorités, des parties prenantes, des partenaires et des bénéficiaires aux niveaux national et local, et promouvoir l’apprentissage et l’expérimentation dans le domaine de la politique;</w:t>
      </w:r>
    </w:p>
    <w:p w14:paraId="16A83E3A" w14:textId="15FAD822" w:rsidR="0049006B" w:rsidRPr="00D207EA" w:rsidRDefault="008D666E" w:rsidP="008D666E">
      <w:pPr>
        <w:pStyle w:val="Point0"/>
        <w:rPr>
          <w:noProof/>
        </w:rPr>
      </w:pPr>
      <w:r w:rsidRPr="008D666E">
        <w:rPr>
          <w:noProof/>
        </w:rPr>
        <w:t>(i)</w:t>
      </w:r>
      <w:r w:rsidRPr="008D666E">
        <w:rPr>
          <w:noProof/>
        </w:rPr>
        <w:tab/>
      </w:r>
      <w:r w:rsidR="0049006B" w:rsidRPr="00D207EA">
        <w:rPr>
          <w:noProof/>
        </w:rPr>
        <w:t>soutenir les travaux d’un comité de coordination en fournissant les informations nécessaires et en assurant le suivi des décisions et des recommandations du comité de suivi; </w:t>
      </w:r>
    </w:p>
    <w:p w14:paraId="4F67FBC8" w14:textId="459C3DC7" w:rsidR="0049006B" w:rsidRPr="00D207EA" w:rsidRDefault="008D666E" w:rsidP="008D666E">
      <w:pPr>
        <w:pStyle w:val="Point0"/>
        <w:rPr>
          <w:noProof/>
        </w:rPr>
      </w:pPr>
      <w:r w:rsidRPr="008D666E">
        <w:rPr>
          <w:noProof/>
        </w:rPr>
        <w:t>(j)</w:t>
      </w:r>
      <w:r w:rsidRPr="008D666E">
        <w:rPr>
          <w:noProof/>
        </w:rPr>
        <w:tab/>
      </w:r>
      <w:r w:rsidR="0049006B" w:rsidRPr="00D207EA">
        <w:rPr>
          <w:noProof/>
        </w:rPr>
        <w:t>communiquer aux citoyens de l’Union le rôle, les objectifs et les résultats du plan PNR conformément à l’article 18 du règlement [règlement relatif à la performance] au moyen d’un portail web unique donnant accès à tous les chapitres du plan PNR conformément à l’article 64, paragraphe 1.</w:t>
      </w:r>
    </w:p>
    <w:p w14:paraId="633307CA" w14:textId="77777777" w:rsidR="006D4DFA" w:rsidRPr="00D207EA" w:rsidRDefault="006D4DFA" w:rsidP="006D4DFA">
      <w:pPr>
        <w:pStyle w:val="Titrearticle"/>
        <w:rPr>
          <w:b/>
          <w:noProof/>
        </w:rPr>
      </w:pPr>
      <w:r w:rsidRPr="00D207EA">
        <w:rPr>
          <w:noProof/>
        </w:rPr>
        <w:t>Article 51</w:t>
      </w:r>
      <w:r w:rsidRPr="00D207EA">
        <w:rPr>
          <w:noProof/>
        </w:rPr>
        <w:br/>
      </w:r>
      <w:r w:rsidRPr="00D207EA">
        <w:rPr>
          <w:b/>
          <w:noProof/>
        </w:rPr>
        <w:t>Fonctions de l’autorité de gestion</w:t>
      </w:r>
    </w:p>
    <w:p w14:paraId="37BEABF2" w14:textId="77777777" w:rsidR="00410938" w:rsidRPr="00D207EA" w:rsidRDefault="00410938" w:rsidP="00C21519">
      <w:pPr>
        <w:pStyle w:val="NumPar10000000"/>
        <w:numPr>
          <w:ilvl w:val="0"/>
          <w:numId w:val="100"/>
        </w:numPr>
        <w:rPr>
          <w:noProof/>
        </w:rPr>
      </w:pPr>
      <w:r w:rsidRPr="00D207EA">
        <w:rPr>
          <w:noProof/>
        </w:rPr>
        <w:t>L’autorité de gestion est responsable de la gestion du plan ou d’une partie du plan en vue de la réalisation de ses objectifs. Ses fonctions sont les suivantes: </w:t>
      </w:r>
    </w:p>
    <w:p w14:paraId="28D73B68" w14:textId="21DA0FC8" w:rsidR="00410938" w:rsidRPr="00D207EA" w:rsidRDefault="008D666E" w:rsidP="008D666E">
      <w:pPr>
        <w:pStyle w:val="Point10"/>
        <w:rPr>
          <w:noProof/>
        </w:rPr>
      </w:pPr>
      <w:r w:rsidRPr="008D666E">
        <w:rPr>
          <w:noProof/>
        </w:rPr>
        <w:t>(a)</w:t>
      </w:r>
      <w:r w:rsidRPr="008D666E">
        <w:rPr>
          <w:noProof/>
        </w:rPr>
        <w:tab/>
      </w:r>
      <w:r w:rsidR="00410938" w:rsidRPr="00D207EA">
        <w:rPr>
          <w:noProof/>
        </w:rPr>
        <w:t>sélectionner les opérations en vue de maximiser la contribution du plan à la réalisation des objectifs du Fonds, définis au niveau de ses chapitres et de ses mesures, en fixant et en appliquant des critères et des procédures non discriminatoires et transparents;  </w:t>
      </w:r>
    </w:p>
    <w:p w14:paraId="640ECC1C" w14:textId="08C25240" w:rsidR="00144291" w:rsidRPr="00D207EA" w:rsidRDefault="008D666E" w:rsidP="008D666E">
      <w:pPr>
        <w:pStyle w:val="Point10"/>
        <w:rPr>
          <w:iCs/>
          <w:noProof/>
        </w:rPr>
      </w:pPr>
      <w:r w:rsidRPr="008D666E">
        <w:rPr>
          <w:noProof/>
        </w:rPr>
        <w:t>(b)</w:t>
      </w:r>
      <w:r w:rsidRPr="008D666E">
        <w:rPr>
          <w:noProof/>
        </w:rPr>
        <w:tab/>
      </w:r>
      <w:r w:rsidR="00C96D01" w:rsidRPr="00D207EA">
        <w:rPr>
          <w:noProof/>
        </w:rPr>
        <w:t>effectuer des vérifications de gestion pour s’assurer que les valeurs intermédiaires et les valeurs cibles fixées dans le plan sont respectées et que les fonds sont utilisés de manière efficace, conformément à la législation applicable; aux fins de l’établissement de la déclaration de gestion, l’autorité de gestion n’est pas censée vérifier les coûts sous-jacents des opérations;</w:t>
      </w:r>
      <w:r w:rsidR="00C96D01" w:rsidRPr="00D207EA">
        <w:rPr>
          <w:i/>
          <w:noProof/>
        </w:rPr>
        <w:t> </w:t>
      </w:r>
    </w:p>
    <w:p w14:paraId="26B94B61" w14:textId="1B117BAD" w:rsidR="00410938" w:rsidRPr="00D207EA" w:rsidRDefault="008D666E" w:rsidP="008D666E">
      <w:pPr>
        <w:pStyle w:val="Point10"/>
        <w:rPr>
          <w:noProof/>
        </w:rPr>
      </w:pPr>
      <w:r w:rsidRPr="008D666E">
        <w:rPr>
          <w:noProof/>
        </w:rPr>
        <w:t>(c)</w:t>
      </w:r>
      <w:r w:rsidRPr="008D666E">
        <w:rPr>
          <w:noProof/>
        </w:rPr>
        <w:tab/>
      </w:r>
      <w:r w:rsidR="00B2674C" w:rsidRPr="00D207EA">
        <w:rPr>
          <w:noProof/>
        </w:rPr>
        <w:t>appliquer des mesures et des procédures efficaces et proportionnées, compte tenu des risques recensés, pour prévenir, détecter et corriger les irrégularités, y compris la fraude, la corruption, les conflits d’intérêts et le double financement, et assurer la conformité des opérations sous-jacentes avec le droit applicable, conformément aux exigences clés pertinentes énoncées à l’annexe IV [exigences clés]; </w:t>
      </w:r>
    </w:p>
    <w:p w14:paraId="2D8D8FB9" w14:textId="23980C02" w:rsidR="00410938" w:rsidRPr="00D207EA" w:rsidRDefault="008D666E" w:rsidP="008D666E">
      <w:pPr>
        <w:pStyle w:val="Point10"/>
        <w:rPr>
          <w:noProof/>
        </w:rPr>
      </w:pPr>
      <w:r w:rsidRPr="008D666E">
        <w:rPr>
          <w:noProof/>
        </w:rPr>
        <w:t>(d)</w:t>
      </w:r>
      <w:r w:rsidRPr="008D666E">
        <w:rPr>
          <w:noProof/>
        </w:rPr>
        <w:tab/>
      </w:r>
      <w:r w:rsidR="00B2674C" w:rsidRPr="00D207EA">
        <w:rPr>
          <w:noProof/>
        </w:rPr>
        <w:t>soutenir les travaux du comité de suivi en fournissant en temps utile les informations nécessaires et en assurant le suivi des décisions et des recommandations du comité de suivi; </w:t>
      </w:r>
    </w:p>
    <w:p w14:paraId="2ACF6AA0" w14:textId="6FC64027" w:rsidR="00410938" w:rsidRPr="00D207EA" w:rsidRDefault="008D666E" w:rsidP="008D666E">
      <w:pPr>
        <w:pStyle w:val="Point10"/>
        <w:rPr>
          <w:noProof/>
        </w:rPr>
      </w:pPr>
      <w:r w:rsidRPr="008D666E">
        <w:rPr>
          <w:noProof/>
        </w:rPr>
        <w:t>(e)</w:t>
      </w:r>
      <w:r w:rsidRPr="008D666E">
        <w:rPr>
          <w:noProof/>
        </w:rPr>
        <w:tab/>
      </w:r>
      <w:r w:rsidR="00B2674C" w:rsidRPr="00D207EA">
        <w:rPr>
          <w:noProof/>
        </w:rPr>
        <w:t>superviser, le cas échéant, les organismes intermédiaires, tout en garantissant des pratiques de gouvernance saines et une capacité administrative adéquate permanente; </w:t>
      </w:r>
    </w:p>
    <w:p w14:paraId="723A3B5D" w14:textId="21C7243F" w:rsidR="00CF1B33" w:rsidRPr="00D207EA" w:rsidRDefault="008D666E" w:rsidP="008D666E">
      <w:pPr>
        <w:pStyle w:val="Point10"/>
        <w:rPr>
          <w:noProof/>
        </w:rPr>
      </w:pPr>
      <w:r w:rsidRPr="008D666E">
        <w:rPr>
          <w:noProof/>
        </w:rPr>
        <w:t>(f)</w:t>
      </w:r>
      <w:r w:rsidRPr="008D666E">
        <w:rPr>
          <w:noProof/>
        </w:rPr>
        <w:tab/>
      </w:r>
      <w:r w:rsidR="00CF1B33" w:rsidRPr="00D207EA">
        <w:rPr>
          <w:noProof/>
        </w:rPr>
        <w:t>renforcer la capacité administrative des organismes intermédiaires (le cas échéant) et des bénéficiaires, et promouvoir l’apprentissage et l’expérimentation dans le domaine de la politique;</w:t>
      </w:r>
    </w:p>
    <w:p w14:paraId="3F044450" w14:textId="4DF09669" w:rsidR="00410938" w:rsidRPr="00D207EA" w:rsidRDefault="008D666E" w:rsidP="008D666E">
      <w:pPr>
        <w:pStyle w:val="Point10"/>
        <w:rPr>
          <w:noProof/>
        </w:rPr>
      </w:pPr>
      <w:r w:rsidRPr="008D666E">
        <w:rPr>
          <w:noProof/>
        </w:rPr>
        <w:t>(g)</w:t>
      </w:r>
      <w:r w:rsidRPr="008D666E">
        <w:rPr>
          <w:noProof/>
        </w:rPr>
        <w:tab/>
      </w:r>
      <w:r w:rsidR="00B2674C" w:rsidRPr="00D207EA">
        <w:rPr>
          <w:noProof/>
        </w:rPr>
        <w:t>s’assurer qu’un bénéficiaire reçoive le montant dû lié à la mise en œuvre d’une mesure dans son intégralité et au plus tard [80] jours à compter de la date de présentation de la demande de paiement par le bénéficiaire; et pour les interventions visées à l’article 35, points a) à g), o), p) et r) [types d’interventions], en veillant à ce que le paiement aux bénéficiaires ait lieu au plus tard le 30 juin de l’année suivant celle de la présentation de la demande de paiement. Le délai peut être interrompu si les informations soumises par le bénéficiaire ne permettent pas à l’autorité de gestion d’établir si le montant est dû; </w:t>
      </w:r>
    </w:p>
    <w:p w14:paraId="21BD8FB3" w14:textId="2778520D" w:rsidR="00410938" w:rsidRPr="00D207EA" w:rsidRDefault="008D666E" w:rsidP="008D666E">
      <w:pPr>
        <w:pStyle w:val="Point10"/>
        <w:rPr>
          <w:noProof/>
        </w:rPr>
      </w:pPr>
      <w:r w:rsidRPr="008D666E">
        <w:rPr>
          <w:noProof/>
        </w:rPr>
        <w:t>(h)</w:t>
      </w:r>
      <w:r w:rsidRPr="008D666E">
        <w:rPr>
          <w:noProof/>
        </w:rPr>
        <w:tab/>
      </w:r>
      <w:r w:rsidR="00B2674C" w:rsidRPr="00D207EA">
        <w:rPr>
          <w:noProof/>
        </w:rPr>
        <w:t>enregistrer et stocker par voie électronique les données nécessaires au suivi, à l’évaluation, à la gestion financière, aux vérifications et aux audits conformément à l’article 58 [Responsabilité des États membres] et à l’annexe IV, et assurer la sécurité, l’intégrité et la confidentialité des données, ainsi que l’authentification des utilisateurs; </w:t>
      </w:r>
    </w:p>
    <w:p w14:paraId="003E8951" w14:textId="059E5D92" w:rsidR="00410938" w:rsidRPr="00D207EA" w:rsidRDefault="008D666E" w:rsidP="008D666E">
      <w:pPr>
        <w:pStyle w:val="Point10"/>
        <w:rPr>
          <w:noProof/>
        </w:rPr>
      </w:pPr>
      <w:r w:rsidRPr="008D666E">
        <w:rPr>
          <w:noProof/>
        </w:rPr>
        <w:t>(i)</w:t>
      </w:r>
      <w:r w:rsidRPr="008D666E">
        <w:rPr>
          <w:noProof/>
        </w:rPr>
        <w:tab/>
      </w:r>
      <w:r w:rsidR="003776B3" w:rsidRPr="00D207EA">
        <w:rPr>
          <w:noProof/>
        </w:rPr>
        <w:t xml:space="preserve">veiller à ce que chaque bénéficiaire reçoive un document exposant les conditions relatives au soutien, le plan de financement, les limites d’exécution et, s’il y a lieu, la méthode d’application des conditions de paiement; </w:t>
      </w:r>
    </w:p>
    <w:p w14:paraId="7A26A03E" w14:textId="253F39EF" w:rsidR="00410938" w:rsidRPr="00D207EA" w:rsidRDefault="008D666E" w:rsidP="008D666E">
      <w:pPr>
        <w:pStyle w:val="Point10"/>
        <w:rPr>
          <w:noProof/>
        </w:rPr>
      </w:pPr>
      <w:r w:rsidRPr="008D666E">
        <w:rPr>
          <w:noProof/>
        </w:rPr>
        <w:t>(j)</w:t>
      </w:r>
      <w:r w:rsidRPr="008D666E">
        <w:rPr>
          <w:noProof/>
        </w:rPr>
        <w:tab/>
      </w:r>
      <w:r w:rsidR="00180B44" w:rsidRPr="00D207EA">
        <w:rPr>
          <w:noProof/>
        </w:rPr>
        <w:t>s’assurer que les bénéficiaires respectent leur obligation d’assurer la visibilité du soutien de l’Union, conformément à l’article 18 du règlement (UE, Euratom) XX [règlement relatif à la performance];</w:t>
      </w:r>
    </w:p>
    <w:p w14:paraId="36DE7717" w14:textId="795DF9A5" w:rsidR="00410938" w:rsidRPr="00D207EA" w:rsidRDefault="008D666E" w:rsidP="008D666E">
      <w:pPr>
        <w:pStyle w:val="Point10"/>
        <w:rPr>
          <w:noProof/>
        </w:rPr>
      </w:pPr>
      <w:r w:rsidRPr="008D666E">
        <w:rPr>
          <w:noProof/>
        </w:rPr>
        <w:t>(k)</w:t>
      </w:r>
      <w:r w:rsidRPr="008D666E">
        <w:rPr>
          <w:noProof/>
        </w:rPr>
        <w:tab/>
      </w:r>
      <w:r w:rsidR="00180B44" w:rsidRPr="00D207EA">
        <w:rPr>
          <w:noProof/>
        </w:rPr>
        <w:t>signer la déclaration de gestion visée à l’article 59, paragraphe 1, point c) [dossier «assurance» annuel], conformément au modèle figurant à l’annexe XII [déclaration de gestion];</w:t>
      </w:r>
    </w:p>
    <w:p w14:paraId="0F8B8C4B" w14:textId="7B514F59" w:rsidR="00410938" w:rsidRPr="00D207EA" w:rsidRDefault="008D666E" w:rsidP="008D666E">
      <w:pPr>
        <w:pStyle w:val="Point10"/>
        <w:rPr>
          <w:noProof/>
        </w:rPr>
      </w:pPr>
      <w:r w:rsidRPr="008D666E">
        <w:rPr>
          <w:noProof/>
        </w:rPr>
        <w:t>(l)</w:t>
      </w:r>
      <w:r w:rsidRPr="008D666E">
        <w:rPr>
          <w:noProof/>
        </w:rPr>
        <w:tab/>
      </w:r>
      <w:r w:rsidR="00410938" w:rsidRPr="00D207EA">
        <w:rPr>
          <w:noProof/>
        </w:rPr>
        <w:t>présenter des informations sur l’état d’avancement de la mise en œuvre des mesures du plan, conformément à l’article 58 [Responsabilités des États membres] et à l’annexe IX [Rapports sur l’état d’avancement de la mise en œuvre des mesures].</w:t>
      </w:r>
    </w:p>
    <w:p w14:paraId="7791D20A" w14:textId="20366FDB" w:rsidR="00410938" w:rsidRPr="00D207EA" w:rsidRDefault="00410938" w:rsidP="00C21519">
      <w:pPr>
        <w:pStyle w:val="NumPar10000000"/>
        <w:numPr>
          <w:ilvl w:val="0"/>
          <w:numId w:val="100"/>
        </w:numPr>
        <w:rPr>
          <w:noProof/>
        </w:rPr>
      </w:pPr>
      <w:r w:rsidRPr="00D207EA">
        <w:rPr>
          <w:noProof/>
        </w:rPr>
        <w:t>Les vérifications de gestion visées au paragraphe 1, point b), sont fondées sur une évaluation des risques et sont proportionnées aux risques recensés ex ante et par écrit.</w:t>
      </w:r>
    </w:p>
    <w:p w14:paraId="3033BDB3" w14:textId="636DDEB3" w:rsidR="00410938" w:rsidRPr="00D207EA" w:rsidRDefault="00410938" w:rsidP="00C21519">
      <w:pPr>
        <w:pStyle w:val="NumPar10000000"/>
        <w:numPr>
          <w:ilvl w:val="0"/>
          <w:numId w:val="100"/>
        </w:numPr>
        <w:rPr>
          <w:noProof/>
        </w:rPr>
      </w:pPr>
      <w:r w:rsidRPr="00D207EA">
        <w:rPr>
          <w:noProof/>
        </w:rPr>
        <w:t>Les vérifications de gestion comprennent les vérifications administratives concernant les demandes de paiement présentées par les bénéficiaires et les vérifications sur place portant sur les opérations. Ces vérifications sont réalisées avant la présentation du dossier «assurance» annuel conformément à l’article 59.</w:t>
      </w:r>
    </w:p>
    <w:p w14:paraId="4C013D70" w14:textId="0BEFB279" w:rsidR="006D4DFA" w:rsidRPr="00D207EA" w:rsidRDefault="006D4DFA" w:rsidP="006D4DFA">
      <w:pPr>
        <w:pStyle w:val="Titrearticle"/>
        <w:rPr>
          <w:noProof/>
        </w:rPr>
      </w:pPr>
      <w:r w:rsidRPr="00D207EA">
        <w:rPr>
          <w:noProof/>
        </w:rPr>
        <w:t>Article 52</w:t>
      </w:r>
      <w:r w:rsidRPr="00D207EA">
        <w:rPr>
          <w:noProof/>
        </w:rPr>
        <w:br/>
      </w:r>
      <w:r w:rsidRPr="00D207EA">
        <w:rPr>
          <w:b/>
          <w:noProof/>
        </w:rPr>
        <w:t>Fonctions de l’organisme payeur</w:t>
      </w:r>
    </w:p>
    <w:p w14:paraId="669EE17A" w14:textId="3B93CCEB" w:rsidR="00410938" w:rsidRPr="00D207EA" w:rsidRDefault="00410938" w:rsidP="00C21519">
      <w:pPr>
        <w:pStyle w:val="NumPar10000000"/>
        <w:numPr>
          <w:ilvl w:val="0"/>
          <w:numId w:val="101"/>
        </w:numPr>
        <w:rPr>
          <w:noProof/>
        </w:rPr>
      </w:pPr>
      <w:r w:rsidRPr="00D207EA">
        <w:rPr>
          <w:noProof/>
        </w:rPr>
        <w:t>L’organisme payeur dispose d’une organisation administrative et d’un système de contrôle interne conforme aux normes de contrôle interne internationalement reconnues et offrant des garanties suffisantes en ce qui concerne la légalité, la régularité et l’enregistrement correct des paiements.</w:t>
      </w:r>
    </w:p>
    <w:p w14:paraId="783D05D2" w14:textId="77777777" w:rsidR="00410938" w:rsidRPr="00D207EA" w:rsidRDefault="006F460D" w:rsidP="00C21519">
      <w:pPr>
        <w:pStyle w:val="NumPar10000000"/>
        <w:numPr>
          <w:ilvl w:val="0"/>
          <w:numId w:val="100"/>
        </w:numPr>
        <w:rPr>
          <w:noProof/>
        </w:rPr>
      </w:pPr>
      <w:r w:rsidRPr="00D207EA">
        <w:rPr>
          <w:noProof/>
        </w:rPr>
        <w:t>En fonction de ses dispositions institutionnelles, chaque État membre limite le nombre de ses organismes payeurs agréés à un seul au niveau national ou, le cas échéant, à un par région.</w:t>
      </w:r>
    </w:p>
    <w:p w14:paraId="581536D5" w14:textId="77777777" w:rsidR="00410938" w:rsidRPr="00D207EA" w:rsidRDefault="00410938" w:rsidP="00C21519">
      <w:pPr>
        <w:pStyle w:val="NumPar10000000"/>
        <w:numPr>
          <w:ilvl w:val="0"/>
          <w:numId w:val="100"/>
        </w:numPr>
        <w:rPr>
          <w:noProof/>
        </w:rPr>
      </w:pPr>
      <w:r w:rsidRPr="00D207EA">
        <w:rPr>
          <w:noProof/>
        </w:rPr>
        <w:t>En ce qui concerne les mesures visées à l’article 35 [type d’interventions au titre de la PAC], l’organisme payeur exécute les tâches de l’autorité de gestion énumérées à l’article 51, paragraphe 1, points b), c), f), g), h), i), j) et k), et paragraphes 2) et 3) [autorité de gestion].</w:t>
      </w:r>
    </w:p>
    <w:p w14:paraId="40E578CC" w14:textId="77777777" w:rsidR="00410938" w:rsidRPr="00D207EA" w:rsidRDefault="00410938" w:rsidP="0022256C">
      <w:pPr>
        <w:pStyle w:val="Text1"/>
        <w:ind w:left="851"/>
        <w:rPr>
          <w:noProof/>
        </w:rPr>
      </w:pPr>
      <w:r w:rsidRPr="00D207EA">
        <w:rPr>
          <w:noProof/>
        </w:rPr>
        <w:t>L’organisme payeur peut déléguer l’exécution de ses tâches, à l’exception des paiements.</w:t>
      </w:r>
    </w:p>
    <w:p w14:paraId="3E5807C5" w14:textId="77777777" w:rsidR="00410938" w:rsidRPr="00D207EA" w:rsidRDefault="00410938" w:rsidP="00C21519">
      <w:pPr>
        <w:pStyle w:val="NumPar10000000"/>
        <w:numPr>
          <w:ilvl w:val="0"/>
          <w:numId w:val="100"/>
        </w:numPr>
        <w:rPr>
          <w:noProof/>
        </w:rPr>
      </w:pPr>
      <w:r w:rsidRPr="00D207EA">
        <w:rPr>
          <w:noProof/>
        </w:rPr>
        <w:t>L’organisme payeur fournit à l’autorité de coordination les informations nécessaires aux fins des dispositions de l’article 50, points c), e) et f), du règlement [PAC].</w:t>
      </w:r>
    </w:p>
    <w:p w14:paraId="522EEC5A" w14:textId="77777777" w:rsidR="00410938" w:rsidRPr="00D207EA" w:rsidRDefault="00410938" w:rsidP="0022256C">
      <w:pPr>
        <w:pStyle w:val="Text1"/>
        <w:ind w:left="851"/>
        <w:rPr>
          <w:noProof/>
        </w:rPr>
      </w:pPr>
      <w:r w:rsidRPr="00D207EA">
        <w:rPr>
          <w:noProof/>
        </w:rPr>
        <w:t>Le responsable de l’organisme payeur établit et fournit à l’autorité de coordination la déclaration de gestion visée à l’article 59, paragraphe 1, point c), du présent règlement [Présentation du dossier «assurance» annuel].</w:t>
      </w:r>
    </w:p>
    <w:p w14:paraId="6D2E2617" w14:textId="302931EF" w:rsidR="00410938" w:rsidRPr="00D207EA" w:rsidRDefault="00462E4D" w:rsidP="00C21519">
      <w:pPr>
        <w:pStyle w:val="NumPar10000000"/>
        <w:numPr>
          <w:ilvl w:val="0"/>
          <w:numId w:val="100"/>
        </w:numPr>
        <w:rPr>
          <w:noProof/>
        </w:rPr>
      </w:pPr>
      <w:r w:rsidRPr="00D207EA">
        <w:rPr>
          <w:noProof/>
        </w:rPr>
        <w:t>Chaque État membre contrôle en permanence le respect par l’organisme payeur des exigences énoncées au paragraphe 1 et est chargé d’émettre, d’examiner et de retirer son agrément.</w:t>
      </w:r>
    </w:p>
    <w:p w14:paraId="1E7821B1" w14:textId="77777777" w:rsidR="00410938" w:rsidRPr="00D207EA" w:rsidRDefault="00410938" w:rsidP="0022256C">
      <w:pPr>
        <w:pStyle w:val="Text1"/>
        <w:ind w:left="851"/>
        <w:rPr>
          <w:noProof/>
        </w:rPr>
      </w:pPr>
      <w:r w:rsidRPr="00D207EA">
        <w:rPr>
          <w:noProof/>
        </w:rPr>
        <w:t>Lorsque l’État membre a constaté qu’un organisme payeur agréé ne respecte plus une ou plusieurs des exigences énoncées au paragraphe 1 d’une manière qui compromet sa capacité à accomplir ses tâches, l’État membre soumet sans retard l’agrément de l’organisme payeur à une phase de test. Il élabore un plan visant à remédier aux déficiences constatées dans un délai à fixer selon la gravité du problème, mais qui ne peut dépasser 12 mois à compter du début de ladite phase de test. Dans certains cas dûment justifiés, la Commission peut, sur demande de l’État membre concerné, autoriser la prolongation de ce délai.</w:t>
      </w:r>
    </w:p>
    <w:p w14:paraId="01B134FB" w14:textId="77777777" w:rsidR="006D4DFA" w:rsidRPr="00D207EA" w:rsidRDefault="006D4DFA" w:rsidP="006D4DFA">
      <w:pPr>
        <w:pStyle w:val="Titrearticle"/>
        <w:rPr>
          <w:b/>
          <w:noProof/>
        </w:rPr>
      </w:pPr>
      <w:r w:rsidRPr="00D207EA">
        <w:rPr>
          <w:noProof/>
        </w:rPr>
        <w:t>Article 53</w:t>
      </w:r>
      <w:r w:rsidRPr="00D207EA">
        <w:rPr>
          <w:noProof/>
        </w:rPr>
        <w:br/>
      </w:r>
      <w:r w:rsidRPr="00D207EA">
        <w:rPr>
          <w:b/>
          <w:noProof/>
        </w:rPr>
        <w:t>Fonctions de l’autorité d’audit</w:t>
      </w:r>
    </w:p>
    <w:p w14:paraId="064A4513" w14:textId="77777777" w:rsidR="00410938" w:rsidRPr="00D207EA" w:rsidRDefault="00410938" w:rsidP="00C21519">
      <w:pPr>
        <w:pStyle w:val="NumPar10000000"/>
        <w:numPr>
          <w:ilvl w:val="0"/>
          <w:numId w:val="81"/>
        </w:numPr>
        <w:rPr>
          <w:noProof/>
        </w:rPr>
      </w:pPr>
      <w:r w:rsidRPr="00D207EA">
        <w:rPr>
          <w:noProof/>
        </w:rPr>
        <w:t>L’autorité d’audit est chargée d’effectuer des audits sur le respect des valeurs intermédiaires et des valeurs cibles, ainsi que des audits des systèmes afin de donner à la Commission l’assurance que les systèmes de gestion et de contrôle fonctionnent efficacement, et en particulier que les systèmes de gestion et de contrôle garantissent la légalité et la régularité des transactions sous-jacentes ainsi que la protection efficace et rapide des intérêts financiers de l’Union. Les audits fournissent une assurance sur l’utilisation efficace des fonds dans le respect de la législation applicable.</w:t>
      </w:r>
    </w:p>
    <w:p w14:paraId="6A488CBE" w14:textId="77777777" w:rsidR="00410938" w:rsidRPr="00D207EA" w:rsidRDefault="00410938" w:rsidP="00C21519">
      <w:pPr>
        <w:pStyle w:val="NumPar10000000"/>
        <w:numPr>
          <w:ilvl w:val="0"/>
          <w:numId w:val="100"/>
        </w:numPr>
        <w:rPr>
          <w:noProof/>
        </w:rPr>
      </w:pPr>
      <w:r w:rsidRPr="00D207EA">
        <w:rPr>
          <w:noProof/>
        </w:rPr>
        <w:t>L’autorité d’audit établit: </w:t>
      </w:r>
    </w:p>
    <w:p w14:paraId="7C4C579C" w14:textId="56399D38" w:rsidR="00410938" w:rsidRPr="00D207EA" w:rsidRDefault="008D666E" w:rsidP="008D666E">
      <w:pPr>
        <w:pStyle w:val="Point10"/>
        <w:rPr>
          <w:rFonts w:eastAsia="Times New Roman"/>
          <w:noProof/>
        </w:rPr>
      </w:pPr>
      <w:r w:rsidRPr="008D666E">
        <w:rPr>
          <w:noProof/>
        </w:rPr>
        <w:t>(a)</w:t>
      </w:r>
      <w:r w:rsidRPr="008D666E">
        <w:rPr>
          <w:noProof/>
        </w:rPr>
        <w:tab/>
      </w:r>
      <w:r w:rsidR="00410938" w:rsidRPr="00D207EA">
        <w:rPr>
          <w:noProof/>
        </w:rPr>
        <w:t>un avis d’audit annuel aux fins de l’article 63, paragraphe 7, du règlement (UE, Euratom) 2024/2509, conformément au modèle figurant à l’annexe XIII du présent règlement, qui établit si:</w:t>
      </w:r>
    </w:p>
    <w:p w14:paraId="17CA0398" w14:textId="77777777" w:rsidR="00410938" w:rsidRPr="00D207EA" w:rsidRDefault="00410938" w:rsidP="00C21519">
      <w:pPr>
        <w:pStyle w:val="Point2n"/>
        <w:numPr>
          <w:ilvl w:val="0"/>
          <w:numId w:val="63"/>
        </w:numPr>
        <w:jc w:val="both"/>
        <w:rPr>
          <w:noProof/>
        </w:rPr>
      </w:pPr>
      <w:r w:rsidRPr="00D207EA">
        <w:rPr>
          <w:noProof/>
        </w:rPr>
        <w:t>les données saisies dans les demandes de paiement présentées pour la période de référence conformément à l’article 59, paragraphe 1, point a), [dossier «assurance»] sont complètes, exactes et fiables;</w:t>
      </w:r>
    </w:p>
    <w:p w14:paraId="3BF8A4E0" w14:textId="77777777" w:rsidR="00410938" w:rsidRPr="00D207EA" w:rsidRDefault="00410938" w:rsidP="009A005E">
      <w:pPr>
        <w:pStyle w:val="Point2n"/>
        <w:jc w:val="both"/>
        <w:rPr>
          <w:noProof/>
        </w:rPr>
      </w:pPr>
      <w:r w:rsidRPr="00D207EA">
        <w:rPr>
          <w:noProof/>
        </w:rPr>
        <w:t xml:space="preserve">les systèmes de gestion et de contrôle fonctionnent correctement et garantissent la protection effective et rapide des intérêts financiers de l’Union ainsi que la légalité et la régularité des opérations sous-jacentes;  </w:t>
      </w:r>
    </w:p>
    <w:p w14:paraId="4CDA0A3A" w14:textId="77777777" w:rsidR="002F16B5" w:rsidRPr="00D207EA" w:rsidRDefault="008C5B8F" w:rsidP="00AF7FE3">
      <w:pPr>
        <w:pStyle w:val="Point2n"/>
        <w:jc w:val="both"/>
        <w:rPr>
          <w:noProof/>
        </w:rPr>
      </w:pPr>
      <w:r w:rsidRPr="00D207EA">
        <w:rPr>
          <w:noProof/>
        </w:rPr>
        <w:t>l’utilisation des fonds est conforme à la législation applicable;</w:t>
      </w:r>
    </w:p>
    <w:p w14:paraId="63C73FA4" w14:textId="77777777" w:rsidR="00410938" w:rsidRPr="00D207EA" w:rsidRDefault="00410938" w:rsidP="00AF7FE3">
      <w:pPr>
        <w:pStyle w:val="Point2n"/>
        <w:jc w:val="both"/>
        <w:rPr>
          <w:noProof/>
        </w:rPr>
      </w:pPr>
      <w:r w:rsidRPr="00D207EA">
        <w:rPr>
          <w:noProof/>
        </w:rPr>
        <w:t>le travail d’audit met en doute les affirmations contenues dans la déclaration de gestion;</w:t>
      </w:r>
    </w:p>
    <w:p w14:paraId="6DE157FC" w14:textId="6379E456" w:rsidR="00410938" w:rsidRPr="00D207EA" w:rsidRDefault="008D666E" w:rsidP="008D666E">
      <w:pPr>
        <w:pStyle w:val="Point10"/>
        <w:rPr>
          <w:noProof/>
        </w:rPr>
      </w:pPr>
      <w:r w:rsidRPr="008D666E">
        <w:rPr>
          <w:noProof/>
        </w:rPr>
        <w:t>(b)</w:t>
      </w:r>
      <w:r w:rsidRPr="008D666E">
        <w:rPr>
          <w:noProof/>
        </w:rPr>
        <w:tab/>
      </w:r>
      <w:r w:rsidR="00815D0C" w:rsidRPr="00D207EA">
        <w:rPr>
          <w:noProof/>
        </w:rPr>
        <w:t>un résumé des audits effectués conformément à l’article 59, paragraphe 1, point b), [dossier «assurance»], y compris une analyse de la nature et de l’étendue des faiblesses détectées et de toute mesure corrective prise ou prévue.</w:t>
      </w:r>
    </w:p>
    <w:p w14:paraId="78F93D7A" w14:textId="31C3A136" w:rsidR="00410938" w:rsidRPr="00D207EA" w:rsidRDefault="00410938" w:rsidP="0035702B">
      <w:pPr>
        <w:pStyle w:val="Text1"/>
        <w:ind w:left="993" w:hanging="1"/>
        <w:rPr>
          <w:noProof/>
        </w:rPr>
      </w:pPr>
      <w:r w:rsidRPr="00D207EA">
        <w:rPr>
          <w:noProof/>
        </w:rPr>
        <w:t>Les activités d’audit sont menées conformément aux normes internationalement admises en matière d’audit.</w:t>
      </w:r>
    </w:p>
    <w:p w14:paraId="0CB876EC" w14:textId="390C5DD3" w:rsidR="00410938" w:rsidRPr="00D207EA" w:rsidRDefault="00410938" w:rsidP="00C21519">
      <w:pPr>
        <w:pStyle w:val="NumPar10000000"/>
        <w:numPr>
          <w:ilvl w:val="0"/>
          <w:numId w:val="100"/>
        </w:numPr>
        <w:rPr>
          <w:noProof/>
        </w:rPr>
      </w:pPr>
      <w:r w:rsidRPr="00D207EA">
        <w:rPr>
          <w:noProof/>
        </w:rPr>
        <w:t>L’autorité d’audit élabore une stratégie d’audit fondée sur une évaluation des risques, compte tenu de la description du système de gestion et de contrôle prévue à l’article 22, paragraphe 2, point m), couvrant les audits du système et les audits relatifs aux valeurs intermédiaires et aux valeurs cibles, ainsi que l’utilisation efficace des fonds conformément à la législation applicable. Toutes les autorités de gestion nouvellement désignées font l’objet d’un audit du système avant la présentation de la première demande de paiement.</w:t>
      </w:r>
    </w:p>
    <w:p w14:paraId="1BB6EA1E" w14:textId="376D5A24" w:rsidR="00410938" w:rsidRPr="00D207EA" w:rsidRDefault="004B7D1A" w:rsidP="00C21519">
      <w:pPr>
        <w:pStyle w:val="NumPar10000000"/>
        <w:numPr>
          <w:ilvl w:val="0"/>
          <w:numId w:val="100"/>
        </w:numPr>
        <w:rPr>
          <w:noProof/>
        </w:rPr>
      </w:pPr>
      <w:r w:rsidRPr="00D207EA">
        <w:rPr>
          <w:noProof/>
        </w:rPr>
        <w:t>L’autorité d’audit n’est pas tenue de vérifier les coûts sous-jacents des opérations dans le cadre de leurs travaux d’audit.</w:t>
      </w:r>
    </w:p>
    <w:p w14:paraId="53404515" w14:textId="77777777" w:rsidR="00410938" w:rsidRPr="00D207EA" w:rsidRDefault="00410938" w:rsidP="00410938">
      <w:pPr>
        <w:pStyle w:val="ChapterTitle0"/>
        <w:rPr>
          <w:noProof/>
        </w:rPr>
      </w:pPr>
      <w:r w:rsidRPr="00D207EA">
        <w:rPr>
          <w:noProof/>
        </w:rPr>
        <w:t>CHAPITRE II</w:t>
      </w:r>
      <w:r w:rsidRPr="00D207EA">
        <w:rPr>
          <w:noProof/>
        </w:rPr>
        <w:br/>
        <w:t>Mécanismes de suivi</w:t>
      </w:r>
    </w:p>
    <w:p w14:paraId="63A71BB5" w14:textId="77777777" w:rsidR="00410938" w:rsidRPr="00D207EA" w:rsidRDefault="00410938" w:rsidP="00410938">
      <w:pPr>
        <w:pStyle w:val="Titrearticle"/>
        <w:rPr>
          <w:b/>
          <w:noProof/>
          <w:color w:val="0000FF"/>
        </w:rPr>
      </w:pPr>
      <w:r w:rsidRPr="00D207EA">
        <w:rPr>
          <w:noProof/>
        </w:rPr>
        <w:t>Article 54</w:t>
      </w:r>
      <w:r w:rsidRPr="00D207EA">
        <w:rPr>
          <w:noProof/>
        </w:rPr>
        <w:br/>
      </w:r>
      <w:r w:rsidRPr="00D207EA">
        <w:rPr>
          <w:b/>
          <w:noProof/>
        </w:rPr>
        <w:t>Comité de suivi et comité de coordination</w:t>
      </w:r>
    </w:p>
    <w:p w14:paraId="1CDEC9DF" w14:textId="2A782CE3" w:rsidR="00410938" w:rsidRPr="00D207EA" w:rsidRDefault="00410938" w:rsidP="00C21519">
      <w:pPr>
        <w:pStyle w:val="NumPar10000000"/>
        <w:numPr>
          <w:ilvl w:val="0"/>
          <w:numId w:val="82"/>
        </w:numPr>
        <w:rPr>
          <w:noProof/>
        </w:rPr>
      </w:pPr>
      <w:r w:rsidRPr="00D207EA">
        <w:rPr>
          <w:noProof/>
        </w:rPr>
        <w:t>Chaque État membre crée un ou plusieurs comités de suivi pour les chapitres du plan PNR, selon ce qui est approprié en fonction du chapitre concerné. Tous les chapitres du plan sont couverts. Un même comité de suivi peut couvrir plusieurs chapitres.</w:t>
      </w:r>
    </w:p>
    <w:p w14:paraId="29F31EB2" w14:textId="5F5ED402" w:rsidR="00410938" w:rsidRPr="00D207EA" w:rsidRDefault="00410938" w:rsidP="00C21519">
      <w:pPr>
        <w:pStyle w:val="NumPar10000000"/>
        <w:numPr>
          <w:ilvl w:val="0"/>
          <w:numId w:val="82"/>
        </w:numPr>
        <w:rPr>
          <w:noProof/>
        </w:rPr>
      </w:pPr>
      <w:r w:rsidRPr="00D207EA">
        <w:rPr>
          <w:noProof/>
        </w:rPr>
        <w:t>Lorsque l’État membre crée deux ou plusieurs comités de suivi, il crée également un comité de coordination qui assure la vue d’ensemble et le suivi de la mise en œuvre du plan, après consultation des autorités compétentes gérant chacun des chapitres du plan PNR, dans un délai de trois mois à compter de la date de notification à l’État membre concerné de la décision approuvant le plan PNR. Le comité de coordination approuve tous les éléments énumérés à l’article 56, paragraphe 1 [fonctions du comité de suivi].</w:t>
      </w:r>
    </w:p>
    <w:p w14:paraId="6EED4C5B" w14:textId="53F83EDF" w:rsidR="00410938" w:rsidRPr="00D207EA" w:rsidRDefault="00410938" w:rsidP="00C21519">
      <w:pPr>
        <w:pStyle w:val="NumPar10000000"/>
        <w:numPr>
          <w:ilvl w:val="0"/>
          <w:numId w:val="82"/>
        </w:numPr>
        <w:rPr>
          <w:noProof/>
        </w:rPr>
      </w:pPr>
      <w:r w:rsidRPr="00D207EA">
        <w:rPr>
          <w:noProof/>
        </w:rPr>
        <w:t>Les règles prévues aux articles 55 et 56 s’appliquent au comité de coordination et au comité de suivi.</w:t>
      </w:r>
    </w:p>
    <w:p w14:paraId="20973A05" w14:textId="7590CB4C" w:rsidR="00410938" w:rsidRPr="00D207EA" w:rsidRDefault="00410938" w:rsidP="00C21519">
      <w:pPr>
        <w:pStyle w:val="NumPar10000000"/>
        <w:numPr>
          <w:ilvl w:val="0"/>
          <w:numId w:val="82"/>
        </w:numPr>
        <w:rPr>
          <w:noProof/>
        </w:rPr>
      </w:pPr>
      <w:r w:rsidRPr="00D207EA">
        <w:rPr>
          <w:noProof/>
        </w:rPr>
        <w:t>Chaque comité de suivi et le comité de coordination adoptent leur règlement intérieur, y compris des dispositions concernant la prévention de tout conflit d’intérêts et l’application du principe de transparence.</w:t>
      </w:r>
    </w:p>
    <w:p w14:paraId="64998823" w14:textId="4ED41E17" w:rsidR="00410938" w:rsidRPr="00D207EA" w:rsidRDefault="00410938" w:rsidP="00C21519">
      <w:pPr>
        <w:pStyle w:val="NumPar10000000"/>
        <w:numPr>
          <w:ilvl w:val="0"/>
          <w:numId w:val="82"/>
        </w:numPr>
        <w:rPr>
          <w:noProof/>
        </w:rPr>
      </w:pPr>
      <w:r w:rsidRPr="00D207EA">
        <w:rPr>
          <w:noProof/>
        </w:rPr>
        <w:t>Le comité de suivi se réunit au moins une fois par an et examine la mise en œuvre du ou des chapitres du plan PNR dont il a la charge, y compris tous les problèmes qui affectent les progrès accomplis dans la réalisation de leurs objectifs.</w:t>
      </w:r>
    </w:p>
    <w:p w14:paraId="71089B00" w14:textId="3A933F62" w:rsidR="00410938" w:rsidRPr="00D207EA" w:rsidRDefault="00410938" w:rsidP="00C21519">
      <w:pPr>
        <w:pStyle w:val="NumPar10000000"/>
        <w:numPr>
          <w:ilvl w:val="0"/>
          <w:numId w:val="82"/>
        </w:numPr>
        <w:rPr>
          <w:noProof/>
        </w:rPr>
      </w:pPr>
      <w:r w:rsidRPr="00D207EA">
        <w:rPr>
          <w:noProof/>
        </w:rPr>
        <w:t>Le règlement intérieur du comité de suivi et les données et informations partagées avec ce dernier sont publiés sur le site web visé à de l’article 64.</w:t>
      </w:r>
    </w:p>
    <w:p w14:paraId="722F4B9A" w14:textId="77777777" w:rsidR="00410938" w:rsidRPr="00D207EA" w:rsidRDefault="00410938" w:rsidP="00410938">
      <w:pPr>
        <w:pStyle w:val="Titrearticle"/>
        <w:rPr>
          <w:noProof/>
        </w:rPr>
      </w:pPr>
      <w:r w:rsidRPr="00D207EA">
        <w:rPr>
          <w:noProof/>
        </w:rPr>
        <w:t>Article 55</w:t>
      </w:r>
      <w:r w:rsidRPr="00D207EA">
        <w:rPr>
          <w:noProof/>
        </w:rPr>
        <w:br/>
      </w:r>
      <w:r w:rsidRPr="00D207EA">
        <w:rPr>
          <w:b/>
          <w:noProof/>
        </w:rPr>
        <w:t>Composition du comité de suivi</w:t>
      </w:r>
    </w:p>
    <w:p w14:paraId="1B7455D9" w14:textId="3DF36313" w:rsidR="00410938" w:rsidRPr="00D207EA" w:rsidRDefault="00D133EE" w:rsidP="00C21519">
      <w:pPr>
        <w:pStyle w:val="NumPar10000000"/>
        <w:numPr>
          <w:ilvl w:val="0"/>
          <w:numId w:val="83"/>
        </w:numPr>
        <w:rPr>
          <w:noProof/>
        </w:rPr>
      </w:pPr>
      <w:r w:rsidRPr="00D207EA">
        <w:rPr>
          <w:noProof/>
        </w:rPr>
        <w:t>Chaque État détermine, dans le cadre d’une procédure publique et sur la base de critères transparents et objectifs, la composition et la taille du comité de suivi, et veille à garantir une représentation équilibrée des autorités compétentes de l’État membre, des organismes intermédiaires et des partenaires visés à l’article 6 [partenariat]. Le nombre de ces partenaires est supérieur ou égal aux membres appartenant à des autorités ou à des organismes intermédiaires.</w:t>
      </w:r>
    </w:p>
    <w:p w14:paraId="590E25E5" w14:textId="3D2CACE4" w:rsidR="00410938" w:rsidRPr="00D207EA" w:rsidRDefault="00410938" w:rsidP="0035702B">
      <w:pPr>
        <w:pStyle w:val="Text1"/>
        <w:ind w:left="851"/>
        <w:rPr>
          <w:noProof/>
        </w:rPr>
      </w:pPr>
      <w:r w:rsidRPr="00D207EA">
        <w:rPr>
          <w:noProof/>
        </w:rPr>
        <w:t>La composition du comité de suivi tient compte du ou des chapitres du plan dont il est chargé. La composition et la taille du comité de suivi lui permettent de s’acquitter de ses tâches de manière efficace et efficiente.</w:t>
      </w:r>
    </w:p>
    <w:p w14:paraId="0ED0A7A6" w14:textId="75F16A43" w:rsidR="00410938" w:rsidRPr="00D207EA" w:rsidRDefault="00410938" w:rsidP="0035702B">
      <w:pPr>
        <w:pStyle w:val="Text1"/>
        <w:ind w:left="851"/>
        <w:rPr>
          <w:noProof/>
        </w:rPr>
      </w:pPr>
      <w:r w:rsidRPr="00D207EA">
        <w:rPr>
          <w:noProof/>
        </w:rPr>
        <w:t>Chaque membre du comité de suivi dispose d’une voix.</w:t>
      </w:r>
    </w:p>
    <w:p w14:paraId="75BC3C88" w14:textId="49867876" w:rsidR="00410938" w:rsidRPr="00D207EA" w:rsidRDefault="00410938" w:rsidP="0035702B">
      <w:pPr>
        <w:pStyle w:val="Text1"/>
        <w:ind w:left="851"/>
        <w:rPr>
          <w:noProof/>
        </w:rPr>
      </w:pPr>
      <w:r w:rsidRPr="00D207EA">
        <w:rPr>
          <w:noProof/>
        </w:rPr>
        <w:t>L’État membre publie et met à jour annuellement la liste des membres du comité de suivi sur le site web visé à l’article 64.</w:t>
      </w:r>
    </w:p>
    <w:p w14:paraId="516B1435" w14:textId="46C824E7" w:rsidR="00410938" w:rsidRPr="00D207EA" w:rsidRDefault="00410938" w:rsidP="00C21519">
      <w:pPr>
        <w:pStyle w:val="NumPar10000000"/>
        <w:numPr>
          <w:ilvl w:val="0"/>
          <w:numId w:val="82"/>
        </w:numPr>
        <w:rPr>
          <w:noProof/>
        </w:rPr>
      </w:pPr>
      <w:r w:rsidRPr="00D207EA">
        <w:rPr>
          <w:noProof/>
        </w:rPr>
        <w:t>Des représentants de la Commission participent à titre consultatif aux travaux du comité de suivi.</w:t>
      </w:r>
    </w:p>
    <w:p w14:paraId="13F31730" w14:textId="77777777" w:rsidR="00410938" w:rsidRPr="00D207EA" w:rsidRDefault="00410938" w:rsidP="00410938">
      <w:pPr>
        <w:pStyle w:val="Titrearticle"/>
        <w:rPr>
          <w:noProof/>
        </w:rPr>
      </w:pPr>
      <w:r w:rsidRPr="00D207EA">
        <w:rPr>
          <w:noProof/>
        </w:rPr>
        <w:t>Article 56</w:t>
      </w:r>
      <w:r w:rsidRPr="00D207EA">
        <w:rPr>
          <w:noProof/>
        </w:rPr>
        <w:br/>
      </w:r>
      <w:r w:rsidRPr="00D207EA">
        <w:rPr>
          <w:b/>
          <w:noProof/>
        </w:rPr>
        <w:t>Fonctions du comité de suivi</w:t>
      </w:r>
    </w:p>
    <w:p w14:paraId="6FCD4F6C" w14:textId="77777777" w:rsidR="00410938" w:rsidRPr="00D207EA" w:rsidRDefault="00410938" w:rsidP="00C21519">
      <w:pPr>
        <w:pStyle w:val="NumPar10000000"/>
        <w:numPr>
          <w:ilvl w:val="0"/>
          <w:numId w:val="84"/>
        </w:numPr>
        <w:rPr>
          <w:noProof/>
        </w:rPr>
      </w:pPr>
      <w:r w:rsidRPr="00D207EA">
        <w:rPr>
          <w:noProof/>
        </w:rPr>
        <w:t>Le comité de suivi examine:  </w:t>
      </w:r>
    </w:p>
    <w:p w14:paraId="326CCAE9" w14:textId="126FBB87" w:rsidR="00410938" w:rsidRPr="00D207EA" w:rsidRDefault="008D666E" w:rsidP="008D666E">
      <w:pPr>
        <w:pStyle w:val="Point10"/>
        <w:rPr>
          <w:noProof/>
        </w:rPr>
      </w:pPr>
      <w:r w:rsidRPr="008D666E">
        <w:rPr>
          <w:noProof/>
        </w:rPr>
        <w:t>(a)</w:t>
      </w:r>
      <w:r w:rsidRPr="008D666E">
        <w:rPr>
          <w:noProof/>
        </w:rPr>
        <w:tab/>
      </w:r>
      <w:r w:rsidR="00410938" w:rsidRPr="00D207EA">
        <w:rPr>
          <w:noProof/>
        </w:rPr>
        <w:t>l’état d’avancement de la mise en œuvre des mesures prévues dans le chapitre du plan;  </w:t>
      </w:r>
    </w:p>
    <w:p w14:paraId="12B11D0C" w14:textId="2F094A2F" w:rsidR="00410938" w:rsidRPr="00D207EA" w:rsidRDefault="008D666E" w:rsidP="008D666E">
      <w:pPr>
        <w:pStyle w:val="Point10"/>
        <w:rPr>
          <w:noProof/>
        </w:rPr>
      </w:pPr>
      <w:r w:rsidRPr="008D666E">
        <w:rPr>
          <w:noProof/>
        </w:rPr>
        <w:t>(b)</w:t>
      </w:r>
      <w:r w:rsidRPr="008D666E">
        <w:rPr>
          <w:noProof/>
        </w:rPr>
        <w:tab/>
      </w:r>
      <w:r w:rsidR="00410938" w:rsidRPr="00D207EA">
        <w:rPr>
          <w:noProof/>
        </w:rPr>
        <w:t>les problèmes ayant une incidence sur la performance du chapitre et les mesures prises pour y remédier; </w:t>
      </w:r>
    </w:p>
    <w:p w14:paraId="2FB40504" w14:textId="6AE00413" w:rsidR="00410938" w:rsidRPr="00D207EA" w:rsidRDefault="008D666E" w:rsidP="008D666E">
      <w:pPr>
        <w:pStyle w:val="Point10"/>
        <w:rPr>
          <w:noProof/>
        </w:rPr>
      </w:pPr>
      <w:r w:rsidRPr="008D666E">
        <w:rPr>
          <w:noProof/>
        </w:rPr>
        <w:t>(c)</w:t>
      </w:r>
      <w:r w:rsidRPr="008D666E">
        <w:rPr>
          <w:noProof/>
        </w:rPr>
        <w:tab/>
      </w:r>
      <w:r w:rsidR="00410938" w:rsidRPr="00D207EA">
        <w:rPr>
          <w:noProof/>
        </w:rPr>
        <w:t>le respect des conditions horizontales relatives à l’état de droit et à la charte énoncées aux articles 8 et 9 [Conditions horizontales relatives à l’état de droit et à la charte] et leur application tout au long de la période de programmation;</w:t>
      </w:r>
    </w:p>
    <w:p w14:paraId="28313203" w14:textId="34A2F6BA" w:rsidR="00410938" w:rsidRPr="00D207EA" w:rsidRDefault="008D666E" w:rsidP="008D666E">
      <w:pPr>
        <w:pStyle w:val="Point10"/>
        <w:rPr>
          <w:noProof/>
        </w:rPr>
      </w:pPr>
      <w:r w:rsidRPr="008D666E">
        <w:rPr>
          <w:noProof/>
        </w:rPr>
        <w:t>(d)</w:t>
      </w:r>
      <w:r w:rsidRPr="008D666E">
        <w:rPr>
          <w:noProof/>
        </w:rPr>
        <w:tab/>
      </w:r>
      <w:r w:rsidR="00410938" w:rsidRPr="00D207EA">
        <w:rPr>
          <w:noProof/>
        </w:rPr>
        <w:t>les progrès accomplis en ce qui concerne la réalisation des évaluations et des synthèses des évaluations, ainsi que les suites données aux constatations;  </w:t>
      </w:r>
    </w:p>
    <w:p w14:paraId="0258627A" w14:textId="75897037" w:rsidR="00410938" w:rsidRPr="00D207EA" w:rsidRDefault="008D666E" w:rsidP="008D666E">
      <w:pPr>
        <w:pStyle w:val="Point10"/>
        <w:rPr>
          <w:noProof/>
        </w:rPr>
      </w:pPr>
      <w:r w:rsidRPr="008D666E">
        <w:rPr>
          <w:noProof/>
        </w:rPr>
        <w:t>(e)</w:t>
      </w:r>
      <w:r w:rsidRPr="008D666E">
        <w:rPr>
          <w:noProof/>
        </w:rPr>
        <w:tab/>
      </w:r>
      <w:r w:rsidR="00410938" w:rsidRPr="00D207EA">
        <w:rPr>
          <w:noProof/>
        </w:rPr>
        <w:t>la mise en œuvre d’actions d’information, de communication et de visibilité en ce qui concerne les réformes et les investissements ainsi que les autres interventions prévues dans le chapitre;  </w:t>
      </w:r>
    </w:p>
    <w:p w14:paraId="13C69D71" w14:textId="66D78801" w:rsidR="00410938" w:rsidRPr="00D207EA" w:rsidRDefault="008D666E" w:rsidP="008D666E">
      <w:pPr>
        <w:pStyle w:val="Point10"/>
        <w:rPr>
          <w:noProof/>
        </w:rPr>
      </w:pPr>
      <w:r w:rsidRPr="008D666E">
        <w:rPr>
          <w:noProof/>
        </w:rPr>
        <w:t>(f)</w:t>
      </w:r>
      <w:r w:rsidRPr="008D666E">
        <w:rPr>
          <w:noProof/>
        </w:rPr>
        <w:tab/>
      </w:r>
      <w:r w:rsidR="00410938" w:rsidRPr="00D207EA">
        <w:rPr>
          <w:noProof/>
        </w:rPr>
        <w:t>les progrès en matière de renforcement des capacités administratives des institutions publiques, des partenaires et des bénéficiaires, le cas échéant; </w:t>
      </w:r>
    </w:p>
    <w:p w14:paraId="4592B798" w14:textId="5DA039D5" w:rsidR="00410938" w:rsidRPr="00D207EA" w:rsidRDefault="008D666E" w:rsidP="008D666E">
      <w:pPr>
        <w:pStyle w:val="Point10"/>
        <w:rPr>
          <w:noProof/>
        </w:rPr>
      </w:pPr>
      <w:r w:rsidRPr="008D666E">
        <w:rPr>
          <w:noProof/>
        </w:rPr>
        <w:t>(g)</w:t>
      </w:r>
      <w:r w:rsidRPr="008D666E">
        <w:rPr>
          <w:noProof/>
        </w:rPr>
        <w:tab/>
      </w:r>
      <w:r w:rsidR="00E9440C" w:rsidRPr="00D207EA">
        <w:rPr>
          <w:noProof/>
        </w:rPr>
        <w:t>le fonctionnement efficace du partenariat en ce qui concerne le ou les chapitres du plan dont il a la charge.</w:t>
      </w:r>
    </w:p>
    <w:p w14:paraId="289A0DE6" w14:textId="77777777" w:rsidR="00410938" w:rsidRPr="00D207EA" w:rsidRDefault="00410938" w:rsidP="00C21519">
      <w:pPr>
        <w:pStyle w:val="NumPar10000000"/>
        <w:numPr>
          <w:ilvl w:val="0"/>
          <w:numId w:val="82"/>
        </w:numPr>
        <w:rPr>
          <w:noProof/>
        </w:rPr>
      </w:pPr>
      <w:r w:rsidRPr="00D207EA">
        <w:rPr>
          <w:noProof/>
        </w:rPr>
        <w:t>Le comité de suivi approuve pour le ou les chapitres sous sa responsabilité:  </w:t>
      </w:r>
    </w:p>
    <w:p w14:paraId="3913F590" w14:textId="6827E59A" w:rsidR="00410938" w:rsidRPr="00D207EA" w:rsidRDefault="008D666E" w:rsidP="008D666E">
      <w:pPr>
        <w:pStyle w:val="Point10"/>
        <w:rPr>
          <w:noProof/>
        </w:rPr>
      </w:pPr>
      <w:r w:rsidRPr="008D666E">
        <w:rPr>
          <w:noProof/>
        </w:rPr>
        <w:t>(a)</w:t>
      </w:r>
      <w:r w:rsidRPr="008D666E">
        <w:rPr>
          <w:noProof/>
        </w:rPr>
        <w:tab/>
      </w:r>
      <w:r w:rsidR="00410938" w:rsidRPr="00D207EA">
        <w:rPr>
          <w:noProof/>
        </w:rPr>
        <w:t>toute proposition de modification de celui-ci ou de ceux-ci, à l’exception des modifications conformément à l’article 34 [actions de l’Union, Facilité de l’UE];</w:t>
      </w:r>
    </w:p>
    <w:p w14:paraId="4DC07A51" w14:textId="426CEF5F" w:rsidR="00410938" w:rsidRPr="00D207EA" w:rsidRDefault="008D666E" w:rsidP="008D666E">
      <w:pPr>
        <w:pStyle w:val="Point10"/>
        <w:rPr>
          <w:noProof/>
        </w:rPr>
      </w:pPr>
      <w:r w:rsidRPr="008D666E">
        <w:rPr>
          <w:noProof/>
        </w:rPr>
        <w:t>(b)</w:t>
      </w:r>
      <w:r w:rsidRPr="008D666E">
        <w:rPr>
          <w:noProof/>
        </w:rPr>
        <w:tab/>
      </w:r>
      <w:r w:rsidR="00410938" w:rsidRPr="00D207EA">
        <w:rPr>
          <w:noProof/>
        </w:rPr>
        <w:t>la méthode, les critères et les procédures de sélection des opérations, ainsi que toute modification de ceux-ci. Les critères appliqués et les procédures utilisées sont non discriminatoires, inclusifs et transparents, garantissent l’accessibilité aux personnes handicapées, assurent l’égalité de genre et tiennent compte de la charte des droits fondamentaux de l’Union européenne;</w:t>
      </w:r>
    </w:p>
    <w:p w14:paraId="6C214991" w14:textId="40BD8A3C" w:rsidR="00410938" w:rsidRPr="00D207EA" w:rsidRDefault="008D666E" w:rsidP="008D666E">
      <w:pPr>
        <w:pStyle w:val="Point10"/>
        <w:rPr>
          <w:noProof/>
        </w:rPr>
      </w:pPr>
      <w:r w:rsidRPr="008D666E">
        <w:rPr>
          <w:noProof/>
        </w:rPr>
        <w:t>(c)</w:t>
      </w:r>
      <w:r w:rsidRPr="008D666E">
        <w:rPr>
          <w:noProof/>
        </w:rPr>
        <w:tab/>
      </w:r>
      <w:r w:rsidR="00410938" w:rsidRPr="00D207EA">
        <w:rPr>
          <w:noProof/>
        </w:rPr>
        <w:t>la feuille de route d’évaluation et toute modification de celle-ci;</w:t>
      </w:r>
    </w:p>
    <w:p w14:paraId="54103F34" w14:textId="098EA787" w:rsidR="00410938" w:rsidRPr="00D207EA" w:rsidRDefault="008D666E" w:rsidP="008D666E">
      <w:pPr>
        <w:pStyle w:val="Point10"/>
        <w:rPr>
          <w:noProof/>
        </w:rPr>
      </w:pPr>
      <w:r w:rsidRPr="008D666E">
        <w:rPr>
          <w:noProof/>
        </w:rPr>
        <w:t>(d)</w:t>
      </w:r>
      <w:r w:rsidRPr="008D666E">
        <w:rPr>
          <w:noProof/>
        </w:rPr>
        <w:tab/>
      </w:r>
      <w:r w:rsidR="00410938" w:rsidRPr="00D207EA">
        <w:rPr>
          <w:noProof/>
        </w:rPr>
        <w:t>la stratégie de communication;</w:t>
      </w:r>
    </w:p>
    <w:p w14:paraId="0E558DBA" w14:textId="480882CC" w:rsidR="00410938" w:rsidRPr="00D207EA" w:rsidRDefault="008D666E" w:rsidP="008D666E">
      <w:pPr>
        <w:pStyle w:val="Point10"/>
        <w:rPr>
          <w:noProof/>
        </w:rPr>
      </w:pPr>
      <w:r w:rsidRPr="008D666E">
        <w:rPr>
          <w:noProof/>
        </w:rPr>
        <w:t>(e)</w:t>
      </w:r>
      <w:r w:rsidRPr="008D666E">
        <w:rPr>
          <w:noProof/>
        </w:rPr>
        <w:tab/>
      </w:r>
      <w:r w:rsidR="00410938" w:rsidRPr="00D207EA">
        <w:rPr>
          <w:noProof/>
        </w:rPr>
        <w:t>les stratégies de développement territorial.</w:t>
      </w:r>
    </w:p>
    <w:p w14:paraId="032AD843" w14:textId="204A51A0" w:rsidR="00410938" w:rsidRPr="00D207EA" w:rsidRDefault="00410938" w:rsidP="00C21519">
      <w:pPr>
        <w:pStyle w:val="NumPar10000000"/>
        <w:numPr>
          <w:ilvl w:val="0"/>
          <w:numId w:val="82"/>
        </w:numPr>
        <w:rPr>
          <w:noProof/>
        </w:rPr>
      </w:pPr>
      <w:r w:rsidRPr="00D207EA">
        <w:rPr>
          <w:noProof/>
        </w:rPr>
        <w:t>Le comité de coordination examine et approuve les mêmes éléments que ceux mentionnés au paragraphe précédent, mais au niveau du plan. En cas d’avis divergents, l’avis du comité de suivi responsable du chapitre prévaut.</w:t>
      </w:r>
    </w:p>
    <w:p w14:paraId="1DB744F4" w14:textId="0D970A6F" w:rsidR="009E129B" w:rsidRPr="00D207EA" w:rsidRDefault="00410938" w:rsidP="00C21519">
      <w:pPr>
        <w:pStyle w:val="NumPar10000000"/>
        <w:numPr>
          <w:ilvl w:val="0"/>
          <w:numId w:val="82"/>
        </w:numPr>
        <w:rPr>
          <w:noProof/>
        </w:rPr>
      </w:pPr>
      <w:r w:rsidRPr="00D207EA">
        <w:rPr>
          <w:noProof/>
        </w:rPr>
        <w:t>En cas de retards ou de difficultés dans la mise en œuvre des différents chapitres du plan, le comité de coordination peut adresser des recommandations aux autorités qui gèrent les chapitres du plan afin d’améliorer l’efficacité de ces chapitres dans la réalisation de leurs objectifs, y compris les mesures correctives à prendre par les autorités.</w:t>
      </w:r>
    </w:p>
    <w:p w14:paraId="1ADD0A7B" w14:textId="77777777" w:rsidR="00670CA6" w:rsidRPr="00D207EA" w:rsidRDefault="00670CA6" w:rsidP="006125B0">
      <w:pPr>
        <w:pStyle w:val="Titrearticle"/>
        <w:rPr>
          <w:b/>
          <w:noProof/>
        </w:rPr>
      </w:pPr>
      <w:r w:rsidRPr="00D207EA">
        <w:rPr>
          <w:noProof/>
        </w:rPr>
        <w:t>Article 57</w:t>
      </w:r>
      <w:r w:rsidRPr="00D207EA">
        <w:rPr>
          <w:noProof/>
        </w:rPr>
        <w:br/>
      </w:r>
      <w:r w:rsidRPr="00D207EA">
        <w:rPr>
          <w:b/>
          <w:noProof/>
        </w:rPr>
        <w:t>Réseaux nationaux de la PAC et réseau européen de la PAC</w:t>
      </w:r>
    </w:p>
    <w:p w14:paraId="2CE7BFE4" w14:textId="77777777" w:rsidR="00045B7D" w:rsidRPr="00D207EA" w:rsidRDefault="00F36AD5" w:rsidP="00C21519">
      <w:pPr>
        <w:pStyle w:val="NumPar10000000"/>
        <w:numPr>
          <w:ilvl w:val="0"/>
          <w:numId w:val="181"/>
        </w:numPr>
        <w:rPr>
          <w:noProof/>
        </w:rPr>
      </w:pPr>
      <w:r w:rsidRPr="00D207EA">
        <w:rPr>
          <w:noProof/>
        </w:rPr>
        <w:t>Au plus tard douze mois après l’approbation du plan par la Commission, chaque État membre établit et soutient un réseau national de la PAC (le «réseau national de la PAC») pour permettre le travail en réseau des organisations et des administrations, des conseillers, des chercheurs et des autres acteurs de l’innovation, ainsi que des autres protagonistes dans le domaine de l’agriculture et du développement rural au niveau national. Les réseaux nationaux de la PAC s’appuient sur l’expérience et les pratiques en matière de travail en réseau existant dans les États membres.</w:t>
      </w:r>
    </w:p>
    <w:p w14:paraId="51B951F0" w14:textId="77777777" w:rsidR="007C51E8" w:rsidRPr="00D207EA" w:rsidRDefault="007451EE" w:rsidP="00C21519">
      <w:pPr>
        <w:pStyle w:val="NumPar10000000"/>
        <w:numPr>
          <w:ilvl w:val="0"/>
          <w:numId w:val="181"/>
        </w:numPr>
        <w:rPr>
          <w:noProof/>
        </w:rPr>
      </w:pPr>
      <w:r w:rsidRPr="00D207EA">
        <w:rPr>
          <w:noProof/>
        </w:rPr>
        <w:t>La Commission établit un réseau européen de la politique agricole commune (le «réseau européen de la PAC») pour relier les réseaux nationaux, les organisations et les administrations dans le domaine de l’agriculture et du développement rural au niveau de l’Union.</w:t>
      </w:r>
    </w:p>
    <w:p w14:paraId="4D89424C" w14:textId="77777777" w:rsidR="007C51E8" w:rsidRPr="00D207EA" w:rsidRDefault="007C51E8" w:rsidP="00C21519">
      <w:pPr>
        <w:pStyle w:val="NumPar10000000"/>
        <w:numPr>
          <w:ilvl w:val="0"/>
          <w:numId w:val="82"/>
        </w:numPr>
        <w:rPr>
          <w:noProof/>
        </w:rPr>
      </w:pPr>
      <w:r w:rsidRPr="00D207EA">
        <w:rPr>
          <w:noProof/>
        </w:rPr>
        <w:t>Les objectifs des réseaux nationaux de la PAC et du réseau européen de la PAC sont les suivants: </w:t>
      </w:r>
    </w:p>
    <w:p w14:paraId="25C13CD8" w14:textId="17558CD5" w:rsidR="007C51E8" w:rsidRPr="00D207EA" w:rsidRDefault="008D666E" w:rsidP="008D666E">
      <w:pPr>
        <w:pStyle w:val="Point10"/>
        <w:rPr>
          <w:noProof/>
        </w:rPr>
      </w:pPr>
      <w:r w:rsidRPr="008D666E">
        <w:rPr>
          <w:noProof/>
        </w:rPr>
        <w:t>(a)</w:t>
      </w:r>
      <w:r w:rsidRPr="008D666E">
        <w:rPr>
          <w:noProof/>
        </w:rPr>
        <w:tab/>
      </w:r>
      <w:r w:rsidR="007C51E8" w:rsidRPr="00D207EA">
        <w:rPr>
          <w:noProof/>
        </w:rPr>
        <w:t>associer les parties prenantes à la conception et à la mise en œuvre des interventions au titre de la PAC du plan PNR; </w:t>
      </w:r>
    </w:p>
    <w:p w14:paraId="0147FF24" w14:textId="13AE0DD6" w:rsidR="007C51E8" w:rsidRPr="00D207EA" w:rsidRDefault="008D666E" w:rsidP="008D666E">
      <w:pPr>
        <w:pStyle w:val="Point10"/>
        <w:rPr>
          <w:noProof/>
        </w:rPr>
      </w:pPr>
      <w:r w:rsidRPr="008D666E">
        <w:rPr>
          <w:noProof/>
        </w:rPr>
        <w:t>(b)</w:t>
      </w:r>
      <w:r w:rsidRPr="008D666E">
        <w:rPr>
          <w:noProof/>
        </w:rPr>
        <w:tab/>
      </w:r>
      <w:r w:rsidR="007C51E8" w:rsidRPr="00D207EA">
        <w:rPr>
          <w:noProof/>
        </w:rPr>
        <w:t>soutenir les administrations des États membres dans la mise en œuvre des interventions au titre de la PAC; </w:t>
      </w:r>
    </w:p>
    <w:p w14:paraId="4213C54B" w14:textId="6A3523DF" w:rsidR="007C51E8" w:rsidRPr="00D207EA" w:rsidRDefault="008D666E" w:rsidP="008D666E">
      <w:pPr>
        <w:pStyle w:val="Point10"/>
        <w:rPr>
          <w:noProof/>
        </w:rPr>
      </w:pPr>
      <w:r w:rsidRPr="008D666E">
        <w:rPr>
          <w:noProof/>
        </w:rPr>
        <w:t>(c)</w:t>
      </w:r>
      <w:r w:rsidRPr="008D666E">
        <w:rPr>
          <w:noProof/>
        </w:rPr>
        <w:tab/>
      </w:r>
      <w:r w:rsidR="007C51E8" w:rsidRPr="00D207EA">
        <w:rPr>
          <w:noProof/>
        </w:rPr>
        <w:t>améliorer la qualité des plans PNR et en particulier des mesures liées à l’agriculture, et diffuser leurs résultats; </w:t>
      </w:r>
    </w:p>
    <w:p w14:paraId="0B84B773" w14:textId="22AD3774" w:rsidR="007C51E8" w:rsidRPr="00D207EA" w:rsidRDefault="008D666E" w:rsidP="008D666E">
      <w:pPr>
        <w:pStyle w:val="Point10"/>
        <w:rPr>
          <w:noProof/>
        </w:rPr>
      </w:pPr>
      <w:r w:rsidRPr="008D666E">
        <w:rPr>
          <w:noProof/>
        </w:rPr>
        <w:t>(d)</w:t>
      </w:r>
      <w:r w:rsidRPr="008D666E">
        <w:rPr>
          <w:noProof/>
        </w:rPr>
        <w:tab/>
      </w:r>
      <w:r w:rsidR="007C51E8" w:rsidRPr="00D207EA">
        <w:rPr>
          <w:noProof/>
        </w:rPr>
        <w:t>favoriser l’innovation, l’apprentissage collégial et le partage des connaissances; </w:t>
      </w:r>
    </w:p>
    <w:p w14:paraId="7D7E769D" w14:textId="5D5BB7F6" w:rsidR="007C51E8" w:rsidRPr="00D207EA" w:rsidRDefault="008D666E" w:rsidP="008D666E">
      <w:pPr>
        <w:pStyle w:val="Point10"/>
        <w:rPr>
          <w:noProof/>
        </w:rPr>
      </w:pPr>
      <w:r w:rsidRPr="008D666E">
        <w:rPr>
          <w:noProof/>
        </w:rPr>
        <w:t>(e)</w:t>
      </w:r>
      <w:r w:rsidRPr="008D666E">
        <w:rPr>
          <w:noProof/>
        </w:rPr>
        <w:tab/>
      </w:r>
      <w:r w:rsidR="007C51E8" w:rsidRPr="00D207EA">
        <w:rPr>
          <w:noProof/>
        </w:rPr>
        <w:t>renforcer les capacités de suivi et d’évaluation; </w:t>
      </w:r>
    </w:p>
    <w:p w14:paraId="77995BF1" w14:textId="63BCCEF0" w:rsidR="007C51E8" w:rsidRPr="00D207EA" w:rsidRDefault="008D666E" w:rsidP="008D666E">
      <w:pPr>
        <w:pStyle w:val="Point10"/>
        <w:rPr>
          <w:noProof/>
        </w:rPr>
      </w:pPr>
      <w:r w:rsidRPr="008D666E">
        <w:rPr>
          <w:noProof/>
        </w:rPr>
        <w:t>(f)</w:t>
      </w:r>
      <w:r w:rsidRPr="008D666E">
        <w:rPr>
          <w:noProof/>
        </w:rPr>
        <w:tab/>
      </w:r>
      <w:r w:rsidR="007C51E8" w:rsidRPr="00D207EA">
        <w:rPr>
          <w:noProof/>
        </w:rPr>
        <w:t>diffuser des informations sur la PAC et les possibilités de financement; </w:t>
      </w:r>
    </w:p>
    <w:p w14:paraId="516936F1" w14:textId="00D76EA8" w:rsidR="00D939BF" w:rsidRPr="00D207EA" w:rsidRDefault="008D666E" w:rsidP="008D666E">
      <w:pPr>
        <w:pStyle w:val="Point10"/>
        <w:rPr>
          <w:noProof/>
        </w:rPr>
      </w:pPr>
      <w:r w:rsidRPr="008D666E">
        <w:rPr>
          <w:noProof/>
        </w:rPr>
        <w:t>(g)</w:t>
      </w:r>
      <w:r w:rsidRPr="008D666E">
        <w:rPr>
          <w:noProof/>
        </w:rPr>
        <w:tab/>
      </w:r>
      <w:r w:rsidR="007C51E8" w:rsidRPr="00D207EA">
        <w:rPr>
          <w:noProof/>
        </w:rPr>
        <w:t>contribuer au développement de la PAC.</w:t>
      </w:r>
    </w:p>
    <w:p w14:paraId="4C6DA845" w14:textId="3B83D27E" w:rsidR="00D939BF" w:rsidRPr="00D207EA" w:rsidRDefault="00D939BF" w:rsidP="00C21519">
      <w:pPr>
        <w:pStyle w:val="NumPar10000000"/>
        <w:numPr>
          <w:ilvl w:val="0"/>
          <w:numId w:val="82"/>
        </w:numPr>
        <w:rPr>
          <w:noProof/>
        </w:rPr>
      </w:pPr>
      <w:r w:rsidRPr="00D207EA">
        <w:rPr>
          <w:noProof/>
        </w:rPr>
        <w:t>Pour atteindre les objectifs visés au paragraphe 6, les réseaux: </w:t>
      </w:r>
    </w:p>
    <w:p w14:paraId="25DD4E69" w14:textId="21778288" w:rsidR="00D939BF" w:rsidRPr="00D207EA" w:rsidRDefault="008D666E" w:rsidP="008D666E">
      <w:pPr>
        <w:pStyle w:val="Point10"/>
        <w:rPr>
          <w:noProof/>
        </w:rPr>
      </w:pPr>
      <w:r w:rsidRPr="008D666E">
        <w:rPr>
          <w:noProof/>
        </w:rPr>
        <w:t>(a)</w:t>
      </w:r>
      <w:r w:rsidRPr="008D666E">
        <w:rPr>
          <w:noProof/>
        </w:rPr>
        <w:tab/>
      </w:r>
      <w:r w:rsidR="00D939BF" w:rsidRPr="00D207EA">
        <w:rPr>
          <w:noProof/>
        </w:rPr>
        <w:t>collectent, analysent et diffusent des informations sur les bonnes pratiques concernant la PAC ainsi que des analyses sur l’évolution de l’agriculture et des zones rurales; </w:t>
      </w:r>
    </w:p>
    <w:p w14:paraId="3615E8D6" w14:textId="7A622021" w:rsidR="00D939BF" w:rsidRPr="00D207EA" w:rsidRDefault="008D666E" w:rsidP="008D666E">
      <w:pPr>
        <w:pStyle w:val="Point10"/>
        <w:rPr>
          <w:noProof/>
        </w:rPr>
      </w:pPr>
      <w:r w:rsidRPr="008D666E">
        <w:rPr>
          <w:noProof/>
        </w:rPr>
        <w:t>(b)</w:t>
      </w:r>
      <w:r w:rsidRPr="008D666E">
        <w:rPr>
          <w:noProof/>
        </w:rPr>
        <w:tab/>
      </w:r>
      <w:r w:rsidR="00D939BF" w:rsidRPr="00D207EA">
        <w:rPr>
          <w:noProof/>
        </w:rPr>
        <w:t>renforcent les capacités des administrations des États membres et des autres acteurs impliqués dans la mise en œuvre, le suivi et l’évaluation des plans PNR en ce qui concerne la PAC; </w:t>
      </w:r>
    </w:p>
    <w:p w14:paraId="019239A8" w14:textId="36D3E76D" w:rsidR="00D939BF" w:rsidRPr="00D207EA" w:rsidRDefault="008D666E" w:rsidP="008D666E">
      <w:pPr>
        <w:pStyle w:val="Point10"/>
        <w:rPr>
          <w:noProof/>
        </w:rPr>
      </w:pPr>
      <w:r w:rsidRPr="008D666E">
        <w:rPr>
          <w:noProof/>
        </w:rPr>
        <w:t>(c)</w:t>
      </w:r>
      <w:r w:rsidRPr="008D666E">
        <w:rPr>
          <w:noProof/>
        </w:rPr>
        <w:tab/>
      </w:r>
      <w:r w:rsidR="00D939BF" w:rsidRPr="00D207EA">
        <w:rPr>
          <w:noProof/>
        </w:rPr>
        <w:t>facilitent les échanges, l’apprentissage collégial et le travail en réseau, y compris, le cas échéant, les échanges avec des réseaux de pays tiers; </w:t>
      </w:r>
    </w:p>
    <w:p w14:paraId="61BA8253" w14:textId="685F9B40" w:rsidR="00831110" w:rsidRPr="00D207EA" w:rsidRDefault="008D666E" w:rsidP="008D666E">
      <w:pPr>
        <w:pStyle w:val="Point10"/>
        <w:rPr>
          <w:noProof/>
        </w:rPr>
      </w:pPr>
      <w:r w:rsidRPr="008D666E">
        <w:rPr>
          <w:noProof/>
        </w:rPr>
        <w:t>(d)</w:t>
      </w:r>
      <w:r w:rsidRPr="008D666E">
        <w:rPr>
          <w:noProof/>
        </w:rPr>
        <w:tab/>
      </w:r>
      <w:r w:rsidR="00D939BF" w:rsidRPr="00D207EA">
        <w:rPr>
          <w:noProof/>
        </w:rPr>
        <w:t xml:space="preserve">soutiennent le travail en réseau des projets de coopération financés, tels que les groupes d’action locale au titre de l’article 77 </w:t>
      </w:r>
      <w:r w:rsidR="00D939BF" w:rsidRPr="00D207EA">
        <w:rPr>
          <w:i/>
          <w:noProof/>
        </w:rPr>
        <w:t>[LEADER],</w:t>
      </w:r>
      <w:r w:rsidR="00D939BF" w:rsidRPr="00D207EA">
        <w:rPr>
          <w:noProof/>
        </w:rPr>
        <w:t xml:space="preserve"> les groupes opérationnels du PEI-AGRI visés à l’article 19 du règlement (UE) 202X/XXXX [règlement relatif à la PAC] et tissent des liens avec d’autres stratégies financées par l’Union.</w:t>
      </w:r>
    </w:p>
    <w:p w14:paraId="4B268F02" w14:textId="4B2EF221" w:rsidR="006653B7" w:rsidRPr="00D207EA" w:rsidRDefault="00831110" w:rsidP="00C21519">
      <w:pPr>
        <w:pStyle w:val="NumPar10000000"/>
        <w:numPr>
          <w:ilvl w:val="0"/>
          <w:numId w:val="82"/>
        </w:numPr>
        <w:rPr>
          <w:noProof/>
        </w:rPr>
      </w:pPr>
      <w:r w:rsidRPr="00D207EA">
        <w:rPr>
          <w:noProof/>
        </w:rPr>
        <w:t>Le réseau européen de la PAC et les réseaux nationaux de la PAC collaborent et mènent des activités conjointes en vue de la réalisation des objectifs visés au paragraphe 3. Le réseau européen de la PAC utilise une identité visuelle distinctive.</w:t>
      </w:r>
    </w:p>
    <w:p w14:paraId="21491167" w14:textId="77777777" w:rsidR="00410938" w:rsidRPr="00D207EA" w:rsidRDefault="00410938" w:rsidP="00410938">
      <w:pPr>
        <w:pStyle w:val="SectionTitle"/>
        <w:rPr>
          <w:noProof/>
        </w:rPr>
      </w:pPr>
      <w:r w:rsidRPr="00D207EA">
        <w:rPr>
          <w:noProof/>
        </w:rPr>
        <w:t>TITRE X</w:t>
      </w:r>
      <w:r w:rsidRPr="00D207EA">
        <w:rPr>
          <w:noProof/>
        </w:rPr>
        <w:br/>
        <w:t>RÈGLES FINANCIÈRES ET DE GESTION</w:t>
      </w:r>
    </w:p>
    <w:p w14:paraId="0B2D4F73" w14:textId="77777777" w:rsidR="00410938" w:rsidRPr="00D207EA" w:rsidRDefault="00410938" w:rsidP="00410938">
      <w:pPr>
        <w:pStyle w:val="ChapterTitle0"/>
        <w:rPr>
          <w:noProof/>
        </w:rPr>
      </w:pPr>
      <w:r w:rsidRPr="00D207EA">
        <w:rPr>
          <w:noProof/>
        </w:rPr>
        <w:t>CHAPITRE I</w:t>
      </w:r>
      <w:r w:rsidRPr="00D207EA">
        <w:rPr>
          <w:noProof/>
        </w:rPr>
        <w:br/>
        <w:t>Règles générales de gestion</w:t>
      </w:r>
    </w:p>
    <w:p w14:paraId="644D96A3" w14:textId="77777777" w:rsidR="00410938" w:rsidRPr="00D207EA" w:rsidRDefault="00410938" w:rsidP="00410938">
      <w:pPr>
        <w:pStyle w:val="Titrearticle"/>
        <w:rPr>
          <w:b/>
          <w:noProof/>
        </w:rPr>
      </w:pPr>
      <w:r w:rsidRPr="00D207EA">
        <w:rPr>
          <w:noProof/>
        </w:rPr>
        <w:t>Article 58</w:t>
      </w:r>
      <w:r w:rsidRPr="00D207EA">
        <w:rPr>
          <w:noProof/>
        </w:rPr>
        <w:br/>
      </w:r>
      <w:r w:rsidRPr="00D207EA">
        <w:rPr>
          <w:b/>
          <w:noProof/>
        </w:rPr>
        <w:t>Responsabilités incombant aux États membres</w:t>
      </w:r>
    </w:p>
    <w:p w14:paraId="0F98DD55" w14:textId="630BCB54" w:rsidR="00410938" w:rsidRPr="00D207EA" w:rsidRDefault="00410938" w:rsidP="00C21519">
      <w:pPr>
        <w:pStyle w:val="NumPar10000000"/>
        <w:numPr>
          <w:ilvl w:val="0"/>
          <w:numId w:val="85"/>
        </w:numPr>
        <w:rPr>
          <w:noProof/>
        </w:rPr>
      </w:pPr>
      <w:r w:rsidRPr="00D207EA">
        <w:rPr>
          <w:noProof/>
        </w:rPr>
        <w:t>Les États membres prennent les mesures appropriées pour protéger les intérêts financiers de l’Union et veiller à ce que l’utilisation des fonds dans le cadre de la mise en œuvre des plans soit conforme à la législation applicable, y compris les règles applicables en matière de passation de marchés publics et d’aides d’État. Ils veillent notamment à la prévention, à la détection, à la correction et à la communication des irrégularités, y compris la fraude, la corruption et les conflits d’intérêts.</w:t>
      </w:r>
    </w:p>
    <w:p w14:paraId="766FD1DA" w14:textId="01392E1D" w:rsidR="00410938" w:rsidRPr="00D207EA" w:rsidRDefault="00410938" w:rsidP="00C21519">
      <w:pPr>
        <w:pStyle w:val="NumPar10000000"/>
        <w:numPr>
          <w:ilvl w:val="0"/>
          <w:numId w:val="82"/>
        </w:numPr>
        <w:rPr>
          <w:noProof/>
        </w:rPr>
      </w:pPr>
      <w:r w:rsidRPr="00D207EA">
        <w:rPr>
          <w:noProof/>
        </w:rPr>
        <w:t>Aux fins du paragraphe 1, les États membres:</w:t>
      </w:r>
    </w:p>
    <w:p w14:paraId="3AD29F71" w14:textId="0F526E56" w:rsidR="00410938" w:rsidRPr="00D207EA" w:rsidRDefault="008D666E" w:rsidP="008D666E">
      <w:pPr>
        <w:pStyle w:val="Point10"/>
        <w:rPr>
          <w:noProof/>
        </w:rPr>
      </w:pPr>
      <w:r w:rsidRPr="008D666E">
        <w:rPr>
          <w:noProof/>
        </w:rPr>
        <w:t>(a)</w:t>
      </w:r>
      <w:r w:rsidRPr="008D666E">
        <w:rPr>
          <w:noProof/>
        </w:rPr>
        <w:tab/>
      </w:r>
      <w:r w:rsidR="00410938" w:rsidRPr="00D207EA">
        <w:rPr>
          <w:noProof/>
        </w:rPr>
        <w:t>mettent en place des systèmes de gestion et de contrôle efficaces et efficients pour leurs plans, conformément aux exigences clés énoncées à l’annexe IV, et veillent à leur bon fonctionnement conformément au principe de bonne gestion financière; </w:t>
      </w:r>
    </w:p>
    <w:p w14:paraId="3D3B86A5" w14:textId="532A0D70" w:rsidR="00410938" w:rsidRPr="00D207EA" w:rsidRDefault="008D666E" w:rsidP="008D666E">
      <w:pPr>
        <w:pStyle w:val="Point10"/>
        <w:rPr>
          <w:noProof/>
        </w:rPr>
      </w:pPr>
      <w:r w:rsidRPr="008D666E">
        <w:rPr>
          <w:noProof/>
        </w:rPr>
        <w:t>(b)</w:t>
      </w:r>
      <w:r w:rsidRPr="008D666E">
        <w:rPr>
          <w:noProof/>
        </w:rPr>
        <w:tab/>
      </w:r>
      <w:r w:rsidR="00410938" w:rsidRPr="00D207EA">
        <w:rPr>
          <w:noProof/>
        </w:rPr>
        <w:t>s’assurent et vérifient régulièrement que l’aide fournie a été correctement utilisée pour atteindre les valeurs intermédiaires et les valeurs cibles ou produire les résultats fixés et prennent toutes les mesures appropriées pour garantir que l’utilisation des fonds dans le cadre de la mise en œuvre des plans est conforme à la législation applicable; </w:t>
      </w:r>
    </w:p>
    <w:p w14:paraId="2FA9448E" w14:textId="50F1467D" w:rsidR="00410938" w:rsidRPr="00D207EA" w:rsidRDefault="008D666E" w:rsidP="008D666E">
      <w:pPr>
        <w:pStyle w:val="Point10"/>
        <w:rPr>
          <w:noProof/>
        </w:rPr>
      </w:pPr>
      <w:r w:rsidRPr="008D666E">
        <w:rPr>
          <w:noProof/>
        </w:rPr>
        <w:t>(c)</w:t>
      </w:r>
      <w:r w:rsidRPr="008D666E">
        <w:rPr>
          <w:noProof/>
        </w:rPr>
        <w:tab/>
      </w:r>
      <w:r w:rsidR="00410938" w:rsidRPr="00D207EA">
        <w:rPr>
          <w:noProof/>
        </w:rPr>
        <w:t xml:space="preserve">prennent les mesures appropriées pour prévenir, détecter et corriger les irrégularités, y compris la fraude, la corruption et les conflits d’intérêts, </w:t>
      </w:r>
      <w:r w:rsidR="00410938" w:rsidRPr="00D207EA">
        <w:rPr>
          <w:noProof/>
          <w:u w:val="single"/>
        </w:rPr>
        <w:t>notamment par l’utilisation d’outils d’exploration de données</w:t>
      </w:r>
      <w:r w:rsidR="00410938" w:rsidRPr="00D207EA">
        <w:rPr>
          <w:noProof/>
        </w:rPr>
        <w:t>;</w:t>
      </w:r>
    </w:p>
    <w:p w14:paraId="0BB7C28C" w14:textId="3C70DD94" w:rsidR="00410938" w:rsidRPr="00D207EA" w:rsidRDefault="008D666E" w:rsidP="008D666E">
      <w:pPr>
        <w:pStyle w:val="Point10"/>
        <w:rPr>
          <w:noProof/>
        </w:rPr>
      </w:pPr>
      <w:r w:rsidRPr="008D666E">
        <w:rPr>
          <w:noProof/>
        </w:rPr>
        <w:t>(d)</w:t>
      </w:r>
      <w:r w:rsidRPr="008D666E">
        <w:rPr>
          <w:noProof/>
        </w:rPr>
        <w:tab/>
      </w:r>
      <w:r w:rsidR="00410938" w:rsidRPr="00D207EA">
        <w:rPr>
          <w:noProof/>
        </w:rPr>
        <w:t>appliquent des mesures correctives lorsque la législation applicable n’est pas respectée; </w:t>
      </w:r>
    </w:p>
    <w:p w14:paraId="23AF28DD" w14:textId="49CC449B" w:rsidR="00410938" w:rsidRPr="00D207EA" w:rsidRDefault="008D666E" w:rsidP="008D666E">
      <w:pPr>
        <w:pStyle w:val="Point10"/>
        <w:rPr>
          <w:noProof/>
        </w:rPr>
      </w:pPr>
      <w:r w:rsidRPr="008D666E">
        <w:rPr>
          <w:noProof/>
        </w:rPr>
        <w:t>(e)</w:t>
      </w:r>
      <w:r w:rsidRPr="008D666E">
        <w:rPr>
          <w:noProof/>
        </w:rPr>
        <w:tab/>
      </w:r>
      <w:r w:rsidR="00410938" w:rsidRPr="00D207EA">
        <w:rPr>
          <w:noProof/>
        </w:rPr>
        <w:t>veillent à éviter tout double financement à partir du budget de l’Union et prennent des mesures immédiates pour corriger toute situation de double financement en annulant les fonds les plus récents décidés pour l’opération concernée; </w:t>
      </w:r>
    </w:p>
    <w:p w14:paraId="11BF5C03" w14:textId="7D2D3161" w:rsidR="00410938" w:rsidRPr="00D207EA" w:rsidRDefault="008D666E" w:rsidP="008D666E">
      <w:pPr>
        <w:pStyle w:val="Point10"/>
        <w:rPr>
          <w:noProof/>
        </w:rPr>
      </w:pPr>
      <w:r w:rsidRPr="008D666E">
        <w:rPr>
          <w:noProof/>
        </w:rPr>
        <w:t>(f)</w:t>
      </w:r>
      <w:r w:rsidRPr="008D666E">
        <w:rPr>
          <w:noProof/>
        </w:rPr>
        <w:tab/>
      </w:r>
      <w:r w:rsidR="00410938" w:rsidRPr="00D207EA">
        <w:rPr>
          <w:noProof/>
        </w:rPr>
        <w:t>garantissent le respect des obligations énoncées à l’article 130 du règlement (UE, Euratom) 2024/2509;</w:t>
      </w:r>
    </w:p>
    <w:p w14:paraId="75399BA1" w14:textId="7B656DAB" w:rsidR="00410938" w:rsidRPr="00D207EA" w:rsidRDefault="008D666E" w:rsidP="008D666E">
      <w:pPr>
        <w:pStyle w:val="Point10"/>
        <w:rPr>
          <w:rFonts w:eastAsia="Times New Roman"/>
          <w:noProof/>
        </w:rPr>
      </w:pPr>
      <w:r w:rsidRPr="008D666E">
        <w:rPr>
          <w:noProof/>
        </w:rPr>
        <w:t>(g)</w:t>
      </w:r>
      <w:r w:rsidRPr="008D666E">
        <w:rPr>
          <w:noProof/>
        </w:rPr>
        <w:tab/>
      </w:r>
      <w:r w:rsidR="00410938" w:rsidRPr="00D207EA">
        <w:rPr>
          <w:noProof/>
        </w:rPr>
        <w:t>font en sorte que tous les cas présumés de fraude, de corruption et d’irrégularités, y compris les conflits d’intérêts, le double financement et les autres infractions à la législation applicable, soient signalés dans le système de gestion des irrégularités de la Commission; la Commission synthétise et publie chaque année ces informations, et les communique au Parlement européen;</w:t>
      </w:r>
    </w:p>
    <w:p w14:paraId="3E1466B3" w14:textId="6FED3DB6" w:rsidR="00410938" w:rsidRPr="00D207EA" w:rsidRDefault="008D666E" w:rsidP="008D666E">
      <w:pPr>
        <w:pStyle w:val="Point10"/>
        <w:rPr>
          <w:noProof/>
        </w:rPr>
      </w:pPr>
      <w:r w:rsidRPr="008D666E">
        <w:rPr>
          <w:noProof/>
        </w:rPr>
        <w:t>(h)</w:t>
      </w:r>
      <w:r w:rsidRPr="008D666E">
        <w:rPr>
          <w:noProof/>
        </w:rPr>
        <w:tab/>
      </w:r>
      <w:r w:rsidR="00410938" w:rsidRPr="00D207EA">
        <w:rPr>
          <w:noProof/>
        </w:rPr>
        <w:t>veillent à ce que la Commission, l’OLAF, la Cour des comptes et, dans le cas des États membres participant à une coopération renforcée en vertu du règlement (UE) 2017/1939, le Parquet européen:  </w:t>
      </w:r>
    </w:p>
    <w:p w14:paraId="2FB4BA91" w14:textId="3861F47C" w:rsidR="00410938" w:rsidRPr="00D207EA" w:rsidRDefault="00410938" w:rsidP="00C21519">
      <w:pPr>
        <w:pStyle w:val="Point2n"/>
        <w:numPr>
          <w:ilvl w:val="0"/>
          <w:numId w:val="64"/>
        </w:numPr>
        <w:spacing w:line="240" w:lineRule="auto"/>
        <w:jc w:val="both"/>
        <w:rPr>
          <w:noProof/>
        </w:rPr>
      </w:pPr>
      <w:r w:rsidRPr="00D207EA">
        <w:rPr>
          <w:noProof/>
        </w:rPr>
        <w:t>puissent exercer leurs compétences respectives comme prévu à l’article 129, paragraphe 1, du règlement (UE, Euratom) 2024/2509, y compris en exigeant expressément des destinataires des fonds de l’Union qu’ils fournissent ou garantissent les droits et l’accès nécessaires;</w:t>
      </w:r>
    </w:p>
    <w:p w14:paraId="436628D6" w14:textId="77777777" w:rsidR="00410938" w:rsidRPr="00D207EA" w:rsidRDefault="00410938" w:rsidP="00C21519">
      <w:pPr>
        <w:pStyle w:val="Point2n"/>
        <w:numPr>
          <w:ilvl w:val="0"/>
          <w:numId w:val="64"/>
        </w:numPr>
        <w:spacing w:line="240" w:lineRule="auto"/>
        <w:jc w:val="both"/>
        <w:rPr>
          <w:noProof/>
        </w:rPr>
      </w:pPr>
      <w:r w:rsidRPr="00D207EA">
        <w:rPr>
          <w:noProof/>
        </w:rPr>
        <w:t>aient accès aux données visées à l’article 63 [sur la collecte et la publication des données] dans le cadre de l’exercice de leurs compétences respectives;   </w:t>
      </w:r>
    </w:p>
    <w:p w14:paraId="4139839E" w14:textId="4C18D697" w:rsidR="00410938" w:rsidRPr="00D207EA" w:rsidRDefault="008D666E" w:rsidP="008D666E">
      <w:pPr>
        <w:pStyle w:val="Point10"/>
        <w:rPr>
          <w:noProof/>
        </w:rPr>
      </w:pPr>
      <w:r w:rsidRPr="008D666E">
        <w:rPr>
          <w:noProof/>
        </w:rPr>
        <w:t>(i)</w:t>
      </w:r>
      <w:r w:rsidRPr="008D666E">
        <w:rPr>
          <w:noProof/>
        </w:rPr>
        <w:tab/>
      </w:r>
      <w:r w:rsidR="00410938" w:rsidRPr="00D207EA">
        <w:rPr>
          <w:noProof/>
        </w:rPr>
        <w:t>mettent en place des systèmes et des procédures pour s’assurer que toutes les pièces justificatives nécessaires à la piste d’audit relative à une mesure soutenue par le Fonds soient conservées au niveau approprié pendant une période de 10 ans à compter du 31 décembre de l’année au cours de laquelle la Commission a effectué le dernier paiement à l’État membre; lorsqu’une procédure de recours a été engagée, qu’un appel a été interjeté ou qu’une procédure judiciaire a été entamée, les pièces justificatives sont conservées jusqu’à la clôture de ces procédures ou de toute procédure de recouvrement ultérieure;</w:t>
      </w:r>
    </w:p>
    <w:p w14:paraId="567B1120" w14:textId="5B40480C" w:rsidR="00410938" w:rsidRPr="00D207EA" w:rsidRDefault="008D666E" w:rsidP="008D666E">
      <w:pPr>
        <w:pStyle w:val="Point10"/>
        <w:rPr>
          <w:noProof/>
        </w:rPr>
      </w:pPr>
      <w:r w:rsidRPr="008D666E">
        <w:rPr>
          <w:noProof/>
        </w:rPr>
        <w:t>(j)</w:t>
      </w:r>
      <w:r w:rsidRPr="008D666E">
        <w:rPr>
          <w:noProof/>
        </w:rPr>
        <w:tab/>
      </w:r>
      <w:r w:rsidR="00410938" w:rsidRPr="00D207EA">
        <w:rPr>
          <w:noProof/>
        </w:rPr>
        <w:t>prennent des dispositions pour assurer l’examen effectif des plaintes concernant l’utilisation du Fonds, conformément à leur cadre institutionnel et juridique et, à la demande de la Commission, examinent les plaintes relevant du plan PNR soumises à la Commission et informent celle-ci des résultats de ces examens;</w:t>
      </w:r>
    </w:p>
    <w:p w14:paraId="4A4CD277" w14:textId="3E263807" w:rsidR="00410938" w:rsidRPr="00D207EA" w:rsidRDefault="008D666E" w:rsidP="008D666E">
      <w:pPr>
        <w:pStyle w:val="Point10"/>
        <w:rPr>
          <w:noProof/>
        </w:rPr>
      </w:pPr>
      <w:r w:rsidRPr="008D666E">
        <w:rPr>
          <w:noProof/>
        </w:rPr>
        <w:t>(k)</w:t>
      </w:r>
      <w:r w:rsidRPr="008D666E">
        <w:rPr>
          <w:noProof/>
        </w:rPr>
        <w:tab/>
      </w:r>
      <w:r w:rsidR="00410938" w:rsidRPr="00D207EA">
        <w:rPr>
          <w:noProof/>
        </w:rPr>
        <w:t>veillent à ce que tous les échanges d’informations entre les bénéficiaires du financement et les autorités du plan PNR, ainsi qu’avec la Commission, soient effectués au moyen de systèmes d’échange électronique de données qui comprennent, entre autres, l’utilisation de formulaires et de calculs automatiques et interactifs, garantissent la conservation et le stockage des données dans le système facilitant à la fois des vérifications administratives des demandes de paiement soumises par les bénéficiaires et des audits, et permettent la synchronisation et la transmission automatiques des données entre les systèmes des bénéficiaires et ceux des États membres;</w:t>
      </w:r>
    </w:p>
    <w:p w14:paraId="0032F0E8" w14:textId="06C4921E" w:rsidR="00410938" w:rsidRPr="00D207EA" w:rsidRDefault="008D666E" w:rsidP="008D666E">
      <w:pPr>
        <w:pStyle w:val="Point10"/>
        <w:rPr>
          <w:noProof/>
        </w:rPr>
      </w:pPr>
      <w:bookmarkStart w:id="12" w:name="_Hlk201151219"/>
      <w:r w:rsidRPr="008D666E">
        <w:rPr>
          <w:noProof/>
        </w:rPr>
        <w:t>(l)</w:t>
      </w:r>
      <w:r w:rsidRPr="008D666E">
        <w:rPr>
          <w:noProof/>
        </w:rPr>
        <w:tab/>
      </w:r>
      <w:r w:rsidR="00410938" w:rsidRPr="00D207EA">
        <w:rPr>
          <w:noProof/>
        </w:rPr>
        <w:t>s’assurent que tous les échanges officiels d’informations avec la Commission sont effectués au moyen d’un système d’échange électronique de données visé à l’annexe XVI [SFC2028: système d’échange électronique de données entre les États membres et la Commission]</w:t>
      </w:r>
      <w:bookmarkEnd w:id="12"/>
      <w:r w:rsidR="00410938" w:rsidRPr="00D207EA">
        <w:rPr>
          <w:noProof/>
        </w:rPr>
        <w:t>. Les États membres ne sont pas tenus de vérifier les coûts sous-jacents des opérations et des mesures lorsqu’ils évaluent le respect des valeurs intermédiaires et des valeurs cibles.</w:t>
      </w:r>
    </w:p>
    <w:p w14:paraId="3D50A74F" w14:textId="77777777" w:rsidR="00410938" w:rsidRPr="00D207EA" w:rsidRDefault="00410938" w:rsidP="00C21519">
      <w:pPr>
        <w:pStyle w:val="NumPar10000000"/>
        <w:numPr>
          <w:ilvl w:val="0"/>
          <w:numId w:val="82"/>
        </w:numPr>
        <w:rPr>
          <w:noProof/>
        </w:rPr>
      </w:pPr>
      <w:r w:rsidRPr="00D207EA">
        <w:rPr>
          <w:noProof/>
        </w:rPr>
        <w:t>Les États membres informent la Commission, au plus tard le 15 février de chaque année, des progrès accomplis dans la réalisation des objectifs fixés dans les plans, en quantifiant la réalisation de chaque valeur cible et de chaque valeur intermédiaire, ainsi que les progrès réalisés pour les interventions fondées sur les réalisations soutenues par les plans. Ces informations sont fournies conformément au modèle figurant à l’annexe IX [Rapport sur l’état d’avancement de la mise en œuvre des mesures]. Si aucune quantification de l’état d’avancement des valeurs intermédiaires et des valeurs cibles n’est disponible dans les systèmes de rapport sur l’état d’avancement, l’État membre fournit une estimation des progrès réalisés, conformément au modèle figurant à l’annexe IX [Rapport sur l’état d’avancement de la mise en œuvre des mesures]. Les informations mises à disposition couvrent les progrès réalisés jusqu’à la fin de l’année N et sont présentées dans le cadre du dossier «assurance» annuel visé à l’article 57, paragraphe 1, point a).</w:t>
      </w:r>
    </w:p>
    <w:p w14:paraId="5A2F4FED" w14:textId="77777777" w:rsidR="00410938" w:rsidRPr="00D207EA" w:rsidRDefault="00410938" w:rsidP="00C21519">
      <w:pPr>
        <w:pStyle w:val="NumPar10000000"/>
        <w:numPr>
          <w:ilvl w:val="0"/>
          <w:numId w:val="82"/>
        </w:numPr>
        <w:rPr>
          <w:noProof/>
        </w:rPr>
      </w:pPr>
      <w:r w:rsidRPr="00D207EA">
        <w:rPr>
          <w:noProof/>
        </w:rPr>
        <w:t>La Commission est habilitée à adopter des actes délégués conformément à l’article 86 [actes délégués] complétant le paragraphe 2, point g), du présent article, qui énoncent les critères pour déterminer les cas présumés de fraude, de corruption et d’irrégularités à signaler et les données à fournir dans ce cadre.</w:t>
      </w:r>
    </w:p>
    <w:p w14:paraId="641A113C" w14:textId="77777777" w:rsidR="00410938" w:rsidRPr="00D207EA" w:rsidRDefault="00410938" w:rsidP="00410938">
      <w:pPr>
        <w:pStyle w:val="Titrearticle"/>
        <w:rPr>
          <w:noProof/>
        </w:rPr>
      </w:pPr>
      <w:r w:rsidRPr="00D207EA">
        <w:rPr>
          <w:noProof/>
        </w:rPr>
        <w:t>Article 59</w:t>
      </w:r>
      <w:r w:rsidRPr="00D207EA">
        <w:rPr>
          <w:noProof/>
        </w:rPr>
        <w:br/>
      </w:r>
      <w:r w:rsidRPr="00D207EA">
        <w:rPr>
          <w:b/>
          <w:noProof/>
        </w:rPr>
        <w:t>Présentation du dossier «assurance» annuel</w:t>
      </w:r>
    </w:p>
    <w:p w14:paraId="57141857" w14:textId="400076E6" w:rsidR="00410938" w:rsidRPr="00D207EA" w:rsidRDefault="00410938" w:rsidP="00C21519">
      <w:pPr>
        <w:pStyle w:val="NumPar10000000"/>
        <w:numPr>
          <w:ilvl w:val="0"/>
          <w:numId w:val="87"/>
        </w:numPr>
        <w:rPr>
          <w:noProof/>
        </w:rPr>
      </w:pPr>
      <w:r w:rsidRPr="00D207EA">
        <w:rPr>
          <w:noProof/>
        </w:rPr>
        <w:t>Aux fins de l’article 63 du règlement (UE, Euratom) 2024/2509, les États membres présentent à la Commission, au plus tard le 15 février de chaque année suivant l’année 2028, les documents suivants (le «dossier “assurance” annuel»):</w:t>
      </w:r>
    </w:p>
    <w:p w14:paraId="38F6B0E0" w14:textId="59C8C89A" w:rsidR="00410938" w:rsidRPr="00D207EA" w:rsidRDefault="008D666E" w:rsidP="008D666E">
      <w:pPr>
        <w:pStyle w:val="Point10"/>
        <w:rPr>
          <w:noProof/>
        </w:rPr>
      </w:pPr>
      <w:r w:rsidRPr="008D666E">
        <w:rPr>
          <w:noProof/>
        </w:rPr>
        <w:t>(a)</w:t>
      </w:r>
      <w:r w:rsidRPr="008D666E">
        <w:rPr>
          <w:noProof/>
        </w:rPr>
        <w:tab/>
      </w:r>
      <w:r w:rsidR="004C5322" w:rsidRPr="00D207EA">
        <w:rPr>
          <w:noProof/>
        </w:rPr>
        <w:t xml:space="preserve">un rapport sur l’état d’avancement de la mise en œuvre des mesures du plan prévu à l’article 58, paragraphe 4 [Responsabilités des États membres], conformément au modèle figurant à l’annexe IX [Rapport sur l’état d’avancement de la mise en œuvre des mesures], en se référant aux demandes de paiement présentées au cours de l’exercice financier précédent; </w:t>
      </w:r>
    </w:p>
    <w:p w14:paraId="6AEC5119" w14:textId="17314FA2" w:rsidR="00410938" w:rsidRPr="00D207EA" w:rsidRDefault="008D666E" w:rsidP="008D666E">
      <w:pPr>
        <w:pStyle w:val="Point10"/>
        <w:rPr>
          <w:noProof/>
        </w:rPr>
      </w:pPr>
      <w:r w:rsidRPr="008D666E">
        <w:rPr>
          <w:noProof/>
        </w:rPr>
        <w:t>(b)</w:t>
      </w:r>
      <w:r w:rsidRPr="008D666E">
        <w:rPr>
          <w:noProof/>
        </w:rPr>
        <w:tab/>
      </w:r>
      <w:r w:rsidR="00410938" w:rsidRPr="00D207EA">
        <w:rPr>
          <w:noProof/>
        </w:rPr>
        <w:t>le résumé des audits visés à l’article 53, paragraphe 2, point b) [fonctions de l’autorité d’audit];</w:t>
      </w:r>
    </w:p>
    <w:p w14:paraId="06F0101D" w14:textId="459C45DF" w:rsidR="00410938" w:rsidRPr="00D207EA" w:rsidRDefault="008D666E" w:rsidP="008D666E">
      <w:pPr>
        <w:pStyle w:val="Point10"/>
        <w:rPr>
          <w:noProof/>
        </w:rPr>
      </w:pPr>
      <w:r w:rsidRPr="008D666E">
        <w:rPr>
          <w:noProof/>
        </w:rPr>
        <w:t>(c)</w:t>
      </w:r>
      <w:r w:rsidRPr="008D666E">
        <w:rPr>
          <w:noProof/>
        </w:rPr>
        <w:tab/>
      </w:r>
      <w:r w:rsidR="00410938" w:rsidRPr="00D207EA">
        <w:rPr>
          <w:noProof/>
        </w:rPr>
        <w:t>une déclaration de gestion, conformément au modèle figurant à l’annexe XII indiquant que:</w:t>
      </w:r>
    </w:p>
    <w:p w14:paraId="42A6EEE5" w14:textId="77777777" w:rsidR="00410938" w:rsidRPr="00D207EA" w:rsidRDefault="00410938" w:rsidP="00C21519">
      <w:pPr>
        <w:pStyle w:val="Point2n"/>
        <w:numPr>
          <w:ilvl w:val="0"/>
          <w:numId w:val="74"/>
        </w:numPr>
        <w:spacing w:line="240" w:lineRule="auto"/>
        <w:jc w:val="both"/>
        <w:rPr>
          <w:noProof/>
        </w:rPr>
      </w:pPr>
      <w:r w:rsidRPr="00D207EA">
        <w:rPr>
          <w:noProof/>
        </w:rPr>
        <w:t xml:space="preserve">les informations fournies avec la ou les demandes de paiement sont complètes, exactes et fiables; </w:t>
      </w:r>
    </w:p>
    <w:p w14:paraId="1927902D" w14:textId="77777777" w:rsidR="00410938" w:rsidRPr="00D207EA" w:rsidRDefault="00410938" w:rsidP="005A28DE">
      <w:pPr>
        <w:pStyle w:val="Point2n"/>
        <w:spacing w:line="240" w:lineRule="auto"/>
        <w:jc w:val="both"/>
        <w:rPr>
          <w:noProof/>
        </w:rPr>
      </w:pPr>
      <w:r w:rsidRPr="00D207EA">
        <w:rPr>
          <w:noProof/>
        </w:rPr>
        <w:t xml:space="preserve">les fonds ont été correctement utilisés; </w:t>
      </w:r>
    </w:p>
    <w:p w14:paraId="1DD2BEAE" w14:textId="77777777" w:rsidR="00410938" w:rsidRPr="00D207EA" w:rsidRDefault="00410938" w:rsidP="005A28DE">
      <w:pPr>
        <w:pStyle w:val="Point2n"/>
        <w:spacing w:line="240" w:lineRule="auto"/>
        <w:jc w:val="both"/>
        <w:rPr>
          <w:noProof/>
        </w:rPr>
      </w:pPr>
      <w:r w:rsidRPr="00D207EA">
        <w:rPr>
          <w:noProof/>
        </w:rPr>
        <w:t xml:space="preserve">les systèmes de gestion et de contrôle mis en place fonctionnent correctement et donnent l’assurance nécessaire que les fonds ont été gérés conformément à toutes les lois applicables, notamment en ce qui concerne la prévention, la détection, la communication et la correction des conflits d’intérêts, de la corruption, du double financement, de la fraude et d’autres irrégularités, et conformément au principe de bonne gestion financière; </w:t>
      </w:r>
    </w:p>
    <w:p w14:paraId="38E9D2C2" w14:textId="77777777" w:rsidR="00410938" w:rsidRPr="00D207EA" w:rsidRDefault="00410938" w:rsidP="005A28DE">
      <w:pPr>
        <w:pStyle w:val="Point2n"/>
        <w:spacing w:line="240" w:lineRule="auto"/>
        <w:jc w:val="both"/>
        <w:rPr>
          <w:noProof/>
        </w:rPr>
      </w:pPr>
      <w:r w:rsidRPr="00D207EA">
        <w:rPr>
          <w:noProof/>
        </w:rPr>
        <w:t>les informations visées au point a) donnent une image fidèle de l’état d’avancement de la mise en œuvre;</w:t>
      </w:r>
    </w:p>
    <w:p w14:paraId="7D472321" w14:textId="28CFC3EE" w:rsidR="00410938" w:rsidRPr="00D207EA" w:rsidRDefault="008D666E" w:rsidP="008D666E">
      <w:pPr>
        <w:pStyle w:val="Point10"/>
        <w:rPr>
          <w:noProof/>
        </w:rPr>
      </w:pPr>
      <w:r w:rsidRPr="008D666E">
        <w:rPr>
          <w:noProof/>
        </w:rPr>
        <w:t>(d)</w:t>
      </w:r>
      <w:r w:rsidRPr="008D666E">
        <w:rPr>
          <w:noProof/>
        </w:rPr>
        <w:tab/>
      </w:r>
      <w:r w:rsidR="00B07468" w:rsidRPr="00D207EA">
        <w:rPr>
          <w:noProof/>
        </w:rPr>
        <w:t>l’avis d’audit annuel visé à l’article 53, paragraphe 2 [fonctions de l’autorité d’audit], conformément au modèle figurant à l’annexe XII.</w:t>
      </w:r>
    </w:p>
    <w:p w14:paraId="2D1BB435" w14:textId="77777777" w:rsidR="000C43F5" w:rsidRPr="00D207EA" w:rsidRDefault="000C43F5" w:rsidP="00C21519">
      <w:pPr>
        <w:pStyle w:val="NumPar10000000"/>
        <w:numPr>
          <w:ilvl w:val="0"/>
          <w:numId w:val="87"/>
        </w:numPr>
        <w:rPr>
          <w:noProof/>
        </w:rPr>
      </w:pPr>
      <w:r w:rsidRPr="00D207EA">
        <w:rPr>
          <w:noProof/>
        </w:rPr>
        <w:t>La Commission tient compte des informations fournies dans le dossier «assurance» annuel pour décider si l’une des mesures prévues aux articles 66 [interruptions], 67 [suspension des paiements] et 68 [corrections financières] est nécessaire.</w:t>
      </w:r>
    </w:p>
    <w:p w14:paraId="1ADD1B9D" w14:textId="2D608AF3" w:rsidR="00410938" w:rsidRPr="00D207EA" w:rsidRDefault="00410938" w:rsidP="00C21519">
      <w:pPr>
        <w:pStyle w:val="NumPar10000000"/>
        <w:numPr>
          <w:ilvl w:val="0"/>
          <w:numId w:val="87"/>
        </w:numPr>
        <w:rPr>
          <w:noProof/>
        </w:rPr>
      </w:pPr>
      <w:r w:rsidRPr="00D207EA">
        <w:rPr>
          <w:noProof/>
        </w:rPr>
        <w:t>Lorsqu’il soumet la version définitive du dossier «assurance» annuel pour le dernier exercice, l’État membre confirme que le total des paiements de la Commission ne dépasse pas le montant total payé par l’État membre aux bénéficiaires dans le cadre de la mise en œuvre du plan, compte tenu de la contribution nationale.</w:t>
      </w:r>
    </w:p>
    <w:p w14:paraId="2F791F04" w14:textId="77777777" w:rsidR="00410938" w:rsidRPr="00D207EA" w:rsidRDefault="00410938" w:rsidP="00410938">
      <w:pPr>
        <w:pStyle w:val="Titrearticle"/>
        <w:rPr>
          <w:noProof/>
        </w:rPr>
      </w:pPr>
      <w:r w:rsidRPr="00D207EA">
        <w:rPr>
          <w:noProof/>
        </w:rPr>
        <w:t>Article 60</w:t>
      </w:r>
      <w:r w:rsidRPr="00D207EA">
        <w:rPr>
          <w:noProof/>
        </w:rPr>
        <w:br/>
      </w:r>
      <w:r w:rsidRPr="00D207EA">
        <w:rPr>
          <w:b/>
          <w:noProof/>
        </w:rPr>
        <w:t>Responsabilités de la Commission</w:t>
      </w:r>
    </w:p>
    <w:p w14:paraId="54A7B325" w14:textId="6BBF52EF" w:rsidR="00936FC4" w:rsidRPr="00D207EA" w:rsidRDefault="00936FC4" w:rsidP="00C21519">
      <w:pPr>
        <w:pStyle w:val="NumPar10000000"/>
        <w:numPr>
          <w:ilvl w:val="0"/>
          <w:numId w:val="88"/>
        </w:numPr>
        <w:rPr>
          <w:noProof/>
        </w:rPr>
      </w:pPr>
      <w:r w:rsidRPr="00D207EA">
        <w:rPr>
          <w:noProof/>
        </w:rPr>
        <w:t>La Commission acquiert l’assurance raisonnable que les États membres ont mis en place des systèmes de gestion et de contrôle conformes aux exigences énoncées dans le présent règlement et que ces systèmes fonctionnent de manière efficace et efficiente pendant la mise en œuvre des plans.</w:t>
      </w:r>
    </w:p>
    <w:p w14:paraId="4090725A" w14:textId="25DD7FAE" w:rsidR="00936FC4" w:rsidRPr="00D207EA" w:rsidRDefault="00936FC4" w:rsidP="00C21519">
      <w:pPr>
        <w:pStyle w:val="NumPar10000000"/>
        <w:numPr>
          <w:ilvl w:val="0"/>
          <w:numId w:val="88"/>
        </w:numPr>
        <w:rPr>
          <w:noProof/>
        </w:rPr>
      </w:pPr>
      <w:r w:rsidRPr="00D207EA">
        <w:rPr>
          <w:noProof/>
        </w:rPr>
        <w:t>La Commission élabore, aux fins de ses propres travaux d’audit, une stratégie d’audit et un plan d’audit qui sont fondés sur une évaluation des risques et sur le principe de proportionnalité.</w:t>
      </w:r>
    </w:p>
    <w:p w14:paraId="007FAD5B" w14:textId="3D77FC92" w:rsidR="00936FC4" w:rsidRPr="00D207EA" w:rsidRDefault="00936FC4" w:rsidP="00C21519">
      <w:pPr>
        <w:pStyle w:val="NumPar10000000"/>
        <w:numPr>
          <w:ilvl w:val="0"/>
          <w:numId w:val="88"/>
        </w:numPr>
        <w:rPr>
          <w:noProof/>
        </w:rPr>
      </w:pPr>
      <w:r w:rsidRPr="00D207EA">
        <w:rPr>
          <w:noProof/>
        </w:rPr>
        <w:t>La Commission et l’autorité d’audit coordonnent leurs travaux d’audit.</w:t>
      </w:r>
    </w:p>
    <w:p w14:paraId="3D2A3A8D" w14:textId="3F213605" w:rsidR="00936FC4" w:rsidRPr="00D207EA" w:rsidRDefault="00936FC4" w:rsidP="00C21519">
      <w:pPr>
        <w:pStyle w:val="NumPar10000000"/>
        <w:numPr>
          <w:ilvl w:val="0"/>
          <w:numId w:val="88"/>
        </w:numPr>
        <w:rPr>
          <w:noProof/>
        </w:rPr>
      </w:pPr>
      <w:r w:rsidRPr="00D207EA">
        <w:rPr>
          <w:noProof/>
        </w:rPr>
        <w:t>Aux fins des audits, les fonctionnaires de la Commission ou leurs mandataires ont, conformément à l’article 58, paragraphe 2, point h), [responsabilités des États membres], accès à l’ensemble des registres, documents et métadonnées nécessaires, quel que soit le support sur lequel ils sont conservés, qui ont trait à la mise en œuvre du plan, y compris les opérations soutenues par le Fonds ou les systèmes de gestion et de contrôle, et en reçoivent des copies dans le format spécifique demandé. Les fonctionnaires de la Commission ou leurs mandataires peuvent demander des informations complémentaires et effectuer des audits sur place.</w:t>
      </w:r>
    </w:p>
    <w:p w14:paraId="1814F96F" w14:textId="78223481" w:rsidR="00936FC4" w:rsidRPr="00D207EA" w:rsidRDefault="00936FC4" w:rsidP="00C21519">
      <w:pPr>
        <w:pStyle w:val="NumPar10000000"/>
        <w:numPr>
          <w:ilvl w:val="0"/>
          <w:numId w:val="88"/>
        </w:numPr>
        <w:rPr>
          <w:noProof/>
        </w:rPr>
      </w:pPr>
      <w:r w:rsidRPr="00D207EA">
        <w:rPr>
          <w:noProof/>
        </w:rPr>
        <w:t>La Commission effectue des audits pendant la mise en œuvre du Fonds et jusqu’à trois ans après la date du paiement final.</w:t>
      </w:r>
    </w:p>
    <w:p w14:paraId="77B1DDD4" w14:textId="77777777" w:rsidR="00936FC4" w:rsidRPr="00D207EA" w:rsidRDefault="00936FC4" w:rsidP="00C21519">
      <w:pPr>
        <w:pStyle w:val="NumPar10000000"/>
        <w:numPr>
          <w:ilvl w:val="0"/>
          <w:numId w:val="88"/>
        </w:numPr>
        <w:rPr>
          <w:noProof/>
        </w:rPr>
      </w:pPr>
      <w:r w:rsidRPr="00D207EA">
        <w:rPr>
          <w:noProof/>
        </w:rPr>
        <w:t>La Commission n’est pas tenue de vérifier les coûts sous-jacents des opérations dans le cadre de ses travaux d’audit.</w:t>
      </w:r>
    </w:p>
    <w:p w14:paraId="7D980B4B" w14:textId="77777777" w:rsidR="00410938" w:rsidRPr="00D207EA" w:rsidRDefault="00410938" w:rsidP="00410938">
      <w:pPr>
        <w:pStyle w:val="Titrearticle"/>
        <w:rPr>
          <w:noProof/>
        </w:rPr>
      </w:pPr>
      <w:r w:rsidRPr="00D207EA">
        <w:rPr>
          <w:noProof/>
        </w:rPr>
        <w:t>Article 61</w:t>
      </w:r>
      <w:r w:rsidRPr="00D207EA">
        <w:rPr>
          <w:noProof/>
        </w:rPr>
        <w:br/>
      </w:r>
      <w:r w:rsidRPr="00D207EA">
        <w:rPr>
          <w:b/>
          <w:noProof/>
        </w:rPr>
        <w:t>Modèle de contrôle unique</w:t>
      </w:r>
    </w:p>
    <w:p w14:paraId="4CF6310F" w14:textId="7677F21A" w:rsidR="00936FC4" w:rsidRPr="00D207EA" w:rsidRDefault="00936FC4" w:rsidP="00C21519">
      <w:pPr>
        <w:pStyle w:val="NumPar10000000"/>
        <w:numPr>
          <w:ilvl w:val="0"/>
          <w:numId w:val="89"/>
        </w:numPr>
        <w:rPr>
          <w:noProof/>
        </w:rPr>
      </w:pPr>
      <w:r w:rsidRPr="00D207EA">
        <w:rPr>
          <w:noProof/>
        </w:rPr>
        <w:t>Lorsqu’elles procèdent à des audits, la Commission et les autorités d’audit tiennent dûment compte du modèle de contrôle unique et du principe de proportionnalité en ce qui concerne le niveau de risque pour le budget de l’Union.</w:t>
      </w:r>
    </w:p>
    <w:p w14:paraId="1BC4ED2F" w14:textId="53453F22" w:rsidR="00936FC4" w:rsidRPr="00D207EA" w:rsidRDefault="00936FC4" w:rsidP="00C21519">
      <w:pPr>
        <w:pStyle w:val="NumPar10000000"/>
        <w:numPr>
          <w:ilvl w:val="0"/>
          <w:numId w:val="88"/>
        </w:numPr>
        <w:rPr>
          <w:noProof/>
        </w:rPr>
      </w:pPr>
      <w:r w:rsidRPr="00D207EA">
        <w:rPr>
          <w:noProof/>
        </w:rPr>
        <w:t>La Commission et les autorités d’audit utilisent d’abord l’ensemble des informations et des enregistrements visés à l’article 58, paragraphe 2, point h), [responsabilités des États membres], y compris les résultats des vérifications de gestion, et peuvent demander ensuite aux autorités désignées pour le plan et aux bénéficiaires concernés, et obtenir auprès de ces derniers, des éléments probants recueillis dans le cadre de l’audit et des documents supplémentaires lorsque, sur la base de leur appréciation professionnelle, cela est nécessaire pour étayer des conclusions d’audit fiables.</w:t>
      </w:r>
    </w:p>
    <w:p w14:paraId="6CCBEAA7" w14:textId="2293E860" w:rsidR="00936FC4" w:rsidRPr="00D207EA" w:rsidRDefault="00936FC4" w:rsidP="00C21519">
      <w:pPr>
        <w:pStyle w:val="NumPar10000000"/>
        <w:numPr>
          <w:ilvl w:val="0"/>
          <w:numId w:val="88"/>
        </w:numPr>
        <w:rPr>
          <w:noProof/>
        </w:rPr>
      </w:pPr>
      <w:r w:rsidRPr="00D207EA">
        <w:rPr>
          <w:noProof/>
        </w:rPr>
        <w:t>En ce qui concerne les plans pour lesquels la Commission conclut que l’avis de l’autorité d’audit est fiable et l’État membre concerné participe à la coopération renforcée concernant la mise en place du Parquet européen, les audits menés spécifiquement par la Commission se limitent au contrôle des travaux de l’autorité d’audit.</w:t>
      </w:r>
    </w:p>
    <w:p w14:paraId="65F60CEA" w14:textId="77777777" w:rsidR="00936FC4" w:rsidRPr="00D207EA" w:rsidRDefault="00936FC4" w:rsidP="00C21519">
      <w:pPr>
        <w:pStyle w:val="NumPar10000000"/>
        <w:numPr>
          <w:ilvl w:val="0"/>
          <w:numId w:val="88"/>
        </w:numPr>
        <w:rPr>
          <w:noProof/>
        </w:rPr>
      </w:pPr>
      <w:r w:rsidRPr="00D207EA">
        <w:rPr>
          <w:noProof/>
        </w:rPr>
        <w:t>La Commission et l’autorité d’audit peuvent décider de ne pas effectuer l’audit des valeurs intermédiaires et des valeurs cibles pour toute année où ils ont déjà fait l’objet d’un audit par la Cour des comptes européenne.</w:t>
      </w:r>
    </w:p>
    <w:p w14:paraId="2B5A5DC7" w14:textId="1F46695E" w:rsidR="00936FC4" w:rsidRPr="00D207EA" w:rsidRDefault="00936FC4" w:rsidP="00C21519">
      <w:pPr>
        <w:pStyle w:val="NumPar10000000"/>
        <w:numPr>
          <w:ilvl w:val="0"/>
          <w:numId w:val="88"/>
        </w:numPr>
        <w:rPr>
          <w:noProof/>
        </w:rPr>
      </w:pPr>
      <w:r w:rsidRPr="00D207EA">
        <w:rPr>
          <w:noProof/>
        </w:rPr>
        <w:t>Nonobstant le paragraphe 3, toute valeur intermédiaire et valeur cible peut faire l’objet de plus d’un audit si l’autorité d’audit conclut, sur la base de son appréciation professionnelle, qu’il n’est pas possible de produire un avis d’audit valable.</w:t>
      </w:r>
    </w:p>
    <w:p w14:paraId="44CC5CEE" w14:textId="77777777" w:rsidR="00936FC4" w:rsidRPr="00D207EA" w:rsidRDefault="00936FC4" w:rsidP="00C21519">
      <w:pPr>
        <w:pStyle w:val="NumPar10000000"/>
        <w:numPr>
          <w:ilvl w:val="0"/>
          <w:numId w:val="88"/>
        </w:numPr>
        <w:rPr>
          <w:noProof/>
        </w:rPr>
      </w:pPr>
      <w:r w:rsidRPr="00D207EA">
        <w:rPr>
          <w:noProof/>
        </w:rPr>
        <w:t>Le paragraphe 2 ne s’applique pas lorsque:  </w:t>
      </w:r>
    </w:p>
    <w:p w14:paraId="6F15F4CB" w14:textId="52D74DC8" w:rsidR="00936FC4" w:rsidRPr="00D207EA" w:rsidRDefault="008D666E" w:rsidP="008D666E">
      <w:pPr>
        <w:pStyle w:val="Point10"/>
        <w:rPr>
          <w:noProof/>
        </w:rPr>
      </w:pPr>
      <w:r w:rsidRPr="008D666E">
        <w:rPr>
          <w:noProof/>
        </w:rPr>
        <w:t>(a)</w:t>
      </w:r>
      <w:r w:rsidRPr="008D666E">
        <w:rPr>
          <w:noProof/>
        </w:rPr>
        <w:tab/>
      </w:r>
      <w:r w:rsidR="00936FC4" w:rsidRPr="00D207EA">
        <w:rPr>
          <w:noProof/>
        </w:rPr>
        <w:t>il existe un risque ou un soupçon spécifique de fraude, de corruption ou de conflit d’intérêts ou un autre cas grave de manquement en rapport avec les responsabilités des États membres visées à l’article 58 [Responsabilités des États membres];  </w:t>
      </w:r>
    </w:p>
    <w:p w14:paraId="385D03E3" w14:textId="4DF88A1D" w:rsidR="00936FC4" w:rsidRPr="00D207EA" w:rsidRDefault="008D666E" w:rsidP="008D666E">
      <w:pPr>
        <w:pStyle w:val="Point10"/>
        <w:rPr>
          <w:noProof/>
        </w:rPr>
      </w:pPr>
      <w:r w:rsidRPr="008D666E">
        <w:rPr>
          <w:noProof/>
        </w:rPr>
        <w:t>(b)</w:t>
      </w:r>
      <w:r w:rsidRPr="008D666E">
        <w:rPr>
          <w:noProof/>
        </w:rPr>
        <w:tab/>
      </w:r>
      <w:r w:rsidR="00936FC4" w:rsidRPr="00D207EA">
        <w:rPr>
          <w:noProof/>
        </w:rPr>
        <w:t>il est nécessaire de refaire le travail de l’autorité d’audit pour obtenir des assurances concernant l’efficacité de son fonctionnement à la suite de l’exercice d’évaluation des risques effectué par la Commission;  </w:t>
      </w:r>
    </w:p>
    <w:p w14:paraId="636AE3EB" w14:textId="6E5F02BA" w:rsidR="00936FC4" w:rsidRPr="00D207EA" w:rsidRDefault="008D666E" w:rsidP="008D666E">
      <w:pPr>
        <w:pStyle w:val="Point10"/>
        <w:rPr>
          <w:noProof/>
        </w:rPr>
      </w:pPr>
      <w:r w:rsidRPr="008D666E">
        <w:rPr>
          <w:noProof/>
        </w:rPr>
        <w:t>(c)</w:t>
      </w:r>
      <w:r w:rsidRPr="008D666E">
        <w:rPr>
          <w:noProof/>
        </w:rPr>
        <w:tab/>
      </w:r>
      <w:r w:rsidR="00936FC4" w:rsidRPr="00D207EA">
        <w:rPr>
          <w:noProof/>
        </w:rPr>
        <w:t>il existe des éléments attestant que le fonctionnement de l’autorité d’audit n’est pas conforme aux exigences clés énoncées à l’article 53 [fonctions de l’autorité d’audit] et à l’annexe IV [exigences en matière d’audit et de surveillance].</w:t>
      </w:r>
    </w:p>
    <w:p w14:paraId="16B6A104" w14:textId="77777777" w:rsidR="00936FC4" w:rsidRPr="00D207EA" w:rsidRDefault="00936FC4" w:rsidP="00C21519">
      <w:pPr>
        <w:pStyle w:val="NumPar10000000"/>
        <w:numPr>
          <w:ilvl w:val="0"/>
          <w:numId w:val="88"/>
        </w:numPr>
        <w:rPr>
          <w:noProof/>
        </w:rPr>
      </w:pPr>
      <w:r w:rsidRPr="00D207EA">
        <w:rPr>
          <w:noProof/>
        </w:rPr>
        <w:t>La Commission et les autorités d’audit se réunissent régulièrement et, sauf s’il en est convenu autrement, au moins une fois par an pour examiner la stratégie d’audit, le rapport annuel de contrôle et l’avis d’audit, pour coordonner leurs plans et méthodes d’audit et pour échanger leurs points de vue sur des questions relatives à l’amélioration des systèmes de gestion et de contrôle.</w:t>
      </w:r>
    </w:p>
    <w:p w14:paraId="774BC67B" w14:textId="77777777" w:rsidR="00410938" w:rsidRPr="00D207EA" w:rsidRDefault="00410938" w:rsidP="00410938">
      <w:pPr>
        <w:pStyle w:val="Titrearticle"/>
        <w:rPr>
          <w:noProof/>
        </w:rPr>
      </w:pPr>
      <w:r w:rsidRPr="00D207EA">
        <w:rPr>
          <w:noProof/>
        </w:rPr>
        <w:t>Article 62</w:t>
      </w:r>
      <w:r w:rsidRPr="00D207EA">
        <w:rPr>
          <w:noProof/>
        </w:rPr>
        <w:br/>
      </w:r>
      <w:r w:rsidRPr="00D207EA">
        <w:rPr>
          <w:b/>
          <w:noProof/>
        </w:rPr>
        <w:t>Système de contrôle de la gérance des exploitations agricoles et de la politique commune de la pêche</w:t>
      </w:r>
    </w:p>
    <w:p w14:paraId="310A4715" w14:textId="728FCEF8" w:rsidR="00F20B3B" w:rsidRPr="00D207EA" w:rsidRDefault="00F20B3B" w:rsidP="00C21519">
      <w:pPr>
        <w:pStyle w:val="NumPar10000000"/>
        <w:numPr>
          <w:ilvl w:val="0"/>
          <w:numId w:val="139"/>
        </w:numPr>
        <w:rPr>
          <w:iCs/>
          <w:noProof/>
        </w:rPr>
      </w:pPr>
      <w:r w:rsidRPr="00D207EA">
        <w:rPr>
          <w:noProof/>
        </w:rPr>
        <w:t>Dans le cadre des contrôles visés à l’article 58 [Responsabilités des États membres], les États membres vérifient que les bénéficiaires respectent les exigences en matière de gérance des exploitations agricoles visées à l’article 3 du règlement (UE) 202X/XXXX [règlement relatif à la PAC] et à l’article XX, paragraphe XX, du règlement (UE) 202X/XXXX [règlement relatif à la PCP].</w:t>
      </w:r>
    </w:p>
    <w:p w14:paraId="7255C7C5" w14:textId="059E7240" w:rsidR="006A74AB" w:rsidRPr="00D207EA" w:rsidRDefault="006A74AB" w:rsidP="00036431">
      <w:pPr>
        <w:pStyle w:val="Text1"/>
        <w:rPr>
          <w:noProof/>
        </w:rPr>
      </w:pPr>
      <w:r w:rsidRPr="00D207EA">
        <w:rPr>
          <w:noProof/>
        </w:rPr>
        <w:t>Lorsque la superficie admissible au soutien visée au premier alinéa, déclarée dans l’application géospatiale visée à l’article 70 [SIGC], ne dépasse pas 10 hectares, les bénéficiaires sont exemptés des contrôles et des sanctions prévus par le présent article.</w:t>
      </w:r>
    </w:p>
    <w:p w14:paraId="5FDDB3EB" w14:textId="77777777" w:rsidR="00465B34" w:rsidRPr="00D207EA" w:rsidRDefault="00465B34" w:rsidP="005A28DE">
      <w:pPr>
        <w:pStyle w:val="Text1"/>
        <w:rPr>
          <w:noProof/>
        </w:rPr>
      </w:pPr>
      <w:r w:rsidRPr="00D207EA">
        <w:rPr>
          <w:noProof/>
        </w:rPr>
        <w:t>Lorsqu’un bénéficiaire a été sélectionné en vue d’un contrôle sur place portant sur une demande d’aide ou une demande de paiement, les États membres, dans la mesure du possible et compte tenu des risques associés, ne sélectionnent pas ce bénéficiaire pour un contrôle et un échantillon de contrôle ultérieurs pour l’année en question, sauf lorsque les circonstances exigent plus d’un seul contrôle sur place afin d’assurer une protection efficace des intérêts financiers de l’Union. Cette disposition ne réduit pas le niveau des contrôles.</w:t>
      </w:r>
    </w:p>
    <w:p w14:paraId="574C392D" w14:textId="77777777" w:rsidR="00256F20" w:rsidRPr="00D207EA" w:rsidRDefault="00256F20" w:rsidP="00C21519">
      <w:pPr>
        <w:pStyle w:val="NumPar10000000"/>
        <w:numPr>
          <w:ilvl w:val="0"/>
          <w:numId w:val="139"/>
        </w:numPr>
        <w:rPr>
          <w:noProof/>
        </w:rPr>
      </w:pPr>
      <w:r w:rsidRPr="00D207EA">
        <w:rPr>
          <w:noProof/>
        </w:rPr>
        <w:t>Les États membres utilisent leurs systèmes de contrôle et d’application dans les domaines du climat et de l’environnement, de la santé publique, de la santé des végétaux et du bien-être des animaux, de la législation sociale et en matière d’emploi, des normes de travail applicables, de la pêche et de l’aquaculture pour veiller à ce que les bénéficiaires du soutien se conforment aux exigences énoncées au premier alinéa.</w:t>
      </w:r>
    </w:p>
    <w:p w14:paraId="223A6863" w14:textId="1204064B" w:rsidR="00256F20" w:rsidRPr="00D207EA" w:rsidRDefault="00256F20" w:rsidP="00C21519">
      <w:pPr>
        <w:pStyle w:val="NumPar10000000"/>
        <w:numPr>
          <w:ilvl w:val="0"/>
          <w:numId w:val="139"/>
        </w:numPr>
        <w:rPr>
          <w:noProof/>
        </w:rPr>
      </w:pPr>
      <w:r w:rsidRPr="00D207EA">
        <w:rPr>
          <w:noProof/>
        </w:rPr>
        <w:t>L’autorité de gestion ou l’organisme payeur est informé, le cas échéant, au moins une fois par an, des manquements pour lesquels des décisions exécutoires ont été prises dans le cadre des systèmes de contrôle et d’application applicables visés au paragraphe 2. Cette notification comprend une évaluation et un classement du manquement concerné selon sa gravité, son étendue, sa persistance ou sa répétition et son caractère intentionnel.</w:t>
      </w:r>
    </w:p>
    <w:p w14:paraId="35C36D2A" w14:textId="6CDE2B58" w:rsidR="00256F20" w:rsidRPr="00D207EA" w:rsidDel="006D017F" w:rsidRDefault="005C4C2F" w:rsidP="00C21519">
      <w:pPr>
        <w:pStyle w:val="NumPar10000000"/>
        <w:numPr>
          <w:ilvl w:val="0"/>
          <w:numId w:val="139"/>
        </w:numPr>
        <w:rPr>
          <w:noProof/>
        </w:rPr>
      </w:pPr>
      <w:r w:rsidRPr="00D207EA">
        <w:rPr>
          <w:noProof/>
        </w:rPr>
        <w:t xml:space="preserve">Les sanctions administratives visées au paragraphe 5 ne s’appliquent qu’en cas de non-respect des exigences de la gérance des exploitations agricoles visées à l’article 3 du règlement XX </w:t>
      </w:r>
      <w:r w:rsidRPr="00D207EA">
        <w:rPr>
          <w:i/>
          <w:noProof/>
        </w:rPr>
        <w:t xml:space="preserve">[PAC, gérance des exploitations agricoles], </w:t>
      </w:r>
      <w:r w:rsidRPr="00D207EA">
        <w:rPr>
          <w:noProof/>
        </w:rPr>
        <w:t>lorsque ce non-respect résulte d’un acte ou d’une omission directement imputable au bénéficiaire concerné et que l’une des conditions suivantes, ou les deux, sont remplies:</w:t>
      </w:r>
    </w:p>
    <w:p w14:paraId="253FBDE0" w14:textId="4AEFD8DA" w:rsidR="00256F20" w:rsidRPr="00D207EA" w:rsidDel="006D017F" w:rsidRDefault="008D666E" w:rsidP="008D666E">
      <w:pPr>
        <w:pStyle w:val="Point10"/>
        <w:rPr>
          <w:noProof/>
        </w:rPr>
      </w:pPr>
      <w:r w:rsidRPr="008D666E">
        <w:rPr>
          <w:noProof/>
        </w:rPr>
        <w:t>(a)</w:t>
      </w:r>
      <w:r w:rsidRPr="008D666E">
        <w:rPr>
          <w:noProof/>
        </w:rPr>
        <w:tab/>
      </w:r>
      <w:r w:rsidR="00256F20" w:rsidRPr="00D207EA">
        <w:rPr>
          <w:noProof/>
        </w:rPr>
        <w:t>le non-respect est lié à l’activité agricole du bénéficiaire, telle que définie par les États membres dans leur plan PNR conformément à l’article 4, point 2</w:t>
      </w:r>
      <w:r w:rsidR="00692EAD" w:rsidRPr="00D207EA">
        <w:rPr>
          <w:noProof/>
        </w:rPr>
        <w:t>1</w:t>
      </w:r>
      <w:r w:rsidR="00256F20" w:rsidRPr="00D207EA">
        <w:rPr>
          <w:noProof/>
        </w:rPr>
        <w:t>), a)</w:t>
      </w:r>
      <w:r w:rsidR="00692EAD" w:rsidRPr="00D207EA">
        <w:rPr>
          <w:i/>
          <w:noProof/>
        </w:rPr>
        <w:t xml:space="preserve"> </w:t>
      </w:r>
      <w:r w:rsidR="00692EAD" w:rsidRPr="00D207EA">
        <w:rPr>
          <w:iCs/>
          <w:noProof/>
        </w:rPr>
        <w:t>[</w:t>
      </w:r>
      <w:r w:rsidR="00256F20" w:rsidRPr="00D207EA">
        <w:rPr>
          <w:i/>
          <w:noProof/>
        </w:rPr>
        <w:t>définition-cadre de l’activité agricole</w:t>
      </w:r>
      <w:r w:rsidR="00256F20" w:rsidRPr="00D207EA">
        <w:rPr>
          <w:noProof/>
        </w:rPr>
        <w:t xml:space="preserve">]; </w:t>
      </w:r>
    </w:p>
    <w:p w14:paraId="1963F725" w14:textId="4E55C192" w:rsidR="00256F20" w:rsidRPr="00D207EA" w:rsidDel="006D017F" w:rsidRDefault="008D666E" w:rsidP="008D666E">
      <w:pPr>
        <w:pStyle w:val="Point10"/>
        <w:rPr>
          <w:noProof/>
        </w:rPr>
      </w:pPr>
      <w:r w:rsidRPr="008D666E">
        <w:rPr>
          <w:noProof/>
        </w:rPr>
        <w:t>(b)</w:t>
      </w:r>
      <w:r w:rsidRPr="008D666E">
        <w:rPr>
          <w:noProof/>
        </w:rPr>
        <w:tab/>
      </w:r>
      <w:r w:rsidR="00256F20" w:rsidRPr="00D207EA">
        <w:rPr>
          <w:noProof/>
        </w:rPr>
        <w:t>le non-respect concerne l’exploitation au sens de l’article 4, point 1</w:t>
      </w:r>
      <w:r w:rsidR="00692EAD" w:rsidRPr="00D207EA">
        <w:rPr>
          <w:noProof/>
        </w:rPr>
        <w:t>6</w:t>
      </w:r>
      <w:r w:rsidR="00256F20" w:rsidRPr="00D207EA">
        <w:rPr>
          <w:noProof/>
        </w:rPr>
        <w:t>) [</w:t>
      </w:r>
      <w:r w:rsidR="00256F20" w:rsidRPr="00D207EA">
        <w:rPr>
          <w:i/>
          <w:noProof/>
        </w:rPr>
        <w:t>définitions - exploitation</w:t>
      </w:r>
      <w:r w:rsidR="00256F20" w:rsidRPr="00D207EA">
        <w:rPr>
          <w:noProof/>
        </w:rPr>
        <w:t>] ou d’autres surfaces gérées par le bénéficiaire situées sur le territoire du même État membre.</w:t>
      </w:r>
    </w:p>
    <w:p w14:paraId="2B0D05D5" w14:textId="77777777" w:rsidR="00256F20" w:rsidRPr="00D207EA" w:rsidDel="006D017F" w:rsidRDefault="00256F20" w:rsidP="00F46499">
      <w:pPr>
        <w:pStyle w:val="Text1"/>
        <w:rPr>
          <w:noProof/>
        </w:rPr>
      </w:pPr>
      <w:r w:rsidRPr="00D207EA">
        <w:rPr>
          <w:noProof/>
        </w:rPr>
        <w:t>Toutefois, si le non-respect concerne des zones forestières, les sanctions visées au paragraphe 5 ne sont pas appliquées si aucun soutien n’est demandé pour la zone concernée.</w:t>
      </w:r>
    </w:p>
    <w:p w14:paraId="2DA5897B" w14:textId="77777777" w:rsidR="00256F20" w:rsidRPr="00D207EA" w:rsidRDefault="00256F20" w:rsidP="00C21519">
      <w:pPr>
        <w:pStyle w:val="NumPar10000000"/>
        <w:numPr>
          <w:ilvl w:val="0"/>
          <w:numId w:val="139"/>
        </w:numPr>
        <w:rPr>
          <w:noProof/>
        </w:rPr>
      </w:pPr>
      <w:r w:rsidRPr="00D207EA">
        <w:rPr>
          <w:noProof/>
        </w:rPr>
        <w:t>Les États membres mettent en place un système de sanctions administratives applicables aux bénéficiaires visés au paragraphe 4 qui ne respectent pas, à tout moment de l’année civile concernée, les exigences de la gérance des exploitations agricoles.</w:t>
      </w:r>
    </w:p>
    <w:p w14:paraId="42980A00" w14:textId="3F722B03" w:rsidR="00256F20" w:rsidRPr="00D207EA" w:rsidRDefault="00465B34" w:rsidP="00F46499">
      <w:pPr>
        <w:pStyle w:val="Text1"/>
        <w:rPr>
          <w:noProof/>
        </w:rPr>
      </w:pPr>
      <w:r w:rsidRPr="00D207EA">
        <w:rPr>
          <w:noProof/>
        </w:rPr>
        <w:t>Les sanctions consistent en la réduction ou l’exclusion du montant total des paiements au titre des mesures énumérées à l’article 35, paragraphe 1, points a) à f), o) et p), dans la mesure où elles concernent le soutien aux produits agricoles locaux, du règlement (UE) 202X/XXXX [règlement relatif à la PAC] accordé ou à accorder au bénéficiaire concerné pour les demandes d’aide qu’il a présentées ou présentera au cours de l’année civile de la constatation du non-respect. Les sanctions sont calculées sur la base des paiements octroyés ou à octroyer au titre de l’année civile au cours de laquelle le non-respect est survenu. Toutefois, lorsqu’il n’est pas possible de déterminer l’année civile au cours de laquelle le non-respect est survenu, les réductions ou les exclusions sont calculées sur la base des paiements octroyés ou à octroyer au titre de l’année civile de la constatation du non-respect.</w:t>
      </w:r>
    </w:p>
    <w:p w14:paraId="5DC4856E" w14:textId="2A91ADC2" w:rsidR="00256F20" w:rsidRPr="00D207EA" w:rsidRDefault="00465B34" w:rsidP="00F46499">
      <w:pPr>
        <w:pStyle w:val="Text1"/>
        <w:rPr>
          <w:noProof/>
        </w:rPr>
      </w:pPr>
      <w:r w:rsidRPr="00D207EA">
        <w:rPr>
          <w:noProof/>
        </w:rPr>
        <w:t>Pour le calcul de ces sanctions, il est tenu compte de la gravité, de l’étendue, de la permanence ou de la réapparition et de l’intentionnalité du non-respect constaté, conformément à l’évaluation visée au paragraphe 3. Une sanction imposée en vertu de la législation nationale mettant en œuvre les actes juridiques énumérés à l’annexe I, parties A et B, du règlement XX [PAC] pour le même acte ou la même omission d’un agriculteur ou d’un autre bénéficiaire est prise en compte dans le calcul des sanctions visées au premier alinéa.</w:t>
      </w:r>
    </w:p>
    <w:p w14:paraId="573FA839" w14:textId="77777777" w:rsidR="00256F20" w:rsidRPr="00D207EA" w:rsidRDefault="00465B34" w:rsidP="00F46499">
      <w:pPr>
        <w:pStyle w:val="Text1"/>
        <w:rPr>
          <w:noProof/>
        </w:rPr>
      </w:pPr>
      <w:r w:rsidRPr="00D207EA">
        <w:rPr>
          <w:noProof/>
        </w:rPr>
        <w:t>Les dépenses qui ont été réduites à la suite de l’application d’une pénalité sont considérées comme légales et régulières. La réduction est, en règle générale, de 3 % du montant total des paiements. En cas de non-respect intentionnel, la réduction est d’au moins 15 % du montant de ces paiements.</w:t>
      </w:r>
    </w:p>
    <w:p w14:paraId="402575B0" w14:textId="77777777" w:rsidR="009020DC" w:rsidRPr="00D207EA" w:rsidRDefault="009020DC" w:rsidP="009020DC">
      <w:pPr>
        <w:pStyle w:val="Text1"/>
        <w:rPr>
          <w:rFonts w:eastAsia="Times New Roman"/>
          <w:noProof/>
        </w:rPr>
      </w:pPr>
      <w:r w:rsidRPr="00D207EA">
        <w:rPr>
          <w:noProof/>
        </w:rPr>
        <w:t>Les États membres prévoient qu’aucune sanction administrative n’est imposée si:</w:t>
      </w:r>
    </w:p>
    <w:p w14:paraId="7820B8C0" w14:textId="33B5539F" w:rsidR="009020DC" w:rsidRPr="00D207EA" w:rsidRDefault="008D666E" w:rsidP="008D666E">
      <w:pPr>
        <w:pStyle w:val="Point10"/>
        <w:rPr>
          <w:noProof/>
        </w:rPr>
      </w:pPr>
      <w:r w:rsidRPr="008D666E">
        <w:rPr>
          <w:noProof/>
        </w:rPr>
        <w:t>(a)</w:t>
      </w:r>
      <w:r w:rsidRPr="008D666E">
        <w:rPr>
          <w:noProof/>
        </w:rPr>
        <w:tab/>
      </w:r>
      <w:r w:rsidR="009020DC" w:rsidRPr="00D207EA">
        <w:rPr>
          <w:noProof/>
        </w:rPr>
        <w:t>le non-respect est dû à un cas de force majeure ou à des circonstances exceptionnelles;</w:t>
      </w:r>
    </w:p>
    <w:p w14:paraId="1A5C9976" w14:textId="0064BD0D" w:rsidR="009020DC" w:rsidRPr="00D207EA" w:rsidRDefault="008D666E" w:rsidP="008D666E">
      <w:pPr>
        <w:pStyle w:val="Point10"/>
        <w:rPr>
          <w:noProof/>
        </w:rPr>
      </w:pPr>
      <w:r w:rsidRPr="008D666E">
        <w:rPr>
          <w:noProof/>
        </w:rPr>
        <w:t>(b)</w:t>
      </w:r>
      <w:r w:rsidRPr="008D666E">
        <w:rPr>
          <w:noProof/>
        </w:rPr>
        <w:tab/>
      </w:r>
      <w:r w:rsidR="009020DC" w:rsidRPr="00D207EA">
        <w:rPr>
          <w:noProof/>
        </w:rPr>
        <w:t>le non-respect découle d’un ordre émanant d’une autorité publique.</w:t>
      </w:r>
    </w:p>
    <w:p w14:paraId="6D77F325" w14:textId="77777777" w:rsidR="00256F20" w:rsidRPr="00D207EA" w:rsidRDefault="00256F20" w:rsidP="00C21519">
      <w:pPr>
        <w:pStyle w:val="NumPar10000000"/>
        <w:numPr>
          <w:ilvl w:val="0"/>
          <w:numId w:val="139"/>
        </w:numPr>
        <w:rPr>
          <w:noProof/>
        </w:rPr>
      </w:pPr>
      <w:r w:rsidRPr="00D207EA">
        <w:rPr>
          <w:noProof/>
        </w:rPr>
        <w:t>En cas de non-respect des dispositions de l’article XX du règlement (UE) XX [Politique commune de la pêche], le soutien versé au bénéficiaire est recouvré et toute demande de soutien présentée par le bénéficiaire est irrecevable pendant une période déterminée, fixée conformément au paragraphe 8 du présent article, s’il a été établi par une décision définitive de l’autorité compétente concernée que le bénéficiaire a commis une fraude.</w:t>
      </w:r>
    </w:p>
    <w:p w14:paraId="2DB7C3E2" w14:textId="77777777" w:rsidR="00BF3DCB" w:rsidRPr="00D207EA" w:rsidRDefault="006261A0" w:rsidP="00C21519">
      <w:pPr>
        <w:pStyle w:val="NumPar10000000"/>
        <w:numPr>
          <w:ilvl w:val="0"/>
          <w:numId w:val="139"/>
        </w:numPr>
        <w:rPr>
          <w:noProof/>
        </w:rPr>
      </w:pPr>
      <w:r w:rsidRPr="00D207EA">
        <w:rPr>
          <w:noProof/>
        </w:rPr>
        <w:t>Lorsqu’un cas visé à l’article XX du règlement (UE) XX [Politique commune de la pêche] se produit entre la période d’application et les cinq années suivant le dernier paiement, l’aide versée au bénéficiaire est recouvrée. Le recouvrement est proportionné à la nature, à la gravité, à la durée et à la répétition des infractions graves ou des délits commis par le bénéficiaire concerné, ainsi qu’à l’importance du soutien apporté à l’activité économique de ce bénéficiaire.</w:t>
      </w:r>
    </w:p>
    <w:p w14:paraId="7DE28F3D" w14:textId="77777777" w:rsidR="00256F20" w:rsidRPr="00D207EA" w:rsidRDefault="00256F20" w:rsidP="00C21519">
      <w:pPr>
        <w:pStyle w:val="NumPar10000000"/>
        <w:numPr>
          <w:ilvl w:val="0"/>
          <w:numId w:val="139"/>
        </w:numPr>
        <w:rPr>
          <w:noProof/>
        </w:rPr>
      </w:pPr>
      <w:r w:rsidRPr="00D207EA">
        <w:rPr>
          <w:noProof/>
        </w:rPr>
        <w:t>Afin de garantir des conditions de concurrence équitables entre les États membres ainsi que l’efficacité, la proportionnalité et l’effet dissuasif des sanctions visées au paragraphe 5 et des recouvrements et irrecevabilités visés à l’article XX du règlement (UE) XX [Politique commune de la pêche], et aux paragraphes 6 et 7 du présent article, la Commission est habilitée à adopter des actes délégués conformément à l’article 86, complétant le présent règlement et précisant</w:t>
      </w:r>
    </w:p>
    <w:p w14:paraId="779E04B4" w14:textId="505C4F8D" w:rsidR="00256F20" w:rsidRPr="00D207EA" w:rsidRDefault="008D666E" w:rsidP="008D666E">
      <w:pPr>
        <w:pStyle w:val="Point10"/>
        <w:rPr>
          <w:noProof/>
        </w:rPr>
      </w:pPr>
      <w:r w:rsidRPr="008D666E">
        <w:rPr>
          <w:noProof/>
        </w:rPr>
        <w:t>(a)</w:t>
      </w:r>
      <w:r w:rsidRPr="008D666E">
        <w:rPr>
          <w:noProof/>
        </w:rPr>
        <w:tab/>
      </w:r>
      <w:r w:rsidR="00256F20" w:rsidRPr="00D207EA">
        <w:rPr>
          <w:noProof/>
        </w:rPr>
        <w:t>les modalités d’application et de calcul des sanctions;</w:t>
      </w:r>
    </w:p>
    <w:p w14:paraId="04275CD0" w14:textId="063F95A3" w:rsidR="00256F20" w:rsidRPr="00D207EA" w:rsidRDefault="008D666E" w:rsidP="008D666E">
      <w:pPr>
        <w:pStyle w:val="Point10"/>
        <w:rPr>
          <w:noProof/>
        </w:rPr>
      </w:pPr>
      <w:r w:rsidRPr="008D666E">
        <w:rPr>
          <w:noProof/>
        </w:rPr>
        <w:t>(b)</w:t>
      </w:r>
      <w:r w:rsidRPr="008D666E">
        <w:rPr>
          <w:noProof/>
        </w:rPr>
        <w:tab/>
      </w:r>
      <w:r w:rsidR="00256F20" w:rsidRPr="00D207EA">
        <w:rPr>
          <w:noProof/>
        </w:rPr>
        <w:t>le seuil déclenchant l’irrecevabilité et la durée de celle-ci, ainsi que les modalités de recouvrement du soutien accordé, y compris les seuils qui le déclenchent.</w:t>
      </w:r>
    </w:p>
    <w:p w14:paraId="75204EEE" w14:textId="77777777" w:rsidR="00256F20" w:rsidRPr="00D207EA" w:rsidRDefault="00410938" w:rsidP="00256F20">
      <w:pPr>
        <w:pStyle w:val="Titrearticle"/>
        <w:rPr>
          <w:noProof/>
          <w:color w:val="0000FF"/>
        </w:rPr>
      </w:pPr>
      <w:r w:rsidRPr="00D207EA">
        <w:rPr>
          <w:noProof/>
        </w:rPr>
        <w:t>Article 63</w:t>
      </w:r>
      <w:r w:rsidRPr="00D207EA">
        <w:rPr>
          <w:noProof/>
        </w:rPr>
        <w:br/>
      </w:r>
      <w:r w:rsidRPr="00D207EA">
        <w:rPr>
          <w:b/>
          <w:noProof/>
        </w:rPr>
        <w:t>Collecte et enregistrement des données</w:t>
      </w:r>
    </w:p>
    <w:p w14:paraId="73810994" w14:textId="6994623F" w:rsidR="00256F20" w:rsidRPr="00D207EA" w:rsidRDefault="00256F20" w:rsidP="00C21519">
      <w:pPr>
        <w:pStyle w:val="NumPar10000000"/>
        <w:numPr>
          <w:ilvl w:val="0"/>
          <w:numId w:val="140"/>
        </w:numPr>
        <w:rPr>
          <w:noProof/>
        </w:rPr>
      </w:pPr>
      <w:r w:rsidRPr="00D207EA">
        <w:rPr>
          <w:noProof/>
        </w:rPr>
        <w:t>À des fins d’audit et de contrôle, de transparence et de suivi ainsi que d’évaluation des performances, les États membres collectent, enregistrent et stockent électroniquement les informations visées aux points a) à g), tout en garantissant la sécurité, l’intégrité et la confidentialité des données ainsi que l’authentification des utilisateurs et en permettant l’échange automatisé de données avec le système électronique désigné par la Commission:</w:t>
      </w:r>
    </w:p>
    <w:p w14:paraId="38595C31" w14:textId="2441AABB" w:rsidR="00256F20" w:rsidRPr="00D207EA" w:rsidRDefault="008D666E" w:rsidP="008D666E">
      <w:pPr>
        <w:pStyle w:val="Point10"/>
        <w:rPr>
          <w:noProof/>
        </w:rPr>
      </w:pPr>
      <w:r w:rsidRPr="008D666E">
        <w:rPr>
          <w:noProof/>
        </w:rPr>
        <w:t>(a)</w:t>
      </w:r>
      <w:r w:rsidRPr="008D666E">
        <w:rPr>
          <w:noProof/>
        </w:rPr>
        <w:tab/>
      </w:r>
      <w:r w:rsidR="00256F20" w:rsidRPr="00D207EA">
        <w:rPr>
          <w:noProof/>
        </w:rPr>
        <w:t>sur le bénéficiaire:</w:t>
      </w:r>
    </w:p>
    <w:p w14:paraId="57328D28" w14:textId="6BC5FE14" w:rsidR="00256F20" w:rsidRPr="00D207EA" w:rsidRDefault="00A04B5C" w:rsidP="00C21519">
      <w:pPr>
        <w:pStyle w:val="Point2n"/>
        <w:numPr>
          <w:ilvl w:val="0"/>
          <w:numId w:val="65"/>
        </w:numPr>
        <w:spacing w:line="240" w:lineRule="auto"/>
        <w:jc w:val="both"/>
        <w:rPr>
          <w:noProof/>
        </w:rPr>
      </w:pPr>
      <w:r w:rsidRPr="00D207EA">
        <w:rPr>
          <w:noProof/>
        </w:rPr>
        <w:t>si le bénéficiaire est un organisme de droit public ou privé, une entité avec ou sans personnalité juridique, une personne physique ou un groupe de personnes physiques;</w:t>
      </w:r>
    </w:p>
    <w:p w14:paraId="495E0AB4" w14:textId="17FD3562" w:rsidR="00256F20" w:rsidRPr="00D207EA" w:rsidRDefault="00A04B5C" w:rsidP="005A28DE">
      <w:pPr>
        <w:pStyle w:val="Point2n"/>
        <w:spacing w:line="240" w:lineRule="auto"/>
        <w:jc w:val="both"/>
        <w:rPr>
          <w:noProof/>
        </w:rPr>
      </w:pPr>
      <w:r w:rsidRPr="00D207EA">
        <w:rPr>
          <w:noProof/>
        </w:rPr>
        <w:t>le nom légal complet de l’entité, son adresse et son numéro d’identification TVA ou son numéro d’identification fiscale, le cas échéant, ou tout autre identifiant unique établi au niveau national;</w:t>
      </w:r>
    </w:p>
    <w:p w14:paraId="37CD66B2" w14:textId="77777777" w:rsidR="00896E98" w:rsidRPr="00D207EA" w:rsidRDefault="00A04B5C" w:rsidP="005A28DE">
      <w:pPr>
        <w:pStyle w:val="Point2n"/>
        <w:spacing w:line="240" w:lineRule="auto"/>
        <w:jc w:val="both"/>
        <w:rPr>
          <w:noProof/>
        </w:rPr>
      </w:pPr>
      <w:r w:rsidRPr="00D207EA">
        <w:rPr>
          <w:noProof/>
        </w:rPr>
        <w:t>s’il s’agit d’une personne physique, le nom et le prénom, la date de naissance, la localité et le numéro d’identification national;</w:t>
      </w:r>
    </w:p>
    <w:p w14:paraId="5DE98331" w14:textId="55AD048C" w:rsidR="00256F20" w:rsidRPr="00D207EA" w:rsidRDefault="00A04B5C" w:rsidP="005A28DE">
      <w:pPr>
        <w:pStyle w:val="Point2n"/>
        <w:spacing w:line="240" w:lineRule="auto"/>
        <w:jc w:val="both"/>
        <w:rPr>
          <w:noProof/>
        </w:rPr>
      </w:pPr>
      <w:r w:rsidRPr="00D207EA">
        <w:rPr>
          <w:noProof/>
        </w:rPr>
        <w:t>les informations sur tous les bénéficiaires effectifs du bénéficiaire, s’il y a lieu, au sens de l’article 3, point 6), de la directive (UE) 2015/849 du Parlement européen et du Conseil</w:t>
      </w:r>
      <w:r w:rsidR="00DF506D" w:rsidRPr="00D207EA">
        <w:rPr>
          <w:rStyle w:val="FootnoteReference"/>
          <w:noProof/>
        </w:rPr>
        <w:footnoteReference w:id="24"/>
      </w:r>
      <w:r w:rsidRPr="00D207EA">
        <w:rPr>
          <w:noProof/>
        </w:rPr>
        <w:t>, à savoir prénom</w:t>
      </w:r>
      <w:r w:rsidR="0038171A" w:rsidRPr="00D207EA">
        <w:rPr>
          <w:noProof/>
        </w:rPr>
        <w:t>(s)</w:t>
      </w:r>
      <w:r w:rsidRPr="00D207EA">
        <w:rPr>
          <w:noProof/>
        </w:rPr>
        <w:t xml:space="preserve"> et nom, date de naissance et numéro d’identification TVA ou numéro d’identification fiscale, le cas échéant, ou autre identifiant unique au niveau du pays;</w:t>
      </w:r>
    </w:p>
    <w:p w14:paraId="625AE868" w14:textId="77777777" w:rsidR="00256F20" w:rsidRPr="00D207EA" w:rsidRDefault="00A04B5C" w:rsidP="005A28DE">
      <w:pPr>
        <w:pStyle w:val="Point2n"/>
        <w:spacing w:line="240" w:lineRule="auto"/>
        <w:jc w:val="both"/>
        <w:rPr>
          <w:noProof/>
        </w:rPr>
      </w:pPr>
      <w:r w:rsidRPr="00D207EA">
        <w:rPr>
          <w:noProof/>
        </w:rPr>
        <w:t>le montant de la contribution de l’Union engagée dans le document précisant les conditions relatives au soutien;</w:t>
      </w:r>
    </w:p>
    <w:p w14:paraId="5492D66A" w14:textId="77777777" w:rsidR="00256F20" w:rsidRPr="00D207EA" w:rsidRDefault="00256F20" w:rsidP="005A28DE">
      <w:pPr>
        <w:pStyle w:val="Point2n"/>
        <w:spacing w:line="240" w:lineRule="auto"/>
        <w:jc w:val="both"/>
        <w:rPr>
          <w:noProof/>
        </w:rPr>
      </w:pPr>
      <w:r w:rsidRPr="00D207EA">
        <w:rPr>
          <w:noProof/>
        </w:rPr>
        <w:t xml:space="preserve"> la mesure associée dans le cadre du plan avec le numéro de séquence de la mesure et l’identifiant de l’opération;</w:t>
      </w:r>
    </w:p>
    <w:p w14:paraId="20388B48" w14:textId="77777777" w:rsidR="00256F20" w:rsidRPr="00D207EA" w:rsidRDefault="00A04B5C" w:rsidP="005A28DE">
      <w:pPr>
        <w:pStyle w:val="Point2n"/>
        <w:spacing w:line="240" w:lineRule="auto"/>
        <w:jc w:val="both"/>
        <w:rPr>
          <w:noProof/>
        </w:rPr>
      </w:pPr>
      <w:r w:rsidRPr="00D207EA">
        <w:rPr>
          <w:noProof/>
        </w:rPr>
        <w:t xml:space="preserve">en ce qui concerne les instruments financiers, si le bénéficiaire est l’organisme qui met en œuvre le fonds à participation ou, lorsqu’il n’existe aucune structure de fonds à participation, l’organisme qui met en œuvre un fonds spécifique ou, lorsque l’autorité de gestion gère l’instrument financier, l’autorité de gestion; </w:t>
      </w:r>
    </w:p>
    <w:p w14:paraId="34441CC7" w14:textId="15401733" w:rsidR="0026039F" w:rsidRPr="00D207EA" w:rsidRDefault="0026039F" w:rsidP="005A28DE">
      <w:pPr>
        <w:pStyle w:val="Point2n"/>
        <w:spacing w:line="240" w:lineRule="auto"/>
        <w:jc w:val="both"/>
        <w:rPr>
          <w:noProof/>
        </w:rPr>
      </w:pPr>
      <w:r w:rsidRPr="00D207EA">
        <w:rPr>
          <w:noProof/>
        </w:rPr>
        <w:t>en ce qui concerne les interventions au titre de la PAC visées à l’article 35, paragraphe 1,</w:t>
      </w:r>
    </w:p>
    <w:p w14:paraId="3410CD0B" w14:textId="77777777" w:rsidR="00FB1C43" w:rsidRPr="00D207EA" w:rsidRDefault="3BF0EBC8" w:rsidP="2B51165D">
      <w:pPr>
        <w:pStyle w:val="Bullet3"/>
        <w:rPr>
          <w:noProof/>
        </w:rPr>
      </w:pPr>
      <w:r w:rsidRPr="00D207EA">
        <w:rPr>
          <w:noProof/>
        </w:rPr>
        <w:t>le sexe, que le bénéficiaire soit un agriculteur, un sylviculteur, un jeune agriculteur ou un exploitant récemment installé; pour les interventions sectorielles, le type d’organisation de producteurs;</w:t>
      </w:r>
    </w:p>
    <w:p w14:paraId="0396F52B" w14:textId="77777777" w:rsidR="00D76AB2" w:rsidRPr="00D207EA" w:rsidRDefault="00D91745" w:rsidP="00C21519">
      <w:pPr>
        <w:pStyle w:val="Bullet3"/>
        <w:numPr>
          <w:ilvl w:val="0"/>
          <w:numId w:val="66"/>
        </w:numPr>
        <w:rPr>
          <w:noProof/>
        </w:rPr>
      </w:pPr>
      <w:r w:rsidRPr="00D207EA">
        <w:rPr>
          <w:noProof/>
        </w:rPr>
        <w:t>la géolocalisation de l’exploitation, qu’elle soit située dans une zone soumise à des contraintes naturelles ou spécifiques au sens de l’article 8 du règlement (UE) 202/XXXX [règlement relatif à la PAC] [Paiement pour contraintes naturelles ou autres contraintes spécifiques à une zone], dans une zone vulnérable aux nitrates</w:t>
      </w:r>
      <w:r w:rsidR="001D67EF" w:rsidRPr="00D207EA">
        <w:rPr>
          <w:rStyle w:val="FootnoteReference"/>
          <w:noProof/>
        </w:rPr>
        <w:footnoteReference w:id="25"/>
      </w:r>
      <w:r w:rsidRPr="00D207EA">
        <w:rPr>
          <w:noProof/>
        </w:rPr>
        <w:t xml:space="preserve">, ou dans une zone du réseau Natura 2000 au sens de l’article 9 dudit règlement [Soutien pour les désavantages résultant de certaines exigences obligatoires];  </w:t>
      </w:r>
    </w:p>
    <w:p w14:paraId="514821C0" w14:textId="77777777" w:rsidR="00D91745" w:rsidRPr="00D207EA" w:rsidRDefault="00D76AB2" w:rsidP="00E305E4">
      <w:pPr>
        <w:pStyle w:val="Bullet3"/>
        <w:rPr>
          <w:noProof/>
        </w:rPr>
      </w:pPr>
      <w:r w:rsidRPr="00D207EA">
        <w:rPr>
          <w:noProof/>
        </w:rPr>
        <w:t>le type d’exploitation</w:t>
      </w:r>
      <w:r w:rsidR="00606892" w:rsidRPr="00D207EA">
        <w:rPr>
          <w:rStyle w:val="FootnoteReference"/>
          <w:noProof/>
        </w:rPr>
        <w:footnoteReference w:id="26"/>
      </w:r>
      <w:r w:rsidRPr="00D207EA">
        <w:rPr>
          <w:noProof/>
        </w:rPr>
        <w:t>, si c’est une exploitation biologique</w:t>
      </w:r>
      <w:r w:rsidR="0059065F" w:rsidRPr="00D207EA">
        <w:rPr>
          <w:rStyle w:val="FootnoteReference"/>
          <w:noProof/>
        </w:rPr>
        <w:footnoteReference w:id="27"/>
      </w:r>
      <w:r w:rsidRPr="00D207EA">
        <w:rPr>
          <w:noProof/>
        </w:rPr>
        <w:t>, le nombre total d’hectares de terres arables, de prairies permanentes, de cultures permanentes, sur lesquels aucune activité agricole n’est exercée mais qui sont éligibles, le nombre total d’hectares soumis à des pratiques de gérance, dont des pratiques protégées;</w:t>
      </w:r>
    </w:p>
    <w:p w14:paraId="5743A641" w14:textId="2495DCBB" w:rsidR="00256F20" w:rsidRPr="00D207EA" w:rsidRDefault="008D666E" w:rsidP="008D666E">
      <w:pPr>
        <w:pStyle w:val="Point10"/>
        <w:rPr>
          <w:noProof/>
        </w:rPr>
      </w:pPr>
      <w:r w:rsidRPr="008D666E">
        <w:rPr>
          <w:noProof/>
        </w:rPr>
        <w:t>(b)</w:t>
      </w:r>
      <w:r w:rsidRPr="008D666E">
        <w:rPr>
          <w:noProof/>
        </w:rPr>
        <w:tab/>
      </w:r>
      <w:r w:rsidR="00256F20" w:rsidRPr="00D207EA">
        <w:rPr>
          <w:noProof/>
        </w:rPr>
        <w:t>sur le destinataire et le destinataire final:</w:t>
      </w:r>
    </w:p>
    <w:p w14:paraId="594DEDD8" w14:textId="07C84E68" w:rsidR="00256F20" w:rsidRPr="00D207EA" w:rsidRDefault="00E1129D" w:rsidP="00C21519">
      <w:pPr>
        <w:pStyle w:val="Point2n"/>
        <w:numPr>
          <w:ilvl w:val="0"/>
          <w:numId w:val="67"/>
        </w:numPr>
        <w:spacing w:line="240" w:lineRule="auto"/>
        <w:jc w:val="both"/>
        <w:rPr>
          <w:noProof/>
        </w:rPr>
      </w:pPr>
      <w:r w:rsidRPr="00D207EA">
        <w:rPr>
          <w:noProof/>
        </w:rPr>
        <w:t>si le destinataire ou le destinataire final est une personne physique ou morale et, dans le cas d’une personne morale, s’il s’agit d’un organisme de droit public ou privé;</w:t>
      </w:r>
    </w:p>
    <w:p w14:paraId="1DAA5655" w14:textId="2FB93A63" w:rsidR="00256F20" w:rsidRPr="00D207EA" w:rsidRDefault="00E1129D" w:rsidP="005A28DE">
      <w:pPr>
        <w:pStyle w:val="Point2n"/>
        <w:spacing w:line="240" w:lineRule="auto"/>
        <w:jc w:val="both"/>
        <w:rPr>
          <w:noProof/>
        </w:rPr>
      </w:pPr>
      <w:r w:rsidRPr="00D207EA">
        <w:rPr>
          <w:noProof/>
        </w:rPr>
        <w:t>dans le cas d’une personne morale, le nom légal complet du destinataire ou du destinataire final et son numéro d’identification TVA ou son numéro d’identification fiscale, le cas échéant, ou tout autre identifiant unique établi au niveau national, et dans le cas d’une personne physique, le nom et le prénom du destinataire, sa date de naissance et son numéro d’identification fiscale, le cas échéant, ou tout autre identifiant unique;</w:t>
      </w:r>
    </w:p>
    <w:p w14:paraId="2ABEACB5" w14:textId="77777777" w:rsidR="008808CF" w:rsidRPr="00D207EA" w:rsidRDefault="68D45096" w:rsidP="005A28DE">
      <w:pPr>
        <w:pStyle w:val="Point2n"/>
        <w:spacing w:line="240" w:lineRule="auto"/>
        <w:jc w:val="both"/>
        <w:rPr>
          <w:noProof/>
        </w:rPr>
      </w:pPr>
      <w:r w:rsidRPr="00D207EA">
        <w:rPr>
          <w:noProof/>
        </w:rPr>
        <w:t>pour les instruments financiers concernant les interventions de soutien à la politique agricole commune mises en œuvre dans le cadre de la gestion partagée, le sexe, la désignation du destinataire final (agriculteur, sylviculteur, jeune agriculteur ou exploitant récemment installé), et le nombre de contrats signés entre le destinataire final et la banque;</w:t>
      </w:r>
    </w:p>
    <w:p w14:paraId="6FF46D93" w14:textId="69107415" w:rsidR="00256F20" w:rsidRPr="00D207EA" w:rsidRDefault="00E1129D" w:rsidP="005A28DE">
      <w:pPr>
        <w:pStyle w:val="Point2n"/>
        <w:spacing w:line="240" w:lineRule="auto"/>
        <w:jc w:val="both"/>
        <w:rPr>
          <w:noProof/>
        </w:rPr>
      </w:pPr>
      <w:r w:rsidRPr="00D207EA">
        <w:rPr>
          <w:noProof/>
        </w:rPr>
        <w:t>la localité du destinataire ou du destinataire final, à savoir l’adresse du destinataire lorsque le destinataire ou le destinataire final est une personne morale; la région de niveau NUTS 2 lorsque le destinataire ou le destinataire final est une personne physique et est domicilié dans l’Union ou le pays lorsque le destinataire ou le destinataire final est une personne physique et n’est pas domicilié dans l’Union;</w:t>
      </w:r>
    </w:p>
    <w:p w14:paraId="0F1C87BB" w14:textId="39CE98D5" w:rsidR="00256F20" w:rsidRPr="00D207EA" w:rsidRDefault="00E1129D" w:rsidP="005A28DE">
      <w:pPr>
        <w:pStyle w:val="Point2n"/>
        <w:spacing w:line="240" w:lineRule="auto"/>
        <w:jc w:val="both"/>
        <w:rPr>
          <w:noProof/>
        </w:rPr>
      </w:pPr>
      <w:r w:rsidRPr="00D207EA">
        <w:rPr>
          <w:noProof/>
        </w:rPr>
        <w:t>les informations sur tous les bénéficiaires effectifs du destinataire ou du destinataire final, s’il y a lieu, au sens de l’article 3, point 6), de la directive (UE) 2015/849, à savoir prénom(s) et nom, date de naissance et numéro d’identification TVA ou numéro d’identification fiscale, le cas échéant, ou autre identifiant unique au niveau du pays;</w:t>
      </w:r>
    </w:p>
    <w:p w14:paraId="548FD6FE" w14:textId="77777777" w:rsidR="00256F20" w:rsidRPr="00D207EA" w:rsidRDefault="00E1129D" w:rsidP="005A28DE">
      <w:pPr>
        <w:pStyle w:val="Point2n"/>
        <w:spacing w:line="240" w:lineRule="auto"/>
        <w:jc w:val="both"/>
        <w:rPr>
          <w:noProof/>
        </w:rPr>
      </w:pPr>
      <w:r w:rsidRPr="00D207EA">
        <w:rPr>
          <w:noProof/>
        </w:rPr>
        <w:t>le montant de la contribution de l’Union engagée, la mesure associée dans le cadre du plan et l’identifiant de l’opération;</w:t>
      </w:r>
    </w:p>
    <w:p w14:paraId="2D37A1BF" w14:textId="439E2247" w:rsidR="00256F20" w:rsidRPr="00D207EA" w:rsidRDefault="008D666E" w:rsidP="008D666E">
      <w:pPr>
        <w:pStyle w:val="Point10"/>
        <w:rPr>
          <w:noProof/>
        </w:rPr>
      </w:pPr>
      <w:r w:rsidRPr="008D666E">
        <w:rPr>
          <w:noProof/>
        </w:rPr>
        <w:t>(c)</w:t>
      </w:r>
      <w:r w:rsidRPr="008D666E">
        <w:rPr>
          <w:noProof/>
        </w:rPr>
        <w:tab/>
      </w:r>
      <w:r w:rsidR="00256F20" w:rsidRPr="00D207EA">
        <w:rPr>
          <w:noProof/>
        </w:rPr>
        <w:t xml:space="preserve">sur le contractant: </w:t>
      </w:r>
    </w:p>
    <w:p w14:paraId="4A44DD33" w14:textId="77777777" w:rsidR="00256F20" w:rsidRPr="00D207EA" w:rsidRDefault="00E1129D" w:rsidP="00C21519">
      <w:pPr>
        <w:pStyle w:val="Point2n"/>
        <w:numPr>
          <w:ilvl w:val="0"/>
          <w:numId w:val="68"/>
        </w:numPr>
        <w:spacing w:line="240" w:lineRule="auto"/>
        <w:jc w:val="both"/>
        <w:rPr>
          <w:noProof/>
        </w:rPr>
      </w:pPr>
      <w:r w:rsidRPr="00D207EA">
        <w:rPr>
          <w:noProof/>
        </w:rPr>
        <w:t>le nom et le numéro d’identification TVA ou le numéro d’identification fiscale;</w:t>
      </w:r>
    </w:p>
    <w:p w14:paraId="4EE6CBF0" w14:textId="77777777" w:rsidR="00256F20" w:rsidRPr="00D207EA" w:rsidRDefault="00E1129D" w:rsidP="005A28DE">
      <w:pPr>
        <w:pStyle w:val="Point2n"/>
        <w:spacing w:line="240" w:lineRule="auto"/>
        <w:jc w:val="both"/>
        <w:rPr>
          <w:noProof/>
        </w:rPr>
      </w:pPr>
      <w:r w:rsidRPr="00D207EA">
        <w:rPr>
          <w:noProof/>
        </w:rPr>
        <w:t xml:space="preserve">les informations sur tous les bénéficiaires effectifs du contractant, s’il y a lieu, au sens de l’article 3, point 6), de la directive (UE) 2015/849, à savoir prénom(s) et nom, date de naissance et numéro d’identification TVA ou numéro d’identification fiscale, le cas échéant, ou autre identifiant unique au niveau du pays; </w:t>
      </w:r>
    </w:p>
    <w:p w14:paraId="072A8AEF" w14:textId="77777777" w:rsidR="00256F20" w:rsidRPr="00D207EA" w:rsidRDefault="00E1129D" w:rsidP="005A28DE">
      <w:pPr>
        <w:pStyle w:val="Point2n"/>
        <w:spacing w:line="240" w:lineRule="auto"/>
        <w:jc w:val="both"/>
        <w:rPr>
          <w:noProof/>
        </w:rPr>
      </w:pPr>
      <w:r w:rsidRPr="00D207EA">
        <w:rPr>
          <w:noProof/>
        </w:rPr>
        <w:t xml:space="preserve">des informations sur tous les contrats, à savoir le nom, la date, la référence, le montant du contrat et tout identifiant ou numéro d’identification pertinent; </w:t>
      </w:r>
    </w:p>
    <w:p w14:paraId="0620B703" w14:textId="77777777" w:rsidR="00256F20" w:rsidRPr="00D207EA" w:rsidRDefault="00E1129D" w:rsidP="005A28DE">
      <w:pPr>
        <w:pStyle w:val="Point2n"/>
        <w:spacing w:line="240" w:lineRule="auto"/>
        <w:jc w:val="both"/>
        <w:rPr>
          <w:noProof/>
        </w:rPr>
      </w:pPr>
      <w:r w:rsidRPr="00D207EA">
        <w:rPr>
          <w:noProof/>
        </w:rPr>
        <w:t>la mesure associée dans le cadre du plan avec le numéro de séquence de la mesure et l’identifiant de l’opération;</w:t>
      </w:r>
    </w:p>
    <w:p w14:paraId="3019ACCE" w14:textId="0902986C" w:rsidR="00256F20" w:rsidRPr="00D207EA" w:rsidRDefault="008D666E" w:rsidP="008D666E">
      <w:pPr>
        <w:pStyle w:val="Point10"/>
        <w:rPr>
          <w:noProof/>
        </w:rPr>
      </w:pPr>
      <w:r w:rsidRPr="008D666E">
        <w:rPr>
          <w:noProof/>
        </w:rPr>
        <w:t>(d)</w:t>
      </w:r>
      <w:r w:rsidRPr="008D666E">
        <w:rPr>
          <w:noProof/>
        </w:rPr>
        <w:tab/>
      </w:r>
      <w:r w:rsidR="00256F20" w:rsidRPr="00D207EA">
        <w:rPr>
          <w:noProof/>
        </w:rPr>
        <w:t xml:space="preserve">sur le sous-traitant: </w:t>
      </w:r>
    </w:p>
    <w:p w14:paraId="640735F2" w14:textId="77777777" w:rsidR="00256F20" w:rsidRPr="00D207EA" w:rsidRDefault="00E1129D" w:rsidP="00C21519">
      <w:pPr>
        <w:pStyle w:val="Point2n"/>
        <w:numPr>
          <w:ilvl w:val="0"/>
          <w:numId w:val="69"/>
        </w:numPr>
        <w:spacing w:line="240" w:lineRule="auto"/>
        <w:jc w:val="both"/>
        <w:rPr>
          <w:noProof/>
        </w:rPr>
      </w:pPr>
      <w:r w:rsidRPr="00D207EA">
        <w:rPr>
          <w:noProof/>
        </w:rPr>
        <w:t>le nom, le numéro d’identification TVA ou le numéro d’identification fiscale;</w:t>
      </w:r>
    </w:p>
    <w:p w14:paraId="03AD8053" w14:textId="77777777" w:rsidR="00256F20" w:rsidRPr="00D207EA" w:rsidRDefault="00E1129D" w:rsidP="005A28DE">
      <w:pPr>
        <w:pStyle w:val="Point2n"/>
        <w:spacing w:line="240" w:lineRule="auto"/>
        <w:jc w:val="both"/>
        <w:rPr>
          <w:noProof/>
        </w:rPr>
      </w:pPr>
      <w:r w:rsidRPr="00D207EA">
        <w:rPr>
          <w:noProof/>
        </w:rPr>
        <w:t xml:space="preserve">des informations sur le contrat de sous-traitance, à savoir le nom, la date, la référence, le montant du contrat et tout identifiant ou numéro d’identification pertinent; </w:t>
      </w:r>
    </w:p>
    <w:p w14:paraId="3220A9D9" w14:textId="77777777" w:rsidR="00256F20" w:rsidRPr="00D207EA" w:rsidRDefault="00E1129D" w:rsidP="005A28DE">
      <w:pPr>
        <w:pStyle w:val="Point2n"/>
        <w:spacing w:line="240" w:lineRule="auto"/>
        <w:jc w:val="both"/>
        <w:rPr>
          <w:noProof/>
        </w:rPr>
      </w:pPr>
      <w:r w:rsidRPr="00D207EA">
        <w:rPr>
          <w:noProof/>
        </w:rPr>
        <w:t>la mesure et l’opération associées dans le cadre du plan avec le numéro de séquence de la mesure et l’identifiant de l’opération;</w:t>
      </w:r>
    </w:p>
    <w:p w14:paraId="2A20BE6D" w14:textId="784F814E" w:rsidR="00256F20" w:rsidRPr="00D207EA" w:rsidRDefault="008D666E" w:rsidP="008D666E">
      <w:pPr>
        <w:pStyle w:val="Point10"/>
        <w:rPr>
          <w:noProof/>
        </w:rPr>
      </w:pPr>
      <w:r w:rsidRPr="008D666E">
        <w:rPr>
          <w:noProof/>
        </w:rPr>
        <w:t>(e)</w:t>
      </w:r>
      <w:r w:rsidRPr="008D666E">
        <w:rPr>
          <w:noProof/>
        </w:rPr>
        <w:tab/>
      </w:r>
      <w:r w:rsidR="00256F20" w:rsidRPr="00D207EA">
        <w:rPr>
          <w:noProof/>
        </w:rPr>
        <w:t xml:space="preserve">sur les opérations: </w:t>
      </w:r>
    </w:p>
    <w:p w14:paraId="45363836" w14:textId="77777777" w:rsidR="00256F20" w:rsidRPr="00D207EA" w:rsidRDefault="00E1129D" w:rsidP="00C21519">
      <w:pPr>
        <w:pStyle w:val="Point2n"/>
        <w:numPr>
          <w:ilvl w:val="0"/>
          <w:numId w:val="192"/>
        </w:numPr>
        <w:spacing w:line="240" w:lineRule="auto"/>
        <w:jc w:val="both"/>
        <w:rPr>
          <w:noProof/>
        </w:rPr>
      </w:pPr>
      <w:r w:rsidRPr="00D207EA">
        <w:rPr>
          <w:noProof/>
        </w:rPr>
        <w:t xml:space="preserve">le nom, l’identifiant unique et la géolocalisation de l’opération ou, pour les opérations mobiles, les opérations mises en œuvre dans le nuage informatique ou les opérations couvrant plusieurs sites, la localisation du bénéficiaire;   </w:t>
      </w:r>
    </w:p>
    <w:p w14:paraId="4C173693" w14:textId="77777777" w:rsidR="00256F20" w:rsidRPr="00D207EA" w:rsidRDefault="00802C4B" w:rsidP="005A28DE">
      <w:pPr>
        <w:pStyle w:val="Point2n"/>
        <w:spacing w:line="240" w:lineRule="auto"/>
        <w:jc w:val="both"/>
        <w:rPr>
          <w:noProof/>
        </w:rPr>
      </w:pPr>
      <w:r w:rsidRPr="00D207EA">
        <w:rPr>
          <w:noProof/>
        </w:rPr>
        <w:t>la description succincte et les objectifs de l’opération, à l’exception des interventions au titre de la PAC visées à l’article 35, paragraphe 1, points a) à g), o) et p);</w:t>
      </w:r>
    </w:p>
    <w:p w14:paraId="31957FC4" w14:textId="77777777" w:rsidR="00256F20" w:rsidRPr="00D207EA" w:rsidRDefault="00802C4B" w:rsidP="005A28DE">
      <w:pPr>
        <w:pStyle w:val="Point2n"/>
        <w:spacing w:line="240" w:lineRule="auto"/>
        <w:jc w:val="both"/>
        <w:rPr>
          <w:noProof/>
        </w:rPr>
      </w:pPr>
      <w:r w:rsidRPr="00D207EA">
        <w:rPr>
          <w:noProof/>
        </w:rPr>
        <w:t>l’identifiant unique du ou des appels à propositions et des appels d’offres dans le cadre desquels l’opération a été sélectionnée et les informations connexes conformément à l’article 12, paragraphe 4, du règlement (UE) [règlement relatif à la performance];</w:t>
      </w:r>
    </w:p>
    <w:p w14:paraId="4F535E4A" w14:textId="77777777" w:rsidR="00256F20" w:rsidRPr="00D207EA" w:rsidRDefault="00802C4B" w:rsidP="005A28DE">
      <w:pPr>
        <w:pStyle w:val="Point2n"/>
        <w:spacing w:line="240" w:lineRule="auto"/>
        <w:jc w:val="both"/>
        <w:rPr>
          <w:noProof/>
        </w:rPr>
      </w:pPr>
      <w:r w:rsidRPr="00D207EA">
        <w:rPr>
          <w:noProof/>
        </w:rPr>
        <w:t xml:space="preserve">la date de présentation de la demande de financement et la date du document précisant les conditions relatives au soutien;  </w:t>
      </w:r>
    </w:p>
    <w:p w14:paraId="4C551FCA" w14:textId="77777777" w:rsidR="00256F20" w:rsidRPr="00D207EA" w:rsidRDefault="00802C4B" w:rsidP="005A28DE">
      <w:pPr>
        <w:pStyle w:val="Point2n"/>
        <w:spacing w:line="240" w:lineRule="auto"/>
        <w:jc w:val="both"/>
        <w:rPr>
          <w:noProof/>
        </w:rPr>
      </w:pPr>
      <w:r w:rsidRPr="00D207EA">
        <w:rPr>
          <w:noProof/>
        </w:rPr>
        <w:t xml:space="preserve">le montant de la contribution de l’Union tel que visé dans le document précisant les conditions relatives au soutien;  </w:t>
      </w:r>
    </w:p>
    <w:p w14:paraId="78B1593A" w14:textId="77777777" w:rsidR="00256F20" w:rsidRPr="00D207EA" w:rsidRDefault="00F54856" w:rsidP="005A28DE">
      <w:pPr>
        <w:pStyle w:val="Point2n"/>
        <w:spacing w:line="240" w:lineRule="auto"/>
        <w:jc w:val="both"/>
        <w:rPr>
          <w:noProof/>
        </w:rPr>
      </w:pPr>
      <w:r w:rsidRPr="00D207EA">
        <w:rPr>
          <w:noProof/>
        </w:rPr>
        <w:t xml:space="preserve">le montant versé au bénéficiaire pour l’opération; </w:t>
      </w:r>
    </w:p>
    <w:p w14:paraId="46B905E6" w14:textId="77777777" w:rsidR="00303424" w:rsidRPr="00D207EA" w:rsidRDefault="001F772D" w:rsidP="005A28DE">
      <w:pPr>
        <w:pStyle w:val="Point2n"/>
        <w:spacing w:line="240" w:lineRule="auto"/>
        <w:jc w:val="both"/>
        <w:rPr>
          <w:noProof/>
        </w:rPr>
      </w:pPr>
      <w:r w:rsidRPr="00D207EA">
        <w:rPr>
          <w:noProof/>
        </w:rPr>
        <w:t>le taux de cofinancement applicable au chapitre correspondant du plan et, le cas échéant, le financement national supplémentaire;</w:t>
      </w:r>
    </w:p>
    <w:p w14:paraId="43241DE6" w14:textId="77777777" w:rsidR="00256F20" w:rsidRPr="00D207EA" w:rsidRDefault="00802C4B" w:rsidP="005A28DE">
      <w:pPr>
        <w:pStyle w:val="Point2n"/>
        <w:spacing w:line="240" w:lineRule="auto"/>
        <w:jc w:val="both"/>
        <w:rPr>
          <w:noProof/>
        </w:rPr>
      </w:pPr>
      <w:r w:rsidRPr="00D207EA">
        <w:rPr>
          <w:noProof/>
        </w:rPr>
        <w:t xml:space="preserve">la date de départ et la date de fin de l’opération indiquées dans le document précisant les conditions relatives au soutien;  </w:t>
      </w:r>
    </w:p>
    <w:p w14:paraId="5B9BD61F" w14:textId="77777777" w:rsidR="00256F20" w:rsidRPr="00D207EA" w:rsidRDefault="00F54856" w:rsidP="005A28DE">
      <w:pPr>
        <w:pStyle w:val="Point2n"/>
        <w:spacing w:line="240" w:lineRule="auto"/>
        <w:jc w:val="both"/>
        <w:rPr>
          <w:noProof/>
        </w:rPr>
      </w:pPr>
      <w:r w:rsidRPr="00D207EA">
        <w:rPr>
          <w:noProof/>
        </w:rPr>
        <w:t xml:space="preserve">la date effective à laquelle l’opération est matériellement achevée ou intégralement mise en œuvre; </w:t>
      </w:r>
    </w:p>
    <w:p w14:paraId="04724DBD" w14:textId="77777777" w:rsidR="00256F20" w:rsidRPr="00D207EA" w:rsidRDefault="00F54856" w:rsidP="005A28DE">
      <w:pPr>
        <w:pStyle w:val="Point2n"/>
        <w:spacing w:line="240" w:lineRule="auto"/>
        <w:jc w:val="both"/>
        <w:rPr>
          <w:noProof/>
        </w:rPr>
      </w:pPr>
      <w:r w:rsidRPr="00D207EA">
        <w:rPr>
          <w:noProof/>
        </w:rPr>
        <w:t xml:space="preserve">la monnaie utilisée aux fins de l’opération comme indiquée dans le document précisant les conditions relatives au soutien;  </w:t>
      </w:r>
    </w:p>
    <w:p w14:paraId="301D0368" w14:textId="77777777" w:rsidR="00256F20" w:rsidRPr="00D207EA" w:rsidRDefault="00F54856" w:rsidP="005A28DE">
      <w:pPr>
        <w:pStyle w:val="Point2n"/>
        <w:spacing w:line="240" w:lineRule="auto"/>
        <w:jc w:val="both"/>
        <w:rPr>
          <w:noProof/>
        </w:rPr>
      </w:pPr>
      <w:r w:rsidRPr="00D207EA">
        <w:rPr>
          <w:noProof/>
        </w:rPr>
        <w:t xml:space="preserve">l’identifiant unique du plan au titre duquel l’opération bénéficie d’un soutien;  </w:t>
      </w:r>
    </w:p>
    <w:p w14:paraId="64188C03" w14:textId="77777777" w:rsidR="00256F20" w:rsidRPr="00D207EA" w:rsidRDefault="00F54856" w:rsidP="005A28DE">
      <w:pPr>
        <w:pStyle w:val="Point2n"/>
        <w:spacing w:line="240" w:lineRule="auto"/>
        <w:jc w:val="both"/>
        <w:rPr>
          <w:noProof/>
        </w:rPr>
      </w:pPr>
      <w:r w:rsidRPr="00D207EA">
        <w:rPr>
          <w:noProof/>
        </w:rPr>
        <w:t xml:space="preserve">des informations indiquant si un pays tiers participe à l’opération, ou si celle-ci se déroule dans un pays tiers; dans ce cas, la mention du pays tiers concerné;  </w:t>
      </w:r>
    </w:p>
    <w:p w14:paraId="1CC04A20" w14:textId="77777777" w:rsidR="00655039" w:rsidRPr="00D207EA" w:rsidRDefault="001F5C70" w:rsidP="005A28DE">
      <w:pPr>
        <w:pStyle w:val="Point2n"/>
        <w:spacing w:line="240" w:lineRule="auto"/>
        <w:jc w:val="both"/>
        <w:rPr>
          <w:noProof/>
        </w:rPr>
      </w:pPr>
      <w:r w:rsidRPr="00D207EA">
        <w:rPr>
          <w:noProof/>
        </w:rPr>
        <w:t xml:space="preserve">le numéro d’ordre de la mesure, de la valeur intermédiaire et de la valeur cible, du domaine d’intervention et des indicateurs de performance conformément à l’article 14 du règlement [règlement relatif à la performance] auxquels l’opération contribue, ainsi que l’état d’avancement des réalisations et de chaque indicateur; </w:t>
      </w:r>
    </w:p>
    <w:p w14:paraId="17E86AD8" w14:textId="77777777" w:rsidR="00256F20" w:rsidRPr="00D207EA" w:rsidRDefault="1D7424B5" w:rsidP="005A28DE">
      <w:pPr>
        <w:pStyle w:val="Point2n"/>
        <w:spacing w:line="240" w:lineRule="auto"/>
        <w:jc w:val="both"/>
        <w:rPr>
          <w:noProof/>
        </w:rPr>
      </w:pPr>
      <w:r w:rsidRPr="00D207EA">
        <w:rPr>
          <w:noProof/>
        </w:rPr>
        <w:t xml:space="preserve">pour les interventions au titre de la PAC visées à l’article 35, paragraphe 1: la superficie admissible, les pratiques agricoles couvertes, le cas échéant, si cette pratique agricole est nouvellement mise en œuvre, le secteur agricole, la zone ou le groupe d’agriculteurs ciblé, le type de zone soutenue, la superficie ou le nombre d’animaux ou de capitaux assurés, la catégorie des investissements, le type de formation;   </w:t>
      </w:r>
    </w:p>
    <w:p w14:paraId="4A57A34E" w14:textId="77777777" w:rsidR="00256F20" w:rsidRPr="00D207EA" w:rsidRDefault="001F5C70" w:rsidP="005A28DE">
      <w:pPr>
        <w:pStyle w:val="Point2n"/>
        <w:spacing w:line="240" w:lineRule="auto"/>
        <w:jc w:val="both"/>
        <w:rPr>
          <w:noProof/>
        </w:rPr>
      </w:pPr>
      <w:r w:rsidRPr="00D207EA">
        <w:rPr>
          <w:noProof/>
        </w:rPr>
        <w:t xml:space="preserve">des informations indiquant si l’instrument financier est combiné avec un soutien du programme prenant la forme de subventions au sens de l’article 71;  </w:t>
      </w:r>
    </w:p>
    <w:p w14:paraId="1F20C214" w14:textId="77777777" w:rsidR="00256F20" w:rsidRPr="00D207EA" w:rsidRDefault="001F5C70" w:rsidP="005A28DE">
      <w:pPr>
        <w:pStyle w:val="Point2n"/>
        <w:spacing w:line="240" w:lineRule="auto"/>
        <w:jc w:val="both"/>
        <w:rPr>
          <w:noProof/>
        </w:rPr>
      </w:pPr>
      <w:r w:rsidRPr="00D207EA">
        <w:rPr>
          <w:noProof/>
        </w:rPr>
        <w:t>des informations indiquant si l’opération au titre d’un instrument financier est mise en œuvre au cours des périodes de programmation consécutives ci-dessous: la période de programmation 2021-2027 et la période de programmation 2027-2034;</w:t>
      </w:r>
    </w:p>
    <w:p w14:paraId="46C22B78" w14:textId="77777777" w:rsidR="00256F20" w:rsidRPr="00D207EA" w:rsidRDefault="001F5C70" w:rsidP="005A28DE">
      <w:pPr>
        <w:pStyle w:val="Point2n"/>
        <w:spacing w:line="240" w:lineRule="auto"/>
        <w:jc w:val="both"/>
        <w:rPr>
          <w:noProof/>
        </w:rPr>
      </w:pPr>
      <w:r w:rsidRPr="00D207EA">
        <w:rPr>
          <w:noProof/>
        </w:rPr>
        <w:t xml:space="preserve">lorsque l’instrument financier est organisé au moyen d’un fonds à participation, des informations sur l’organisme mettant en œuvre un fonds spécifique dans le cadre du fonds à participation; </w:t>
      </w:r>
    </w:p>
    <w:p w14:paraId="220A68E5" w14:textId="77777777" w:rsidR="00256F20" w:rsidRPr="00D207EA" w:rsidRDefault="001F5C70" w:rsidP="005A28DE">
      <w:pPr>
        <w:pStyle w:val="Point2n"/>
        <w:spacing w:line="240" w:lineRule="auto"/>
        <w:jc w:val="both"/>
        <w:rPr>
          <w:noProof/>
        </w:rPr>
      </w:pPr>
      <w:r w:rsidRPr="00D207EA">
        <w:rPr>
          <w:noProof/>
        </w:rPr>
        <w:t xml:space="preserve">en ce qui concerne les opérations au titre d’un instrument financier, le montant des ressources privées et publiques mobilisées en plus du Fonds, par produit: prêts; garanties; participations ou quasi-participations; subventions dans le cadre d’une opération au titre d’un instrument financier;   </w:t>
      </w:r>
    </w:p>
    <w:p w14:paraId="0466EBEB" w14:textId="6A87FE72" w:rsidR="006838D5" w:rsidRPr="00D207EA" w:rsidRDefault="008D666E" w:rsidP="008D666E">
      <w:pPr>
        <w:pStyle w:val="Point10"/>
        <w:rPr>
          <w:noProof/>
        </w:rPr>
      </w:pPr>
      <w:r w:rsidRPr="008D666E">
        <w:rPr>
          <w:noProof/>
        </w:rPr>
        <w:t>(f)</w:t>
      </w:r>
      <w:r w:rsidRPr="008D666E">
        <w:rPr>
          <w:noProof/>
        </w:rPr>
        <w:tab/>
      </w:r>
      <w:r w:rsidR="005A381C" w:rsidRPr="00D207EA">
        <w:rPr>
          <w:noProof/>
        </w:rPr>
        <w:t>sur le développement local mené par les acteurs locaux, en relation avec chaque groupe d’action locale (GAL):</w:t>
      </w:r>
    </w:p>
    <w:p w14:paraId="7B7537DC" w14:textId="77777777" w:rsidR="002E66FA" w:rsidRPr="00D207EA" w:rsidRDefault="002E66FA" w:rsidP="00C21519">
      <w:pPr>
        <w:pStyle w:val="Point2n"/>
        <w:numPr>
          <w:ilvl w:val="0"/>
          <w:numId w:val="193"/>
        </w:numPr>
        <w:spacing w:line="240" w:lineRule="auto"/>
        <w:jc w:val="both"/>
        <w:rPr>
          <w:noProof/>
        </w:rPr>
      </w:pPr>
      <w:r w:rsidRPr="00D207EA">
        <w:rPr>
          <w:noProof/>
        </w:rPr>
        <w:t xml:space="preserve">le nombre de membres par catégorie, le nombre de membres participant à la prise de décision par catégorie et par sexe, l’inclusion des jeunes dans la prise de décision; </w:t>
      </w:r>
    </w:p>
    <w:p w14:paraId="5AECFA8A" w14:textId="77777777" w:rsidR="002E66FA" w:rsidRPr="00D207EA" w:rsidRDefault="002E66FA" w:rsidP="005A28DE">
      <w:pPr>
        <w:pStyle w:val="Point2n"/>
        <w:spacing w:line="240" w:lineRule="auto"/>
        <w:jc w:val="both"/>
        <w:rPr>
          <w:noProof/>
        </w:rPr>
      </w:pPr>
      <w:r w:rsidRPr="00D207EA">
        <w:rPr>
          <w:noProof/>
        </w:rPr>
        <w:t>le nombre d’actions mises en œuvre par type de bénéficiaire et par superficie, le nombre d’actions comportant une innovation; le montant de la contribution de l’Union engagée et versée pour des actions de renforcement des capacités et des actions préparatoires, ainsi que pour la gestion, le suivi et l’évaluation de la stratégie et de son animation;</w:t>
      </w:r>
    </w:p>
    <w:p w14:paraId="505477A5" w14:textId="77777777" w:rsidR="002E66FA" w:rsidRPr="00D207EA" w:rsidRDefault="002E66FA" w:rsidP="005A28DE">
      <w:pPr>
        <w:pStyle w:val="Point2n"/>
        <w:spacing w:line="240" w:lineRule="auto"/>
        <w:jc w:val="both"/>
        <w:rPr>
          <w:noProof/>
        </w:rPr>
      </w:pPr>
      <w:r w:rsidRPr="00D207EA">
        <w:rPr>
          <w:noProof/>
        </w:rPr>
        <w:t>le soutien du GAL apporté au développement régional, à l’emploi et à la politique sociale, ou au développement des communautés côtières et aquacoles;</w:t>
      </w:r>
    </w:p>
    <w:p w14:paraId="537EC3EA" w14:textId="4AC7B56D" w:rsidR="0069738B" w:rsidRPr="00D207EA" w:rsidRDefault="008D666E" w:rsidP="008D666E">
      <w:pPr>
        <w:pStyle w:val="Point10"/>
        <w:rPr>
          <w:noProof/>
        </w:rPr>
      </w:pPr>
      <w:r w:rsidRPr="008D666E">
        <w:rPr>
          <w:noProof/>
        </w:rPr>
        <w:t>(g)</w:t>
      </w:r>
      <w:r w:rsidRPr="008D666E">
        <w:rPr>
          <w:noProof/>
        </w:rPr>
        <w:tab/>
      </w:r>
      <w:r w:rsidR="0069738B" w:rsidRPr="00D207EA">
        <w:rPr>
          <w:noProof/>
        </w:rPr>
        <w:t>sur chaque groupe opérationnel du PEI-AGRI:</w:t>
      </w:r>
    </w:p>
    <w:p w14:paraId="412ED315" w14:textId="77777777" w:rsidR="0069738B" w:rsidRPr="00D207EA" w:rsidRDefault="0069738B" w:rsidP="00C21519">
      <w:pPr>
        <w:pStyle w:val="Point2n"/>
        <w:numPr>
          <w:ilvl w:val="0"/>
          <w:numId w:val="70"/>
        </w:numPr>
        <w:spacing w:line="240" w:lineRule="auto"/>
        <w:jc w:val="both"/>
        <w:rPr>
          <w:noProof/>
        </w:rPr>
      </w:pPr>
      <w:r w:rsidRPr="00D207EA">
        <w:rPr>
          <w:noProof/>
        </w:rPr>
        <w:t>l’intitulé du projet; le coordinateur du projet et le ou les partenaires: le type de partenaire, son nom, ses adresses postale et électronique, et son numéro de téléphone; la date de départ et la date de fin, les objectifs et la nature du projet; les principaux domaines thématiques abordés; le champ d’application territorial et la localisation géographique; un ou plusieurs «résumés de pratique» présentant les principales conclusions du projet; la contribution du projet aux objectifs spécifiques de la PAC; le rapport final;</w:t>
      </w:r>
    </w:p>
    <w:p w14:paraId="3C6495C2" w14:textId="77777777" w:rsidR="00EC49A1" w:rsidRPr="00D207EA" w:rsidRDefault="0069738B" w:rsidP="005A28DE">
      <w:pPr>
        <w:pStyle w:val="Point2n"/>
        <w:spacing w:line="240" w:lineRule="auto"/>
        <w:jc w:val="both"/>
        <w:rPr>
          <w:noProof/>
        </w:rPr>
      </w:pPr>
      <w:r w:rsidRPr="00D207EA">
        <w:rPr>
          <w:noProof/>
        </w:rPr>
        <w:t>le cas échéant, la ou les sources de financement qui complètent la contribution de l’Union et le cofinancement.</w:t>
      </w:r>
    </w:p>
    <w:p w14:paraId="79D2181A" w14:textId="77777777" w:rsidR="00256F20" w:rsidRPr="00D207EA" w:rsidRDefault="00256F20" w:rsidP="00C21519">
      <w:pPr>
        <w:pStyle w:val="NumPar10000000"/>
        <w:numPr>
          <w:ilvl w:val="0"/>
          <w:numId w:val="139"/>
        </w:numPr>
        <w:rPr>
          <w:noProof/>
        </w:rPr>
      </w:pPr>
      <w:r w:rsidRPr="00D207EA">
        <w:rPr>
          <w:noProof/>
        </w:rPr>
        <w:t>Les États membres mettent à la disposition de la Commission les informations visées au paragraphe 1 deux fois par an au moyen d’accords d’échange automatique de données.</w:t>
      </w:r>
    </w:p>
    <w:p w14:paraId="0BF39B7A" w14:textId="77777777" w:rsidR="26AF278B" w:rsidRPr="00D207EA" w:rsidRDefault="001A31BD" w:rsidP="00C21519">
      <w:pPr>
        <w:pStyle w:val="NumPar10000000"/>
        <w:numPr>
          <w:ilvl w:val="0"/>
          <w:numId w:val="139"/>
        </w:numPr>
        <w:rPr>
          <w:noProof/>
          <w:sz w:val="22"/>
        </w:rPr>
      </w:pPr>
      <w:r w:rsidRPr="00D207EA">
        <w:rPr>
          <w:noProof/>
        </w:rPr>
        <w:t>En ce qui concerne les données visées au paragraphe 1 relativement aux interventions au titre de la PAC, les États membres mettent chaque année à la disposition de la Commission, au plus tard le 31 octobre de l’année N, les informations concernant les paiements fondés sur la surface et les animaux effectués au cours de l’année de demande N-1, les interventions sectorielles mises en œuvre au cours de l’année civile N-1 et toute autre intervention, le cas échéant.</w:t>
      </w:r>
    </w:p>
    <w:p w14:paraId="1BA05EE1" w14:textId="77777777" w:rsidR="00D761DA" w:rsidRPr="00D207EA" w:rsidRDefault="00E13D48" w:rsidP="00C21519">
      <w:pPr>
        <w:pStyle w:val="NumPar10000000"/>
        <w:numPr>
          <w:ilvl w:val="0"/>
          <w:numId w:val="139"/>
        </w:numPr>
        <w:rPr>
          <w:noProof/>
        </w:rPr>
      </w:pPr>
      <w:r w:rsidRPr="00D207EA">
        <w:rPr>
          <w:noProof/>
        </w:rPr>
        <w:t>Les États membres mettent en place leur système de collecte de données de manière qu’il soit adapté au numérique et interopérables, en se fondant sur le principe selon lequel les données sont collectées «une fois pour toutes» et réutilisées. Les États membres veillent à ce que les bénéficiaires, les destinataires, les destinataires finaux, les contractants et les sous-traitants ne fassent pas l’objet, dans la mesure du possible, d’une duplication des demandes de données, aient accès à toutes les données pertinentes les concernant et puissent facilement réutiliser ces données pour compléter et présenter des demandes. Dans la mesure du possible, les États membres réutilisent les registres et les bases de données existants.</w:t>
      </w:r>
    </w:p>
    <w:p w14:paraId="7264A31E" w14:textId="56C6BE77" w:rsidR="00256F20" w:rsidRPr="00D207EA" w:rsidRDefault="00256F20" w:rsidP="00C21519">
      <w:pPr>
        <w:pStyle w:val="NumPar10000000"/>
        <w:numPr>
          <w:ilvl w:val="0"/>
          <w:numId w:val="139"/>
        </w:numPr>
        <w:rPr>
          <w:noProof/>
        </w:rPr>
      </w:pPr>
      <w:bookmarkStart w:id="13" w:name="_Hlk203488886"/>
      <w:r w:rsidRPr="00D207EA">
        <w:rPr>
          <w:noProof/>
        </w:rPr>
        <w:t>La Commission est habilitée à adopter des actes délégués conformément à l’article 86 [Exercice de la délégation] afin de modifier les catégories de données énoncées au paragraphe 1.</w:t>
      </w:r>
      <w:bookmarkEnd w:id="13"/>
    </w:p>
    <w:p w14:paraId="19D2BDBF" w14:textId="77777777" w:rsidR="00410938" w:rsidRPr="00D207EA" w:rsidRDefault="00410938" w:rsidP="00936FC4">
      <w:pPr>
        <w:pStyle w:val="Titrearticle"/>
        <w:rPr>
          <w:noProof/>
        </w:rPr>
      </w:pPr>
      <w:r w:rsidRPr="00D207EA">
        <w:rPr>
          <w:noProof/>
        </w:rPr>
        <w:t>Article 64</w:t>
      </w:r>
      <w:r w:rsidRPr="00D207EA">
        <w:rPr>
          <w:noProof/>
        </w:rPr>
        <w:br/>
      </w:r>
      <w:r w:rsidRPr="00D207EA">
        <w:rPr>
          <w:b/>
          <w:noProof/>
        </w:rPr>
        <w:t>Transparence</w:t>
      </w:r>
    </w:p>
    <w:p w14:paraId="44C60800" w14:textId="77777777" w:rsidR="00256F20" w:rsidRPr="00D207EA" w:rsidRDefault="00256F20" w:rsidP="00C21519">
      <w:pPr>
        <w:pStyle w:val="NumPar10000000"/>
        <w:numPr>
          <w:ilvl w:val="0"/>
          <w:numId w:val="90"/>
        </w:numPr>
        <w:rPr>
          <w:noProof/>
        </w:rPr>
      </w:pPr>
      <w:r w:rsidRPr="00D207EA">
        <w:rPr>
          <w:noProof/>
        </w:rPr>
        <w:t>Dans les six mois suivant l’adoption de la décision du Conseil visée à l’article 23 [proposition de la Commission et décision d’exécution du Conseil], l’État membre veille à ce que soit opérationnel un site web où il est possible de consulter les informations sur le soutien accordé au titre du présent règlement, couvrant les objectifs, les activités, les possibilités de financement disponibles et les réalisations du plan.</w:t>
      </w:r>
    </w:p>
    <w:p w14:paraId="7C2DCA01" w14:textId="77777777" w:rsidR="00827D98" w:rsidRPr="00D207EA" w:rsidRDefault="00256F20" w:rsidP="00C21519">
      <w:pPr>
        <w:pStyle w:val="NumPar10000000"/>
        <w:numPr>
          <w:ilvl w:val="0"/>
          <w:numId w:val="139"/>
        </w:numPr>
        <w:rPr>
          <w:noProof/>
        </w:rPr>
      </w:pPr>
      <w:r w:rsidRPr="00D207EA">
        <w:rPr>
          <w:noProof/>
        </w:rPr>
        <w:t>L’État membre assure la publication des informations visées à l’article 63, paragraphe 1 [Collecte et enregistrement des données], sur le site web visé au paragraphe 1, sous réserve de la protection des données à caractère personnel et des exceptions énumérées au paragraphe 5. Ces informations sont actualisées au moins une fois tous les six mois.</w:t>
      </w:r>
    </w:p>
    <w:p w14:paraId="03AB78AF" w14:textId="2185CB40" w:rsidR="00B2691D" w:rsidRPr="00D207EA" w:rsidRDefault="008442B5" w:rsidP="00B2691D">
      <w:pPr>
        <w:pStyle w:val="Text1"/>
        <w:rPr>
          <w:noProof/>
        </w:rPr>
      </w:pPr>
      <w:r w:rsidRPr="00D207EA">
        <w:rPr>
          <w:noProof/>
        </w:rPr>
        <w:t>Par dérogation au premier alinéa, en ce qui concerne les interventions au titre de la PAC visées à l’article 35, paragraphe 1, les États membres assurent, au plus tard le 31 mai de l’année N+1, la publication des informations visées à l’article 63, paragraphe 3 [Collecte et enregistrement des données], à l’exception des données visées au paragraphe 1, points a) iv) et ix) et point e) xiv), dudit article.</w:t>
      </w:r>
    </w:p>
    <w:p w14:paraId="64418FD6" w14:textId="77777777" w:rsidR="00256F20" w:rsidRPr="00D207EA" w:rsidRDefault="00256F20" w:rsidP="00B2691D">
      <w:pPr>
        <w:pStyle w:val="Text1"/>
        <w:rPr>
          <w:noProof/>
        </w:rPr>
      </w:pPr>
      <w:r w:rsidRPr="00D207EA">
        <w:rPr>
          <w:noProof/>
        </w:rPr>
        <w:t>L’État membre veille également à la publication sur ce site web des éléments visés à l’article 12, paragraphe 4, du règlement (UE) [règlement relatif à la performance] concernant les appels à propositions et les appels d’offres au titre du Fonds, ainsi que d’un calendrier des appels à propositions prévus au titre du Fonds accompagné desdits éléments, qui est mis à jour au moins deux fois par an.</w:t>
      </w:r>
    </w:p>
    <w:p w14:paraId="423802C6" w14:textId="77777777" w:rsidR="00256F20" w:rsidRPr="00D207EA" w:rsidRDefault="00EE4BAB" w:rsidP="00C6195D">
      <w:pPr>
        <w:pStyle w:val="Text1"/>
        <w:rPr>
          <w:noProof/>
        </w:rPr>
      </w:pPr>
      <w:r w:rsidRPr="00D207EA">
        <w:rPr>
          <w:noProof/>
        </w:rPr>
        <w:t>Les informations sont rédigées dans la ou les langues officielles de l’État membre et/ou en anglais, en français ou en allemand, et restent disponibles sur le site web pendant deux ans à compter de la date de leur publication initiale. Les données sont publiées sur le site web visé au paragraphe 1 dans un format adapté au numérique, ouvert, interopérable et lisible par machine, qui permet de trier, de rechercher, d’extraire, de comparer et de réutiliser les données.</w:t>
      </w:r>
    </w:p>
    <w:p w14:paraId="79CF2D55" w14:textId="77777777" w:rsidR="00256F20" w:rsidRPr="00D207EA" w:rsidRDefault="00256F20" w:rsidP="00C21519">
      <w:pPr>
        <w:pStyle w:val="NumPar10000000"/>
        <w:numPr>
          <w:ilvl w:val="0"/>
          <w:numId w:val="139"/>
        </w:numPr>
        <w:rPr>
          <w:noProof/>
        </w:rPr>
      </w:pPr>
      <w:r w:rsidRPr="00D207EA">
        <w:rPr>
          <w:noProof/>
        </w:rPr>
        <w:t>Avant que la publication ne soit effectuée conformément au paragraphe 2, l’État membre informe les bénéficiaires et leur demande d’informer les destinataires, les destinataires finaux, les contractants et les sous-traitants que les données seront rendues publiques.</w:t>
      </w:r>
    </w:p>
    <w:p w14:paraId="1C0B1A0E" w14:textId="77777777" w:rsidR="00256F20" w:rsidRPr="00D207EA" w:rsidRDefault="00256F20" w:rsidP="00C21519">
      <w:pPr>
        <w:pStyle w:val="NumPar10000000"/>
        <w:numPr>
          <w:ilvl w:val="0"/>
          <w:numId w:val="139"/>
        </w:numPr>
        <w:rPr>
          <w:noProof/>
        </w:rPr>
      </w:pPr>
      <w:r w:rsidRPr="00D207EA">
        <w:rPr>
          <w:noProof/>
        </w:rPr>
        <w:t>La Commission publie les données visées au paragraphe 2 du présent article sur le site web centralisé visé à l’article 12 [Portail unique] du règlement [règlement relatif à la performance].</w:t>
      </w:r>
    </w:p>
    <w:p w14:paraId="70F34E72" w14:textId="77777777" w:rsidR="00256F20" w:rsidRPr="00D207EA" w:rsidRDefault="00256F20" w:rsidP="00C6195D">
      <w:pPr>
        <w:pStyle w:val="Text1"/>
        <w:rPr>
          <w:noProof/>
        </w:rPr>
      </w:pPr>
      <w:r w:rsidRPr="00D207EA">
        <w:rPr>
          <w:noProof/>
        </w:rPr>
        <w:t>Aux fins du premier alinéa, la Commission publie la part de la contribution de l’Union dans les montants visés à l’article 63 [Collecte et enregistrement des données]. La contribution de l’Union est établie en multipliant les montants visés à l’article 63 [Collecte et enregistrement des données] par le taux de cofinancement applicable au chapitre correspondant du plan. Les montants en devise autre que l’euro sont convertis en euros en utilisant le taux de change comptable mensuel visé à l’article 19, paragraphe 3, du règlement (UE, Euratom) 2024/2509.</w:t>
      </w:r>
    </w:p>
    <w:p w14:paraId="41155091" w14:textId="77777777" w:rsidR="00256F20" w:rsidRPr="00D207EA" w:rsidRDefault="00256F20" w:rsidP="00C21519">
      <w:pPr>
        <w:pStyle w:val="NumPar10000000"/>
        <w:numPr>
          <w:ilvl w:val="0"/>
          <w:numId w:val="139"/>
        </w:numPr>
        <w:rPr>
          <w:noProof/>
        </w:rPr>
      </w:pPr>
      <w:r w:rsidRPr="00D207EA">
        <w:rPr>
          <w:noProof/>
        </w:rPr>
        <w:t>Les informations ne sont pas publiées lorsque le droit de l’Union ou le droit national exclut cette publication pour des raisons de sécurité, d’ordre public ou d’enquêtes pénales, ou lorsque les informations relèvent des dispositions de l’article 38, paragraphe 3, points a) à d), du règlement (UE, Euratom) 2024/2509.</w:t>
      </w:r>
    </w:p>
    <w:p w14:paraId="69C0ACE8" w14:textId="24D31EEF" w:rsidR="00DA27BA" w:rsidRPr="00D207EA" w:rsidRDefault="00DA27BA" w:rsidP="00AF7FE3">
      <w:pPr>
        <w:pStyle w:val="Text1"/>
        <w:rPr>
          <w:noProof/>
        </w:rPr>
      </w:pPr>
      <w:r w:rsidRPr="00D207EA">
        <w:rPr>
          <w:noProof/>
        </w:rPr>
        <w:t>Les informations relatives aux nom et prénom des agriculteurs ne sont pas publiées si le montant qu’ils ont perçu au cours d’une année est inférieur ou égal à 2 500 EUR.</w:t>
      </w:r>
    </w:p>
    <w:p w14:paraId="1FB61F25" w14:textId="77777777" w:rsidR="00256F20" w:rsidRPr="00D207EA" w:rsidRDefault="00256F20" w:rsidP="00256F20">
      <w:pPr>
        <w:pStyle w:val="SectionTitle"/>
        <w:rPr>
          <w:noProof/>
        </w:rPr>
      </w:pPr>
      <w:r w:rsidRPr="00D207EA">
        <w:rPr>
          <w:noProof/>
        </w:rPr>
        <w:t>CHAPITRE II</w:t>
      </w:r>
      <w:r w:rsidRPr="00D207EA">
        <w:rPr>
          <w:noProof/>
        </w:rPr>
        <w:br/>
        <w:t>Règles relatives aux paiements</w:t>
      </w:r>
    </w:p>
    <w:p w14:paraId="28D58045" w14:textId="77777777" w:rsidR="00256F20" w:rsidRPr="00D207EA" w:rsidRDefault="00936FC4" w:rsidP="00936FC4">
      <w:pPr>
        <w:pStyle w:val="Titrearticle"/>
        <w:rPr>
          <w:b/>
          <w:noProof/>
        </w:rPr>
      </w:pPr>
      <w:r w:rsidRPr="00D207EA">
        <w:rPr>
          <w:noProof/>
        </w:rPr>
        <w:t>Article 65</w:t>
      </w:r>
      <w:r w:rsidRPr="00D207EA">
        <w:rPr>
          <w:noProof/>
        </w:rPr>
        <w:br/>
      </w:r>
      <w:r w:rsidRPr="00D207EA">
        <w:rPr>
          <w:b/>
          <w:noProof/>
        </w:rPr>
        <w:t>Présentation et évaluation des demandes de paiement</w:t>
      </w:r>
    </w:p>
    <w:p w14:paraId="21A6A8E4" w14:textId="6B45015B" w:rsidR="00256F20" w:rsidRPr="00D207EA" w:rsidRDefault="00256F20" w:rsidP="00C21519">
      <w:pPr>
        <w:pStyle w:val="NumPar10000000"/>
        <w:numPr>
          <w:ilvl w:val="0"/>
          <w:numId w:val="91"/>
        </w:numPr>
        <w:rPr>
          <w:noProof/>
        </w:rPr>
      </w:pPr>
      <w:r w:rsidRPr="00D207EA">
        <w:rPr>
          <w:noProof/>
        </w:rPr>
        <w:t>Les paiements de la Commission sont effectués en fonction des crédits budgétaires et sous réserve des disponibilités financières.</w:t>
      </w:r>
    </w:p>
    <w:p w14:paraId="11A9F3CB" w14:textId="77777777" w:rsidR="00D761DA" w:rsidRPr="00D207EA" w:rsidRDefault="00256F20" w:rsidP="00C21519">
      <w:pPr>
        <w:pStyle w:val="NumPar10000000"/>
        <w:numPr>
          <w:ilvl w:val="0"/>
          <w:numId w:val="139"/>
        </w:numPr>
        <w:rPr>
          <w:noProof/>
        </w:rPr>
      </w:pPr>
      <w:r w:rsidRPr="00D207EA">
        <w:rPr>
          <w:noProof/>
        </w:rPr>
        <w:t>Les États membres soumettent à la Commission une demande de paiement conformément au modèle figurant à l’annexe XI [modèle de demande de paiement]. Les montants inclus dans une demande de paiement correspondent aux montants justifiés par le respect des valeurs intermédiaires et des valeurs cibles ou des réalisations correspondantes pour d’autres interventions, conformément à la décision approuvant le plan et sur la base des données probantes recueillies et vérifiées par l’État membre.</w:t>
      </w:r>
    </w:p>
    <w:p w14:paraId="3FFA78BB" w14:textId="77777777" w:rsidR="00256F20" w:rsidRPr="00D207EA" w:rsidRDefault="00256F20" w:rsidP="00C21519">
      <w:pPr>
        <w:pStyle w:val="NumPar10000000"/>
        <w:numPr>
          <w:ilvl w:val="0"/>
          <w:numId w:val="139"/>
        </w:numPr>
        <w:rPr>
          <w:rFonts w:eastAsia="Aptos"/>
          <w:bCs/>
          <w:noProof/>
        </w:rPr>
      </w:pPr>
      <w:r w:rsidRPr="00D207EA">
        <w:rPr>
          <w:noProof/>
        </w:rPr>
        <w:t>Lors de l’évaluation du respect des valeurs intermédiaires et des valeurs cibles, l’État membre évalue chaque valeur intermédiaire et valeur cible dans son intégralité, en tenant compte de son libellé, de l’objectif sous-jacent et du contexte, conformément à l’annexe VIII [Lignes directrices pour l’évaluation du respect des valeurs intermédiaires et des valeurs cibles dans le cadre du Fonds].</w:t>
      </w:r>
    </w:p>
    <w:p w14:paraId="06F66A70" w14:textId="006BF395" w:rsidR="00256F20" w:rsidRPr="00D207EA" w:rsidRDefault="00256F20" w:rsidP="00C21519">
      <w:pPr>
        <w:pStyle w:val="NumPar10000000"/>
        <w:numPr>
          <w:ilvl w:val="0"/>
          <w:numId w:val="139"/>
        </w:numPr>
        <w:rPr>
          <w:noProof/>
        </w:rPr>
      </w:pPr>
      <w:r w:rsidRPr="00D207EA">
        <w:rPr>
          <w:noProof/>
        </w:rPr>
        <w:t>Les demandes de paiement sont présentées par les États membres à la Commission conformément au modèle figurant à l’annexe XI, jusqu’à six fois par an, au plus tard le 31 octobre.</w:t>
      </w:r>
    </w:p>
    <w:p w14:paraId="365E0F9F" w14:textId="5151E177" w:rsidR="00256F20" w:rsidRPr="00D207EA" w:rsidRDefault="00256F20" w:rsidP="00C21519">
      <w:pPr>
        <w:pStyle w:val="NumPar10000000"/>
        <w:numPr>
          <w:ilvl w:val="0"/>
          <w:numId w:val="139"/>
        </w:numPr>
        <w:rPr>
          <w:noProof/>
        </w:rPr>
      </w:pPr>
      <w:r w:rsidRPr="00D207EA">
        <w:rPr>
          <w:noProof/>
        </w:rPr>
        <w:t>Les demandes de paiement ne sont pas recevables si le dernier dossier «assurance» dû n’a pas encore été présenté conformément à l’article 59 [dossier «assurance» annuel] et jusqu’à ce qu’il soit présenté.</w:t>
      </w:r>
    </w:p>
    <w:p w14:paraId="518A24CC" w14:textId="4D43712A" w:rsidR="00256F20" w:rsidRPr="00D207EA" w:rsidRDefault="00256F20" w:rsidP="00C21519">
      <w:pPr>
        <w:pStyle w:val="NumPar10000000"/>
        <w:numPr>
          <w:ilvl w:val="0"/>
          <w:numId w:val="139"/>
        </w:numPr>
        <w:rPr>
          <w:noProof/>
        </w:rPr>
      </w:pPr>
      <w:r w:rsidRPr="00D207EA">
        <w:rPr>
          <w:noProof/>
        </w:rPr>
        <w:t>Sous réserve des crédits disponibles, la Commission effectue le paiement dans les 60 jours suivant la date de réception de la demande de paiement. Les montants peuvent être versés en une ou plusieurs fois.</w:t>
      </w:r>
    </w:p>
    <w:p w14:paraId="3BB27E60" w14:textId="486C3EB8" w:rsidR="00256F20" w:rsidRPr="00D207EA" w:rsidRDefault="00256F20" w:rsidP="00C21519">
      <w:pPr>
        <w:pStyle w:val="NumPar10000000"/>
        <w:numPr>
          <w:ilvl w:val="0"/>
          <w:numId w:val="139"/>
        </w:numPr>
        <w:rPr>
          <w:noProof/>
        </w:rPr>
      </w:pPr>
      <w:r w:rsidRPr="00D207EA">
        <w:rPr>
          <w:noProof/>
        </w:rPr>
        <w:t>Le montant total cumulé du préfinancement et des paiements effectués ne doit pas dépasser 95 % de la contribution du Fonds au plan. Lorsque ce plafond est atteint, l’autorité de coordination continue à transmettre à la Commission les demandes de paiement. Sans préjudice des dispositions des articles 66, 67 et 68, la Commission verse le solde final au plus tard 10 mois après la réception des documents relatifs à la dernière année d’exécution.</w:t>
      </w:r>
    </w:p>
    <w:p w14:paraId="49A701AA" w14:textId="2F59376B" w:rsidR="00256F20" w:rsidRPr="00D207EA" w:rsidRDefault="00256F20" w:rsidP="00C21519">
      <w:pPr>
        <w:pStyle w:val="NumPar10000000"/>
        <w:numPr>
          <w:ilvl w:val="0"/>
          <w:numId w:val="139"/>
        </w:numPr>
        <w:rPr>
          <w:noProof/>
        </w:rPr>
      </w:pPr>
      <w:r w:rsidRPr="00D207EA">
        <w:rPr>
          <w:noProof/>
        </w:rPr>
        <w:t>La Commission est habilitée à adopter un acte délégué conformément à l’article 86 pour modifier les annexes VIII et IX [relatives à l’application des paiements et au respect des valeurs intermédiaires et des valeurs cibles].</w:t>
      </w:r>
    </w:p>
    <w:p w14:paraId="26F7B9F7" w14:textId="77777777" w:rsidR="00936FC4" w:rsidRPr="00D207EA" w:rsidRDefault="00936FC4" w:rsidP="00936FC4">
      <w:pPr>
        <w:pStyle w:val="Titrearticle"/>
        <w:rPr>
          <w:b/>
          <w:noProof/>
        </w:rPr>
      </w:pPr>
      <w:r w:rsidRPr="00D207EA">
        <w:rPr>
          <w:noProof/>
        </w:rPr>
        <w:t>Article 66</w:t>
      </w:r>
      <w:r w:rsidRPr="00D207EA">
        <w:rPr>
          <w:noProof/>
        </w:rPr>
        <w:br/>
      </w:r>
      <w:r w:rsidRPr="00D207EA">
        <w:rPr>
          <w:b/>
          <w:noProof/>
        </w:rPr>
        <w:t>Délais et interruption du délai de paiement</w:t>
      </w:r>
    </w:p>
    <w:p w14:paraId="08A5FF18" w14:textId="0CAFD193" w:rsidR="00256F20" w:rsidRPr="00D207EA" w:rsidRDefault="00256F20" w:rsidP="00C21519">
      <w:pPr>
        <w:pStyle w:val="NumPar10000000"/>
        <w:numPr>
          <w:ilvl w:val="0"/>
          <w:numId w:val="92"/>
        </w:numPr>
        <w:rPr>
          <w:noProof/>
        </w:rPr>
      </w:pPr>
      <w:r w:rsidRPr="00D207EA">
        <w:rPr>
          <w:noProof/>
        </w:rPr>
        <w:t>Lorsqu’un délai est fixé pour que la Commission prenne une mesure envers les États membres, celui-ci commence à courir lorsque toutes les informations répondant aux exigences prévues dans le présent règlement ont été fournies par l’État membre.</w:t>
      </w:r>
    </w:p>
    <w:p w14:paraId="6337DE55" w14:textId="5007B5BD" w:rsidR="00256F20" w:rsidRPr="00D207EA" w:rsidRDefault="00256F20" w:rsidP="00C21519">
      <w:pPr>
        <w:pStyle w:val="NumPar10000000"/>
        <w:numPr>
          <w:ilvl w:val="0"/>
          <w:numId w:val="139"/>
        </w:numPr>
        <w:rPr>
          <w:noProof/>
        </w:rPr>
      </w:pPr>
      <w:r w:rsidRPr="00D207EA">
        <w:rPr>
          <w:noProof/>
        </w:rPr>
        <w:t>Ce délai est suspendu à compter du jour suivant la date à laquelle la Commission envoie ses observations ou une demande de documents révisés à l’État membre et jusqu’au jour où l’État membre répond à ces observations ou fournit ces documents.</w:t>
      </w:r>
    </w:p>
    <w:p w14:paraId="71595FEE" w14:textId="77777777" w:rsidR="00256F20" w:rsidRPr="00D207EA" w:rsidRDefault="00256F20" w:rsidP="00C21519">
      <w:pPr>
        <w:pStyle w:val="NumPar10000000"/>
        <w:numPr>
          <w:ilvl w:val="0"/>
          <w:numId w:val="139"/>
        </w:numPr>
        <w:rPr>
          <w:noProof/>
        </w:rPr>
      </w:pPr>
      <w:r w:rsidRPr="00D207EA">
        <w:rPr>
          <w:noProof/>
        </w:rPr>
        <w:t>Compte tenu des informations dont elle dispose et du principe de proportionnalité, la Commission peut interrompre le délai de paiement pour une période maximale de six mois ou, en ce qui concerne le soutien sous forme de prêt, prendre toute mesure prévue par le contrat de prêt, lorsque l’une des conditions suivantes est remplie:  </w:t>
      </w:r>
    </w:p>
    <w:p w14:paraId="0CC233BC" w14:textId="46B938E0" w:rsidR="00256F20" w:rsidRPr="00D207EA" w:rsidRDefault="008D666E" w:rsidP="008D666E">
      <w:pPr>
        <w:pStyle w:val="Point10"/>
        <w:rPr>
          <w:noProof/>
        </w:rPr>
      </w:pPr>
      <w:r w:rsidRPr="008D666E">
        <w:rPr>
          <w:noProof/>
        </w:rPr>
        <w:t>(a)</w:t>
      </w:r>
      <w:r w:rsidRPr="008D666E">
        <w:rPr>
          <w:noProof/>
        </w:rPr>
        <w:tab/>
      </w:r>
      <w:r w:rsidR="00256F20" w:rsidRPr="00D207EA">
        <w:rPr>
          <w:noProof/>
        </w:rPr>
        <w:t>ces informations suggèrent un manquement grave d’un État membre aux obligations prévues à l’article 58 [responsabilités des États membres], pour lequel des mesures correctives n’ont pas été prises;  </w:t>
      </w:r>
    </w:p>
    <w:p w14:paraId="114779F5" w14:textId="784D40BB" w:rsidR="00256F20" w:rsidRPr="00D207EA" w:rsidRDefault="008D666E" w:rsidP="008D666E">
      <w:pPr>
        <w:pStyle w:val="Point10"/>
        <w:rPr>
          <w:noProof/>
        </w:rPr>
      </w:pPr>
      <w:r w:rsidRPr="008D666E">
        <w:rPr>
          <w:noProof/>
        </w:rPr>
        <w:t>(b)</w:t>
      </w:r>
      <w:r w:rsidRPr="008D666E">
        <w:rPr>
          <w:noProof/>
        </w:rPr>
        <w:tab/>
      </w:r>
      <w:r w:rsidR="00256F20" w:rsidRPr="00D207EA">
        <w:rPr>
          <w:noProof/>
        </w:rPr>
        <w:t>la Commission a l’intention de procéder à des vérifications, notamment pour déterminer si une ou plusieurs valeurs intermédiaires, une ou plusieurs valeurs cibles ou une ou plusieurs réalisations incluses dans une demande de paiement n’ont pas été respectées ou réalisées;</w:t>
      </w:r>
    </w:p>
    <w:p w14:paraId="7E1E6A7E" w14:textId="2E972AAF" w:rsidR="00256F20" w:rsidRPr="00D207EA" w:rsidRDefault="008D666E" w:rsidP="008D666E">
      <w:pPr>
        <w:pStyle w:val="Point10"/>
        <w:rPr>
          <w:noProof/>
        </w:rPr>
      </w:pPr>
      <w:r w:rsidRPr="008D666E">
        <w:rPr>
          <w:noProof/>
        </w:rPr>
        <w:t>(c)</w:t>
      </w:r>
      <w:r w:rsidRPr="008D666E">
        <w:rPr>
          <w:noProof/>
        </w:rPr>
        <w:tab/>
      </w:r>
      <w:r w:rsidR="00256F20" w:rsidRPr="00D207EA">
        <w:rPr>
          <w:noProof/>
        </w:rPr>
        <w:t>une valeur intermédiaire ou une valeur cible, pour laquelle un paiement a été effectué, peut avoir été annulée conformément à l’article 69 [annulations].</w:t>
      </w:r>
    </w:p>
    <w:p w14:paraId="6FE85058" w14:textId="77777777" w:rsidR="00256F20" w:rsidRPr="00D207EA" w:rsidRDefault="00256F20" w:rsidP="00C21519">
      <w:pPr>
        <w:pStyle w:val="NumPar10000000"/>
        <w:numPr>
          <w:ilvl w:val="0"/>
          <w:numId w:val="139"/>
        </w:numPr>
        <w:rPr>
          <w:i/>
          <w:noProof/>
        </w:rPr>
      </w:pPr>
      <w:r w:rsidRPr="00D207EA">
        <w:rPr>
          <w:noProof/>
        </w:rPr>
        <w:t>La Commission informe par écrit l’État membre concerné des raisons de l’interruption et, s’il y a lieu, lui demande de remédier à la situation.</w:t>
      </w:r>
    </w:p>
    <w:p w14:paraId="3E5F2173" w14:textId="77777777" w:rsidR="00936FC4" w:rsidRPr="00D207EA" w:rsidRDefault="00936FC4" w:rsidP="00936FC4">
      <w:pPr>
        <w:pStyle w:val="Titrearticle"/>
        <w:rPr>
          <w:noProof/>
        </w:rPr>
      </w:pPr>
      <w:r w:rsidRPr="00D207EA">
        <w:rPr>
          <w:noProof/>
        </w:rPr>
        <w:t>Article 67</w:t>
      </w:r>
      <w:r w:rsidRPr="00D207EA">
        <w:rPr>
          <w:noProof/>
        </w:rPr>
        <w:br/>
      </w:r>
      <w:r w:rsidRPr="00D207EA">
        <w:rPr>
          <w:b/>
          <w:noProof/>
        </w:rPr>
        <w:t>Suspension des paiements</w:t>
      </w:r>
    </w:p>
    <w:p w14:paraId="62931EC1" w14:textId="77777777" w:rsidR="00256F20" w:rsidRPr="00D207EA" w:rsidRDefault="00256F20" w:rsidP="00C21519">
      <w:pPr>
        <w:pStyle w:val="NumPar10000000"/>
        <w:numPr>
          <w:ilvl w:val="0"/>
          <w:numId w:val="93"/>
        </w:numPr>
        <w:rPr>
          <w:noProof/>
        </w:rPr>
      </w:pPr>
      <w:r w:rsidRPr="00D207EA">
        <w:rPr>
          <w:noProof/>
        </w:rPr>
        <w:t>La Commission peut suspendre tout ou partie des paiements ou, en ce qui concerne le soutien sous forme de prêt, prendre toute mesure prévue par le contrat de prêt, compte tenu du principe de proportionnalité, dans l’un ou l’autre des cas suivants: </w:t>
      </w:r>
    </w:p>
    <w:p w14:paraId="410FB41F" w14:textId="40A5AAD3" w:rsidR="00256F20" w:rsidRPr="00D207EA" w:rsidRDefault="008D666E" w:rsidP="008D666E">
      <w:pPr>
        <w:pStyle w:val="Point10"/>
        <w:rPr>
          <w:noProof/>
        </w:rPr>
      </w:pPr>
      <w:r w:rsidRPr="008D666E">
        <w:rPr>
          <w:noProof/>
        </w:rPr>
        <w:t>(a)</w:t>
      </w:r>
      <w:r w:rsidRPr="008D666E">
        <w:rPr>
          <w:noProof/>
        </w:rPr>
        <w:tab/>
      </w:r>
      <w:r w:rsidR="00256F20" w:rsidRPr="00D207EA">
        <w:rPr>
          <w:noProof/>
        </w:rPr>
        <w:t>l’État membre n’a pas pris les mesures correctives pour remédier à la situation à l’origine d’une interruption au titre de l’article 66, paragraphe 3, point a) [interruption]; </w:t>
      </w:r>
    </w:p>
    <w:p w14:paraId="127DD338" w14:textId="466F8DF4" w:rsidR="00256F20" w:rsidRPr="00D207EA" w:rsidRDefault="008D666E" w:rsidP="008D666E">
      <w:pPr>
        <w:pStyle w:val="Point10"/>
        <w:rPr>
          <w:noProof/>
        </w:rPr>
      </w:pPr>
      <w:r w:rsidRPr="008D666E">
        <w:rPr>
          <w:noProof/>
        </w:rPr>
        <w:t>(b)</w:t>
      </w:r>
      <w:r w:rsidRPr="008D666E">
        <w:rPr>
          <w:noProof/>
        </w:rPr>
        <w:tab/>
      </w:r>
      <w:r w:rsidR="00256F20" w:rsidRPr="00D207EA">
        <w:rPr>
          <w:noProof/>
        </w:rPr>
        <w:t>il existe un manquement grave aux obligations prévues à l’article 58 [Responsabilités des États membres], pour lequel des mesures correctives n’ont pas été prises;    </w:t>
      </w:r>
    </w:p>
    <w:p w14:paraId="001CC98A" w14:textId="5E5A39FD" w:rsidR="00256F20" w:rsidRPr="00D207EA" w:rsidRDefault="008D666E" w:rsidP="008D666E">
      <w:pPr>
        <w:pStyle w:val="Point10"/>
        <w:rPr>
          <w:noProof/>
        </w:rPr>
      </w:pPr>
      <w:r w:rsidRPr="008D666E">
        <w:rPr>
          <w:noProof/>
        </w:rPr>
        <w:t>(c)</w:t>
      </w:r>
      <w:r w:rsidRPr="008D666E">
        <w:rPr>
          <w:noProof/>
        </w:rPr>
        <w:tab/>
      </w:r>
      <w:r w:rsidR="00256F20" w:rsidRPr="00D207EA">
        <w:rPr>
          <w:noProof/>
        </w:rPr>
        <w:t>une ou plusieurs valeurs intermédiaires, une ou plusieurs valeurs cibles ou une ou plusieurs réalisations incluses dans une demande de paiement n’ont pas été respectées ou une valeur intermédiaire ou une valeur cible, pour laquelle un paiement a été versé, a été annulée conformément à l’article 69 [annulations]; </w:t>
      </w:r>
    </w:p>
    <w:p w14:paraId="6B6C5D77" w14:textId="60ACC04D" w:rsidR="00256F20" w:rsidRPr="00D207EA" w:rsidRDefault="008D666E" w:rsidP="008D666E">
      <w:pPr>
        <w:pStyle w:val="Point10"/>
        <w:rPr>
          <w:noProof/>
        </w:rPr>
      </w:pPr>
      <w:r w:rsidRPr="008D666E">
        <w:rPr>
          <w:noProof/>
        </w:rPr>
        <w:t>(d)</w:t>
      </w:r>
      <w:r w:rsidRPr="008D666E">
        <w:rPr>
          <w:noProof/>
        </w:rPr>
        <w:tab/>
      </w:r>
      <w:r w:rsidR="00256F20" w:rsidRPr="00D207EA">
        <w:rPr>
          <w:noProof/>
        </w:rPr>
        <w:t>la Commission a émis un avis motivé concernant une procédure d’infraction au titre de l’article 258 du traité FUE sur une question qui met en péril la mise en œuvre effective des mesures;</w:t>
      </w:r>
    </w:p>
    <w:p w14:paraId="374A9020" w14:textId="1D0B9701" w:rsidR="00256F20" w:rsidRPr="00D207EA" w:rsidRDefault="008D666E" w:rsidP="008D666E">
      <w:pPr>
        <w:pStyle w:val="Point10"/>
        <w:rPr>
          <w:rFonts w:eastAsia="Aptos"/>
          <w:noProof/>
        </w:rPr>
      </w:pPr>
      <w:r w:rsidRPr="008D666E">
        <w:rPr>
          <w:noProof/>
        </w:rPr>
        <w:t>(e)</w:t>
      </w:r>
      <w:r w:rsidRPr="008D666E">
        <w:rPr>
          <w:noProof/>
        </w:rPr>
        <w:tab/>
      </w:r>
      <w:r w:rsidR="0022189C" w:rsidRPr="00D207EA">
        <w:rPr>
          <w:noProof/>
        </w:rPr>
        <w:t>le Conseil a décidé qu’un État membre:</w:t>
      </w:r>
    </w:p>
    <w:p w14:paraId="4287E115" w14:textId="77777777" w:rsidR="00256F20" w:rsidRPr="00D207EA" w:rsidRDefault="00256F20" w:rsidP="00C21519">
      <w:pPr>
        <w:pStyle w:val="Point2n"/>
        <w:numPr>
          <w:ilvl w:val="0"/>
          <w:numId w:val="71"/>
        </w:numPr>
        <w:spacing w:line="240" w:lineRule="auto"/>
        <w:jc w:val="both"/>
        <w:rPr>
          <w:noProof/>
        </w:rPr>
      </w:pPr>
      <w:r w:rsidRPr="00D207EA">
        <w:rPr>
          <w:noProof/>
        </w:rPr>
        <w:t>n’a pas engagé d’action efficace pour corriger son déficit excessif, à moins que le Conseil n’ait adopté une recommandation au titre de l’article 25 du règlement (UE) 2024/1263 du Parlement européen et du Conseil en cas de grave récession économique dans la zone euro ou dans l’ensemble de l’Union;</w:t>
      </w:r>
    </w:p>
    <w:p w14:paraId="71D2CB14" w14:textId="77777777" w:rsidR="00256F20" w:rsidRPr="00D207EA" w:rsidRDefault="00256F20" w:rsidP="005A28DE">
      <w:pPr>
        <w:pStyle w:val="Point2n"/>
        <w:spacing w:line="240" w:lineRule="auto"/>
        <w:jc w:val="both"/>
        <w:rPr>
          <w:noProof/>
        </w:rPr>
      </w:pPr>
      <w:r w:rsidRPr="00D207EA">
        <w:rPr>
          <w:noProof/>
        </w:rPr>
        <w:t>n’a pas pris de mesures correctives pour corriger ses déséquilibres excessifs, à moins que le Conseil n’ait adopté des modifications à sa recommandation au titre de l’article 9, paragraphe 4, du règlement (UE) nº 1176/2011 du Parlement européen et du Conseil;</w:t>
      </w:r>
    </w:p>
    <w:p w14:paraId="3EC5A00C" w14:textId="77777777" w:rsidR="00256F20" w:rsidRPr="00D207EA" w:rsidRDefault="00256F20" w:rsidP="005A28DE">
      <w:pPr>
        <w:pStyle w:val="Point2n"/>
        <w:spacing w:line="240" w:lineRule="auto"/>
        <w:jc w:val="both"/>
        <w:rPr>
          <w:noProof/>
        </w:rPr>
      </w:pPr>
      <w:r w:rsidRPr="00D207EA">
        <w:rPr>
          <w:noProof/>
        </w:rPr>
        <w:t>ne respecte pas les exigences politiques contenues dans le programme d’ajustement macroéconomique visé à l’article 7 du règlement (UE) nº 472/2013 du Parlement européen et du Conseil pour des raisons relevant du contrôle de l’État membre concerné;</w:t>
      </w:r>
    </w:p>
    <w:p w14:paraId="3E99C7D9" w14:textId="5B0D01D1" w:rsidR="00256F20" w:rsidRPr="00D207EA" w:rsidRDefault="008D666E" w:rsidP="008D666E">
      <w:pPr>
        <w:pStyle w:val="Point10"/>
        <w:rPr>
          <w:noProof/>
        </w:rPr>
      </w:pPr>
      <w:r w:rsidRPr="008D666E">
        <w:rPr>
          <w:noProof/>
        </w:rPr>
        <w:t>(f)</w:t>
      </w:r>
      <w:r w:rsidRPr="008D666E">
        <w:rPr>
          <w:noProof/>
        </w:rPr>
        <w:tab/>
      </w:r>
      <w:r w:rsidR="0022189C" w:rsidRPr="00D207EA">
        <w:rPr>
          <w:noProof/>
        </w:rPr>
        <w:t>la Commission a conclu qu’un État membre ne respecte pas le programme de redressement et le protocole d’accord visés aux articles 3 et 3 </w:t>
      </w:r>
      <w:r w:rsidR="0022189C" w:rsidRPr="00D207EA">
        <w:rPr>
          <w:i/>
          <w:iCs/>
          <w:noProof/>
        </w:rPr>
        <w:t>bis</w:t>
      </w:r>
      <w:r w:rsidR="0022189C" w:rsidRPr="00D207EA">
        <w:rPr>
          <w:noProof/>
        </w:rPr>
        <w:t xml:space="preserve"> du règlement (CE) nº 332/2002 du Conseil.</w:t>
      </w:r>
    </w:p>
    <w:p w14:paraId="2C94A15B" w14:textId="2989FF4F" w:rsidR="00216042" w:rsidRPr="00D207EA" w:rsidRDefault="00216042" w:rsidP="00C21519">
      <w:pPr>
        <w:pStyle w:val="NumPar10000000"/>
        <w:numPr>
          <w:ilvl w:val="0"/>
          <w:numId w:val="139"/>
        </w:numPr>
        <w:rPr>
          <w:noProof/>
        </w:rPr>
      </w:pPr>
      <w:r w:rsidRPr="00D207EA">
        <w:rPr>
          <w:noProof/>
        </w:rPr>
        <w:t>Avant de se prononcer sur une suspension, la Commission informe l’État membre de ses conclusions et offre à celui-ci la possibilité de présenter, dans un délai de deux mois, ses observations sur l’évaluation de la Commission. Ce délai peut être prolongé d’un commun accord. La Commission prend en compte toutes les informations et observations pertinentes fournies par l’État membre avant d’arrêter une décision sur la suspension.</w:t>
      </w:r>
    </w:p>
    <w:p w14:paraId="5CFEEB83" w14:textId="2043421A" w:rsidR="00256F20" w:rsidRPr="00D207EA" w:rsidRDefault="00256F20" w:rsidP="00C21519">
      <w:pPr>
        <w:pStyle w:val="NumPar10000000"/>
        <w:numPr>
          <w:ilvl w:val="0"/>
          <w:numId w:val="139"/>
        </w:numPr>
        <w:rPr>
          <w:noProof/>
        </w:rPr>
      </w:pPr>
      <w:r w:rsidRPr="00D207EA">
        <w:rPr>
          <w:noProof/>
        </w:rPr>
        <w:t>La Commission lève la suspension lorsque l’État membre a pris les mesures correctives visant à remédier aux circonstances visées au paragraphe 1. Ces mesures peuvent inclure une modification du Plan consistant à y insér</w:t>
      </w:r>
      <w:r w:rsidR="00557FC5" w:rsidRPr="00D207EA">
        <w:rPr>
          <w:noProof/>
        </w:rPr>
        <w:t>er</w:t>
      </w:r>
      <w:r w:rsidRPr="00D207EA">
        <w:rPr>
          <w:noProof/>
        </w:rPr>
        <w:t xml:space="preserve"> des conditions de paiement supplémentaires.</w:t>
      </w:r>
    </w:p>
    <w:p w14:paraId="3A9DD70F" w14:textId="77777777" w:rsidR="00936FC4" w:rsidRPr="00D207EA" w:rsidRDefault="00936FC4" w:rsidP="00936FC4">
      <w:pPr>
        <w:pStyle w:val="Titrearticle"/>
        <w:rPr>
          <w:noProof/>
        </w:rPr>
      </w:pPr>
      <w:r w:rsidRPr="00D207EA">
        <w:rPr>
          <w:noProof/>
        </w:rPr>
        <w:t>Article 68</w:t>
      </w:r>
      <w:r w:rsidRPr="00D207EA">
        <w:rPr>
          <w:noProof/>
        </w:rPr>
        <w:br/>
      </w:r>
      <w:r w:rsidRPr="00D207EA">
        <w:rPr>
          <w:b/>
          <w:noProof/>
        </w:rPr>
        <w:t>Corrections financières effectuées par la Commission</w:t>
      </w:r>
    </w:p>
    <w:p w14:paraId="54502574" w14:textId="77777777" w:rsidR="00256F20" w:rsidRPr="00D207EA" w:rsidRDefault="00256F20" w:rsidP="00C21519">
      <w:pPr>
        <w:pStyle w:val="NumPar10000000"/>
        <w:numPr>
          <w:ilvl w:val="0"/>
          <w:numId w:val="94"/>
        </w:numPr>
        <w:rPr>
          <w:noProof/>
        </w:rPr>
      </w:pPr>
      <w:r w:rsidRPr="00D207EA">
        <w:rPr>
          <w:noProof/>
        </w:rPr>
        <w:t>La Commission applique des corrections financières pour réduire proportionnellement la contribution financière de l’Union et, le cas échéant, recouvrer auprès des États membres tout montant dû au budget de l’Union ou, en ce qui concerne le soutien sous forme de prêt, prendre toute mesure prévue par le contrat de prêt, lorsqu’elle constate l’existence de l’une des situations suivantes: </w:t>
      </w:r>
    </w:p>
    <w:p w14:paraId="21B9A62A" w14:textId="255F7B61" w:rsidR="00256F20" w:rsidRPr="00D207EA" w:rsidRDefault="008D666E" w:rsidP="008D666E">
      <w:pPr>
        <w:pStyle w:val="Point10"/>
        <w:rPr>
          <w:noProof/>
        </w:rPr>
      </w:pPr>
      <w:r w:rsidRPr="008D666E">
        <w:rPr>
          <w:noProof/>
        </w:rPr>
        <w:t>(a)</w:t>
      </w:r>
      <w:r w:rsidRPr="008D666E">
        <w:rPr>
          <w:noProof/>
        </w:rPr>
        <w:tab/>
      </w:r>
      <w:r w:rsidR="00256F20" w:rsidRPr="00D207EA">
        <w:rPr>
          <w:noProof/>
        </w:rPr>
        <w:t>l’État membre concerné n’a pas pris les mesures nécessaires visées à l’article 67, paragraphe 2 [Suspension des paiements] et les paiements ont été suspendus depuis au moins six mois; </w:t>
      </w:r>
    </w:p>
    <w:p w14:paraId="6A28569F" w14:textId="19211641" w:rsidR="00256F20" w:rsidRPr="00D207EA" w:rsidRDefault="008D666E" w:rsidP="008D666E">
      <w:pPr>
        <w:pStyle w:val="Point10"/>
        <w:rPr>
          <w:noProof/>
        </w:rPr>
      </w:pPr>
      <w:r w:rsidRPr="008D666E">
        <w:rPr>
          <w:noProof/>
        </w:rPr>
        <w:t>(b)</w:t>
      </w:r>
      <w:r w:rsidRPr="008D666E">
        <w:rPr>
          <w:noProof/>
        </w:rPr>
        <w:tab/>
      </w:r>
      <w:r w:rsidR="00256F20" w:rsidRPr="00D207EA">
        <w:rPr>
          <w:noProof/>
        </w:rPr>
        <w:t xml:space="preserve">il existe un cas de fraude ou de corruption ou un conflit d’intérêts portant atteinte aux intérêts financiers de l’Union, qui n’a pas été détecté, signalé et corrigé par l’État membre; </w:t>
      </w:r>
    </w:p>
    <w:p w14:paraId="289008E6" w14:textId="44876456" w:rsidR="00256F20" w:rsidRPr="00D207EA" w:rsidRDefault="008D666E" w:rsidP="008D666E">
      <w:pPr>
        <w:pStyle w:val="Point10"/>
        <w:rPr>
          <w:noProof/>
        </w:rPr>
      </w:pPr>
      <w:r w:rsidRPr="008D666E">
        <w:rPr>
          <w:noProof/>
        </w:rPr>
        <w:t>(c)</w:t>
      </w:r>
      <w:r w:rsidRPr="008D666E">
        <w:rPr>
          <w:noProof/>
        </w:rPr>
        <w:tab/>
      </w:r>
      <w:r w:rsidR="00256F20" w:rsidRPr="00D207EA">
        <w:rPr>
          <w:noProof/>
        </w:rPr>
        <w:t>il existe un manquement grave aux obligations prévues à l’article 58 [Responsabilités des États membres], pour lequel des mesures correctives n’ont pas été prises par l’État membre; </w:t>
      </w:r>
    </w:p>
    <w:p w14:paraId="38B2320D" w14:textId="559EB4B5" w:rsidR="00256F20" w:rsidRPr="00D207EA" w:rsidRDefault="008D666E" w:rsidP="008D666E">
      <w:pPr>
        <w:pStyle w:val="Point10"/>
        <w:rPr>
          <w:noProof/>
        </w:rPr>
      </w:pPr>
      <w:r w:rsidRPr="008D666E">
        <w:rPr>
          <w:noProof/>
        </w:rPr>
        <w:t>(d)</w:t>
      </w:r>
      <w:r w:rsidRPr="008D666E">
        <w:rPr>
          <w:noProof/>
        </w:rPr>
        <w:tab/>
      </w:r>
      <w:r w:rsidR="00256F20" w:rsidRPr="00D207EA">
        <w:rPr>
          <w:noProof/>
        </w:rPr>
        <w:t>des montants ont été versés pour une valeur intermédiaire ou une valeur cible non respectée ou une réalisation non atteinte, qui n’a pas été détectée et signalée par l’État membre, et des mesures correctives n’ont pas été prises avant l’expiration du plan; lorsqu’un État membre fait part à la Commission de ce type de constatations, la procédure de suspension prévue à l’article 67, paragraphe 1, point c), (Suspension des paiements) s’applique;</w:t>
      </w:r>
    </w:p>
    <w:p w14:paraId="2736F60A" w14:textId="2440663B" w:rsidR="00256F20" w:rsidRPr="00D207EA" w:rsidRDefault="008D666E" w:rsidP="008D666E">
      <w:pPr>
        <w:pStyle w:val="Point10"/>
        <w:rPr>
          <w:noProof/>
        </w:rPr>
      </w:pPr>
      <w:r w:rsidRPr="008D666E">
        <w:rPr>
          <w:noProof/>
        </w:rPr>
        <w:t>(e)</w:t>
      </w:r>
      <w:r w:rsidRPr="008D666E">
        <w:rPr>
          <w:noProof/>
        </w:rPr>
        <w:tab/>
      </w:r>
      <w:r w:rsidR="00256F20" w:rsidRPr="00D207EA">
        <w:rPr>
          <w:noProof/>
        </w:rPr>
        <w:t>une valeur intermédiaire ou une valeur cible, pour laquelle un paiement a été versé, s’est révélé avoir été annulée après le dernier paiement effectué dans le cadre du plan et des mesures correctives n’ont pas été prises avant l’expiration du plan.</w:t>
      </w:r>
    </w:p>
    <w:p w14:paraId="0289A4E5" w14:textId="218FF600" w:rsidR="00256F20" w:rsidRPr="00D207EA" w:rsidRDefault="00256F20" w:rsidP="00C21519">
      <w:pPr>
        <w:pStyle w:val="NumPar10000000"/>
        <w:numPr>
          <w:ilvl w:val="0"/>
          <w:numId w:val="139"/>
        </w:numPr>
        <w:rPr>
          <w:noProof/>
        </w:rPr>
      </w:pPr>
      <w:r w:rsidRPr="00D207EA">
        <w:rPr>
          <w:noProof/>
        </w:rPr>
        <w:t>Lorsqu’elle décide du montant de la correction financière, la Commission respecte le principe de proportionnalité et tient compte de la gravité, de la fréquence et des implications financières des lacunes énumérées au paragraphe 1. Ce montant correspond autant que possible à la perte ou au risque financier réel pour le budget de l’Union. Lorsque le niveau réel des paiements indus et le montant du préjudice financier subi par l’Union ne peuvent être déterminés par la Commission au prix d’un effort raisonnable, celle-ci peut déterminer le montant en appliquant des corrections extrapolées ou forfaitaires conformément à l’annexe XIV [Détermination du niveau des corrections financières forfaitaires].</w:t>
      </w:r>
    </w:p>
    <w:p w14:paraId="75878EB3" w14:textId="2ADD19CB" w:rsidR="00256F20" w:rsidRPr="00D207EA" w:rsidRDefault="001E5F58" w:rsidP="00C6195D">
      <w:pPr>
        <w:pStyle w:val="Text1"/>
        <w:rPr>
          <w:noProof/>
        </w:rPr>
      </w:pPr>
      <w:r w:rsidRPr="00D207EA">
        <w:rPr>
          <w:noProof/>
        </w:rPr>
        <w:t>Dans le cas d’une valeur intermédiaire ou d’une valeur cible non respectée, qui n’a pas été détectée et signalée par l’État membre, comme indiqué au paragraphe 2, point d), la valeur de la correction appliquée par la Commission est déterminée au prorata de la partie non respectée.</w:t>
      </w:r>
    </w:p>
    <w:p w14:paraId="6C7A5AFE" w14:textId="7F3358A2" w:rsidR="00256F20" w:rsidRPr="00D207EA" w:rsidRDefault="00256F20" w:rsidP="00C6195D">
      <w:pPr>
        <w:pStyle w:val="Text1"/>
        <w:rPr>
          <w:noProof/>
        </w:rPr>
      </w:pPr>
      <w:r w:rsidRPr="00D207EA">
        <w:rPr>
          <w:noProof/>
        </w:rPr>
        <w:t>Lorsqu’une valeur intermédiaire ou une valeur cible définitive d’une mesure donnée n’a pas été respectée, la valeur de la correction appliquée par la Commission est déterminée proportionnellement à la mise en œuvre de la mesure, compte tenu des paiements antérieurs effectués.</w:t>
      </w:r>
    </w:p>
    <w:p w14:paraId="2D01BDAF" w14:textId="6FDC4186" w:rsidR="00256F20" w:rsidRPr="00D207EA" w:rsidRDefault="00256F20" w:rsidP="00C21519">
      <w:pPr>
        <w:pStyle w:val="NumPar10000000"/>
        <w:numPr>
          <w:ilvl w:val="0"/>
          <w:numId w:val="139"/>
        </w:numPr>
        <w:rPr>
          <w:noProof/>
        </w:rPr>
      </w:pPr>
      <w:r w:rsidRPr="00D207EA">
        <w:rPr>
          <w:noProof/>
        </w:rPr>
        <w:t>Avant de se prononcer sur une correction financière, la Commission informe l’État membre de ses conclusions et offre à celui-ci la possibilité de présenter, dans un délai de deux mois, ses observations sur l’évaluation de la Commission. Ce délai peut être prolongé d’un commun accord. La Commission prend en compte toutes les informations et observations pertinentes fournies par l’État membre avant de prendre une décision sur l’application de la correction financière.</w:t>
      </w:r>
    </w:p>
    <w:p w14:paraId="36D69C58" w14:textId="6FCAA97D" w:rsidR="00256F20" w:rsidRPr="00D207EA" w:rsidRDefault="00256F20" w:rsidP="00C21519">
      <w:pPr>
        <w:pStyle w:val="NumPar10000000"/>
        <w:numPr>
          <w:ilvl w:val="0"/>
          <w:numId w:val="139"/>
        </w:numPr>
        <w:rPr>
          <w:noProof/>
        </w:rPr>
      </w:pPr>
      <w:r w:rsidRPr="00D207EA">
        <w:rPr>
          <w:noProof/>
        </w:rPr>
        <w:t>Sans préjudice du paragraphe 1, la Commission réduit proportionnellement le soutien et recouvre tout montant dû au budget de l’Union dans tous les cas portant atteinte aux intérêts financiers de l’Union ou à la réalisation de valeurs intermédiaires et de valeurs cibles qui n’ont pas été corrigés par l’État membre ou en cas de manquement grave aux exigences clés mentionnées à l’annexe IV [exigences clés] ou aux obligations énoncées à l’article 58 [responsabilités des États membres] qui n’a pas été corrigé par l’État membre au moment de la présentation du dossier «assurance» au cours de la dernière année comptable.</w:t>
      </w:r>
    </w:p>
    <w:p w14:paraId="6238B788" w14:textId="4CD50B55" w:rsidR="00256F20" w:rsidRPr="00D207EA" w:rsidRDefault="00256F20" w:rsidP="00C21519">
      <w:pPr>
        <w:pStyle w:val="NumPar10000000"/>
        <w:numPr>
          <w:ilvl w:val="0"/>
          <w:numId w:val="139"/>
        </w:numPr>
        <w:rPr>
          <w:noProof/>
        </w:rPr>
      </w:pPr>
      <w:r w:rsidRPr="00D207EA">
        <w:rPr>
          <w:noProof/>
        </w:rPr>
        <w:t>Lorsque, à la suite de la modification d’un plan, une mesure pour laquelle des montants ont été versés pour des valeurs intermédiaires ou des valeurs cibles atteintes est supprimée, les montants versés précédemment sont recouvrés sans réduction de la contribution financière de l’Union et reprogrammés au profit d’autres mesures.</w:t>
      </w:r>
    </w:p>
    <w:p w14:paraId="34E5B4E6" w14:textId="77777777" w:rsidR="00936FC4" w:rsidRPr="00D207EA" w:rsidRDefault="00936FC4" w:rsidP="00936FC4">
      <w:pPr>
        <w:pStyle w:val="Titrearticle"/>
        <w:rPr>
          <w:noProof/>
        </w:rPr>
      </w:pPr>
      <w:r w:rsidRPr="00D207EA">
        <w:rPr>
          <w:noProof/>
        </w:rPr>
        <w:t>Article 69</w:t>
      </w:r>
      <w:r w:rsidRPr="00D207EA">
        <w:rPr>
          <w:noProof/>
        </w:rPr>
        <w:br/>
      </w:r>
      <w:r w:rsidRPr="00D207EA">
        <w:rPr>
          <w:b/>
          <w:noProof/>
        </w:rPr>
        <w:t>Durabilité et annulations</w:t>
      </w:r>
    </w:p>
    <w:p w14:paraId="6B59A2E2" w14:textId="77777777" w:rsidR="00256F20" w:rsidRPr="00D207EA" w:rsidRDefault="00256F20" w:rsidP="00C21519">
      <w:pPr>
        <w:pStyle w:val="NumPar10000000"/>
        <w:numPr>
          <w:ilvl w:val="0"/>
          <w:numId w:val="95"/>
        </w:numPr>
        <w:rPr>
          <w:noProof/>
        </w:rPr>
      </w:pPr>
      <w:r w:rsidRPr="00D207EA">
        <w:rPr>
          <w:noProof/>
        </w:rPr>
        <w:t>L’État membre veille à ce que le respect de toutes les valeurs intermédiaires et valeurs cibles pertinentes reste assuré pendant au moins cinq ans après la date du paiement de la Commission correspondant à la réalisation de chaque valeur intermédiaire ou valeur cible.</w:t>
      </w:r>
    </w:p>
    <w:p w14:paraId="68CAB54E" w14:textId="525671A4" w:rsidR="00256F20" w:rsidRPr="00D207EA" w:rsidRDefault="00256F20" w:rsidP="00C21519">
      <w:pPr>
        <w:pStyle w:val="NumPar10000000"/>
        <w:numPr>
          <w:ilvl w:val="0"/>
          <w:numId w:val="139"/>
        </w:numPr>
        <w:rPr>
          <w:rFonts w:eastAsiaTheme="minorEastAsia"/>
          <w:noProof/>
        </w:rPr>
      </w:pPr>
      <w:r w:rsidRPr="00D207EA">
        <w:rPr>
          <w:noProof/>
        </w:rPr>
        <w:t>Lorsque la Commission considère que les exigences prévues au paragraphe 1 n’ont pas été respectées, ou lorsque l’État membre fait état de l’annulation dans le dossier «assurance», la Commission suit les procédures visées aux articles 66, 67 et 68 [interruption, suspension des paiements, correction].</w:t>
      </w:r>
    </w:p>
    <w:p w14:paraId="439A5F41" w14:textId="77777777" w:rsidR="00256F20" w:rsidRPr="00D207EA" w:rsidRDefault="00256F20" w:rsidP="00C21519">
      <w:pPr>
        <w:pStyle w:val="NumPar10000000"/>
        <w:numPr>
          <w:ilvl w:val="0"/>
          <w:numId w:val="139"/>
        </w:numPr>
        <w:rPr>
          <w:noProof/>
        </w:rPr>
      </w:pPr>
      <w:r w:rsidRPr="00D207EA">
        <w:rPr>
          <w:noProof/>
        </w:rPr>
        <w:t>Les paragraphes 1 et 2 ne s’appliquent pas aux investissements réalisés dans le cadre des objectifs spécifiques visés à l’article 3, point c), qui ne sont pas des investissements dans les infrastructures, sauf s’ils sont soumis à une obligation de maintien de l’investissement en vertu des règles applicables en matière d’aides d’État ou si cette obligation de maintien est prévue dans le plan.</w:t>
      </w:r>
    </w:p>
    <w:p w14:paraId="14452C5D" w14:textId="595290F8" w:rsidR="003F6B33" w:rsidRPr="00D207EA" w:rsidRDefault="003F6B33" w:rsidP="00C21519">
      <w:pPr>
        <w:pStyle w:val="NumPar10000000"/>
        <w:numPr>
          <w:ilvl w:val="0"/>
          <w:numId w:val="139"/>
        </w:numPr>
        <w:rPr>
          <w:noProof/>
        </w:rPr>
      </w:pPr>
      <w:r w:rsidRPr="00D207EA">
        <w:rPr>
          <w:noProof/>
        </w:rPr>
        <w:t>Les opérations de soutien à la délocalisation ne sont pas éligibles.</w:t>
      </w:r>
    </w:p>
    <w:p w14:paraId="3CC3A6E7" w14:textId="77777777" w:rsidR="00256F20" w:rsidRPr="00D207EA" w:rsidRDefault="0F9A9D20" w:rsidP="07DC7BA7">
      <w:pPr>
        <w:pStyle w:val="Titrearticle"/>
        <w:rPr>
          <w:noProof/>
          <w:color w:val="0000FF"/>
        </w:rPr>
      </w:pPr>
      <w:r w:rsidRPr="00D207EA">
        <w:rPr>
          <w:noProof/>
        </w:rPr>
        <w:t>Article 70</w:t>
      </w:r>
      <w:r w:rsidRPr="00D207EA">
        <w:rPr>
          <w:noProof/>
        </w:rPr>
        <w:br/>
      </w:r>
      <w:r w:rsidRPr="00D207EA">
        <w:rPr>
          <w:b/>
          <w:noProof/>
        </w:rPr>
        <w:t>Système intégré de gestion et de contrôle (SIGC)</w:t>
      </w:r>
    </w:p>
    <w:p w14:paraId="38E6D1D2" w14:textId="4F90659D" w:rsidR="00256F20" w:rsidRPr="00D207EA" w:rsidRDefault="00256F20" w:rsidP="00C21519">
      <w:pPr>
        <w:pStyle w:val="NumPar10000000"/>
        <w:numPr>
          <w:ilvl w:val="0"/>
          <w:numId w:val="96"/>
        </w:numPr>
        <w:rPr>
          <w:noProof/>
        </w:rPr>
      </w:pPr>
      <w:r w:rsidRPr="00D207EA">
        <w:rPr>
          <w:noProof/>
        </w:rPr>
        <w:t>Chaque État membre établit et gère un système intégré de gestion et de contrôle (le «système intégré»). Il s’applique aux interventions énumérées à l’article 35, paragraphe 1, points a) à g).</w:t>
      </w:r>
    </w:p>
    <w:p w14:paraId="0A0C4055" w14:textId="77777777" w:rsidR="00993652" w:rsidRPr="00D207EA" w:rsidRDefault="0052174B" w:rsidP="00C21519">
      <w:pPr>
        <w:pStyle w:val="NumPar10000000"/>
        <w:numPr>
          <w:ilvl w:val="0"/>
          <w:numId w:val="139"/>
        </w:numPr>
        <w:rPr>
          <w:noProof/>
        </w:rPr>
      </w:pPr>
      <w:r w:rsidRPr="00D207EA">
        <w:rPr>
          <w:noProof/>
        </w:rPr>
        <w:t>Dans la mesure nécessaire, le système intégré est également utilisé pour gérer la [gérance des exploitations agricoles] visée à l’article XX du règlement XX [PAC] et, dans tous les cas appropriés, pour les mesures visées au titre VI [dispositions relatives au soutien des régions ultrapériphériques].</w:t>
      </w:r>
    </w:p>
    <w:p w14:paraId="130CA498" w14:textId="77777777" w:rsidR="00256F20" w:rsidRPr="00D207EA" w:rsidRDefault="00256F20" w:rsidP="00C21519">
      <w:pPr>
        <w:pStyle w:val="NumPar10000000"/>
        <w:numPr>
          <w:ilvl w:val="0"/>
          <w:numId w:val="139"/>
        </w:numPr>
        <w:rPr>
          <w:noProof/>
        </w:rPr>
      </w:pPr>
      <w:r w:rsidRPr="00D207EA">
        <w:rPr>
          <w:noProof/>
        </w:rPr>
        <w:t xml:space="preserve">Le système intégré comprend les éléments suivants: </w:t>
      </w:r>
    </w:p>
    <w:p w14:paraId="67131908" w14:textId="392D91D5" w:rsidR="00256F20" w:rsidRPr="00D207EA" w:rsidRDefault="008D666E" w:rsidP="008D666E">
      <w:pPr>
        <w:pStyle w:val="Point10"/>
        <w:rPr>
          <w:noProof/>
        </w:rPr>
      </w:pPr>
      <w:r w:rsidRPr="008D666E">
        <w:rPr>
          <w:noProof/>
        </w:rPr>
        <w:t>(a)</w:t>
      </w:r>
      <w:r w:rsidRPr="008D666E">
        <w:rPr>
          <w:noProof/>
        </w:rPr>
        <w:tab/>
      </w:r>
      <w:r w:rsidR="00256F20" w:rsidRPr="00D207EA">
        <w:rPr>
          <w:noProof/>
        </w:rPr>
        <w:t xml:space="preserve">un système de surveillance de l’agriculture, qui consiste en une procédure d’observation régulière et systématique, de suivi et d’évaluation des activités et pratiques agricoles par des moyens technologiques, y compris les données satellitaires des Sentinelles Copernicus; </w:t>
      </w:r>
    </w:p>
    <w:p w14:paraId="62B4427D" w14:textId="7FDF6B8A" w:rsidR="00256F20" w:rsidRPr="00D207EA" w:rsidRDefault="008D666E" w:rsidP="008D666E">
      <w:pPr>
        <w:pStyle w:val="Point10"/>
        <w:rPr>
          <w:noProof/>
        </w:rPr>
      </w:pPr>
      <w:r w:rsidRPr="008D666E">
        <w:rPr>
          <w:noProof/>
        </w:rPr>
        <w:t>(b)</w:t>
      </w:r>
      <w:r w:rsidRPr="008D666E">
        <w:rPr>
          <w:noProof/>
        </w:rPr>
        <w:tab/>
      </w:r>
      <w:r w:rsidR="00256F20" w:rsidRPr="00D207EA">
        <w:rPr>
          <w:noProof/>
        </w:rPr>
        <w:t xml:space="preserve">un système de demande géospatialisée et fondée sur les animaux, qui est un outil d’application numérique permettant au bénéficiaire de déclarer les activités et pratiques agricoles de l’exploitation; </w:t>
      </w:r>
    </w:p>
    <w:p w14:paraId="3867958B" w14:textId="6731E307" w:rsidR="00256F20" w:rsidRPr="00D207EA" w:rsidRDefault="008D666E" w:rsidP="008D666E">
      <w:pPr>
        <w:pStyle w:val="Point10"/>
        <w:rPr>
          <w:noProof/>
        </w:rPr>
      </w:pPr>
      <w:r w:rsidRPr="008D666E">
        <w:rPr>
          <w:noProof/>
        </w:rPr>
        <w:t>(c)</w:t>
      </w:r>
      <w:r w:rsidRPr="008D666E">
        <w:rPr>
          <w:noProof/>
        </w:rPr>
        <w:tab/>
      </w:r>
      <w:r w:rsidR="00256F20" w:rsidRPr="00D207EA">
        <w:rPr>
          <w:noProof/>
        </w:rPr>
        <w:t xml:space="preserve">un système d’identification des parcelles agricoles; </w:t>
      </w:r>
    </w:p>
    <w:p w14:paraId="78E0D10E" w14:textId="6A62B11F" w:rsidR="00256F20" w:rsidRPr="00D207EA" w:rsidRDefault="008D666E" w:rsidP="008D666E">
      <w:pPr>
        <w:pStyle w:val="Point10"/>
        <w:rPr>
          <w:noProof/>
        </w:rPr>
      </w:pPr>
      <w:r w:rsidRPr="008D666E">
        <w:rPr>
          <w:noProof/>
        </w:rPr>
        <w:t>(d)</w:t>
      </w:r>
      <w:r w:rsidRPr="008D666E">
        <w:rPr>
          <w:noProof/>
        </w:rPr>
        <w:tab/>
      </w:r>
      <w:r w:rsidR="00256F20" w:rsidRPr="00D207EA">
        <w:rPr>
          <w:noProof/>
        </w:rPr>
        <w:t xml:space="preserve">un système d’identification et d’enregistrement des animaux; </w:t>
      </w:r>
    </w:p>
    <w:p w14:paraId="63C104F0" w14:textId="741BD260" w:rsidR="00256F20" w:rsidRPr="00D207EA" w:rsidRDefault="008D666E" w:rsidP="008D666E">
      <w:pPr>
        <w:pStyle w:val="Point10"/>
        <w:rPr>
          <w:noProof/>
        </w:rPr>
      </w:pPr>
      <w:r w:rsidRPr="008D666E">
        <w:rPr>
          <w:noProof/>
        </w:rPr>
        <w:t>(e)</w:t>
      </w:r>
      <w:r w:rsidRPr="008D666E">
        <w:rPr>
          <w:noProof/>
        </w:rPr>
        <w:tab/>
      </w:r>
      <w:r w:rsidR="00256F20" w:rsidRPr="00D207EA">
        <w:rPr>
          <w:noProof/>
        </w:rPr>
        <w:t xml:space="preserve">un système d’identification des bénéficiaires des interventions énumérées aux paragraphes 1 et 2; </w:t>
      </w:r>
    </w:p>
    <w:p w14:paraId="7EE758F4" w14:textId="3AE1663C" w:rsidR="00256F20" w:rsidRPr="00D207EA" w:rsidRDefault="008D666E" w:rsidP="008D666E">
      <w:pPr>
        <w:pStyle w:val="Point10"/>
        <w:rPr>
          <w:noProof/>
        </w:rPr>
      </w:pPr>
      <w:r w:rsidRPr="008D666E">
        <w:rPr>
          <w:noProof/>
        </w:rPr>
        <w:t>(f)</w:t>
      </w:r>
      <w:r w:rsidRPr="008D666E">
        <w:rPr>
          <w:noProof/>
        </w:rPr>
        <w:tab/>
      </w:r>
      <w:r w:rsidR="00256F20" w:rsidRPr="00D207EA">
        <w:rPr>
          <w:noProof/>
        </w:rPr>
        <w:t>un système de contrôle et de sanctions. Les États membres procèdent annuellement à des contrôles administratifs de la demande d’aide et des demandes de paiement afin d’en vérifier la légalité et la régularité. Ces contrôles sont complétés par des contrôles sur place, qui peuvent être effectués à distance à l’aide de la technologie. Toutefois, les États membres peuvent choisir de ne pas effectuer de contrôles sur place lorsque les conditions d’éligibilité des mesures font l’objet d’un suivi dans le cadre du système de surveillance de l’agriculture visé au point a), du présent article.</w:t>
      </w:r>
    </w:p>
    <w:p w14:paraId="0C4C8CD1" w14:textId="4F5884B9" w:rsidR="00256F20" w:rsidRPr="00D207EA" w:rsidRDefault="00256F20" w:rsidP="00C21519">
      <w:pPr>
        <w:pStyle w:val="NumPar10000000"/>
        <w:numPr>
          <w:ilvl w:val="0"/>
          <w:numId w:val="139"/>
        </w:numPr>
        <w:rPr>
          <w:noProof/>
        </w:rPr>
      </w:pPr>
      <w:r w:rsidRPr="00D207EA">
        <w:rPr>
          <w:noProof/>
        </w:rPr>
        <w:t>Les États membres évaluent annuellement la qualité des éléments du système intégré visé au paragraphe 3, points a), b) et c), conformément à la méthode établie au niveau de l’Union.</w:t>
      </w:r>
    </w:p>
    <w:p w14:paraId="6FC2F149" w14:textId="11E88733" w:rsidR="00256F20" w:rsidRPr="00D207EA" w:rsidRDefault="00256F20" w:rsidP="0089694F">
      <w:pPr>
        <w:pStyle w:val="Text1"/>
        <w:rPr>
          <w:noProof/>
        </w:rPr>
      </w:pPr>
      <w:r w:rsidRPr="00D207EA">
        <w:rPr>
          <w:noProof/>
        </w:rPr>
        <w:t>Lorsque l’évaluation révèle des lacunes dans les éléments du système intégré, les États membres adoptent les mesures correctives appropriées ou, à défaut, sont invités par la Commission à établir une feuille de route précisant le calendrier de mise en œuvre des mesures correctives en suspens.</w:t>
      </w:r>
    </w:p>
    <w:p w14:paraId="24AF62AD" w14:textId="209768C6" w:rsidR="00256F20" w:rsidRPr="00D207EA" w:rsidRDefault="00256F20" w:rsidP="0089694F">
      <w:pPr>
        <w:pStyle w:val="Text1"/>
        <w:rPr>
          <w:noProof/>
        </w:rPr>
      </w:pPr>
      <w:r w:rsidRPr="00D207EA">
        <w:rPr>
          <w:noProof/>
        </w:rPr>
        <w:t>Un rapport d’évaluation et, le cas échéant, les mesures correctives ainsi que le calendrier de leur mise en œuvre sont communiqués à la Commission pour le 15 février qui suit l’année civile considérée.</w:t>
      </w:r>
    </w:p>
    <w:p w14:paraId="776942B6" w14:textId="31C3C145" w:rsidR="00256F20" w:rsidRPr="00D207EA" w:rsidRDefault="00695A5C" w:rsidP="00C21519">
      <w:pPr>
        <w:pStyle w:val="NumPar10000000"/>
        <w:numPr>
          <w:ilvl w:val="0"/>
          <w:numId w:val="139"/>
        </w:numPr>
        <w:rPr>
          <w:noProof/>
        </w:rPr>
      </w:pPr>
      <w:r w:rsidRPr="00D207EA">
        <w:rPr>
          <w:noProof/>
        </w:rPr>
        <w:t>La Commission fournit gratuitement les données satellitaires nécessaires au système de surveillance de l’agriculture aux autorités compétentes pour ledit système ou aux prestataires de services autorisés par ces autorités à les représenter. Aux fins de l’évaluation de la qualité du système intégré visé au paragraphe 4, la Commission leur fournit gratuitement l’imagerie à très haute résolution nécessaire. La Commission reste propriétaire des données satellitaires et de l’imagerie.</w:t>
      </w:r>
    </w:p>
    <w:p w14:paraId="1C314558" w14:textId="77777777" w:rsidR="00256F20" w:rsidRPr="00D207EA" w:rsidRDefault="00256F20" w:rsidP="00C21519">
      <w:pPr>
        <w:pStyle w:val="NumPar10000000"/>
        <w:numPr>
          <w:ilvl w:val="0"/>
          <w:numId w:val="139"/>
        </w:numPr>
        <w:rPr>
          <w:noProof/>
        </w:rPr>
      </w:pPr>
      <w:r w:rsidRPr="00D207EA">
        <w:rPr>
          <w:noProof/>
        </w:rPr>
        <w:t>Sans préjudice des responsabilités des États membres en matière de mise en œuvre et d’application du système intégré, ceux-ci mettent en place le système européen de surveillance des terres. Il fournit aux agriculteurs des informations utiles pour soutenir la gestion durable de leur exploitation. En outre, il fournit des données pour l’élaboration et le suivi de la PAC et encourage le partage des données relatives à la durabilité des exploitations agricoles.</w:t>
      </w:r>
    </w:p>
    <w:p w14:paraId="293DF2F3" w14:textId="77777777" w:rsidR="00256F20" w:rsidRPr="00D207EA" w:rsidRDefault="00695A5C" w:rsidP="00C21519">
      <w:pPr>
        <w:pStyle w:val="NumPar10000000"/>
        <w:numPr>
          <w:ilvl w:val="0"/>
          <w:numId w:val="139"/>
        </w:numPr>
        <w:rPr>
          <w:noProof/>
        </w:rPr>
      </w:pPr>
      <w:r w:rsidRPr="00D207EA">
        <w:rPr>
          <w:noProof/>
        </w:rPr>
        <w:t>Le système européen de surveillance des terres comprend au moins les données relatives aux éléments du système intégré visés au paragraphe 3 et, le cas échéant, les données partagées par les agriculteurs avec les autorités publiques conformément à l’article 10 du règlement (UE) 202X/XXXX [règlement relatif à la PAC]. Les États membres peuvent fournir des services supplémentaires pour améliorer le système européen de surveillance des terres avec d’autres sources d’information au profit des agriculteurs.</w:t>
      </w:r>
    </w:p>
    <w:p w14:paraId="489E0DAC" w14:textId="77777777" w:rsidR="00256F20" w:rsidRPr="00D207EA" w:rsidRDefault="001F586E" w:rsidP="00C21519">
      <w:pPr>
        <w:pStyle w:val="NumPar10000000"/>
        <w:numPr>
          <w:ilvl w:val="0"/>
          <w:numId w:val="139"/>
        </w:numPr>
        <w:rPr>
          <w:noProof/>
        </w:rPr>
      </w:pPr>
      <w:r w:rsidRPr="00D207EA">
        <w:rPr>
          <w:noProof/>
        </w:rPr>
        <w:t xml:space="preserve">Lorsqu’il est nécessaire d’assurer une application efficace, cohérente et non discriminatoire du système intégré prévu par le présent chapitre et de protéger ainsi les intérêts financiers de l’Union, la Commission est habilitée à adopter des actes délégués conformément à l’article 87, complétant le présent règlement et précisant: </w:t>
      </w:r>
    </w:p>
    <w:p w14:paraId="727F5E91" w14:textId="43234380" w:rsidR="00256F20" w:rsidRPr="00D207EA" w:rsidRDefault="008D666E" w:rsidP="008D666E">
      <w:pPr>
        <w:pStyle w:val="Point10"/>
        <w:rPr>
          <w:noProof/>
        </w:rPr>
      </w:pPr>
      <w:r w:rsidRPr="008D666E">
        <w:rPr>
          <w:noProof/>
        </w:rPr>
        <w:t>(a)</w:t>
      </w:r>
      <w:r w:rsidRPr="008D666E">
        <w:rPr>
          <w:noProof/>
        </w:rPr>
        <w:tab/>
      </w:r>
      <w:r w:rsidR="00695A5C" w:rsidRPr="00D207EA">
        <w:rPr>
          <w:noProof/>
        </w:rPr>
        <w:t>les règles relatives à la méthode mise en place au niveau de l’Union pour l’évaluation annuelle de la qualité des éléments du système intégré, visés au paragraphe 3, points a), b) et c);</w:t>
      </w:r>
    </w:p>
    <w:p w14:paraId="1B5BCDC6" w14:textId="7B212F5F" w:rsidR="00256F20" w:rsidRPr="00D207EA" w:rsidRDefault="008D666E" w:rsidP="008D666E">
      <w:pPr>
        <w:pStyle w:val="Point10"/>
        <w:rPr>
          <w:noProof/>
        </w:rPr>
      </w:pPr>
      <w:r w:rsidRPr="008D666E">
        <w:rPr>
          <w:noProof/>
        </w:rPr>
        <w:t>(b)</w:t>
      </w:r>
      <w:r w:rsidRPr="008D666E">
        <w:rPr>
          <w:noProof/>
        </w:rPr>
        <w:tab/>
      </w:r>
      <w:r w:rsidR="00256F20" w:rsidRPr="00D207EA">
        <w:rPr>
          <w:noProof/>
        </w:rPr>
        <w:t>les règles relatives au système d’identification des parcelles agricoles, visé au paragraphe 3, point c).</w:t>
      </w:r>
    </w:p>
    <w:p w14:paraId="2BF1EA64" w14:textId="77777777" w:rsidR="00256F20" w:rsidRPr="00D207EA" w:rsidRDefault="00256F20" w:rsidP="00C21519">
      <w:pPr>
        <w:pStyle w:val="NumPar10000000"/>
        <w:numPr>
          <w:ilvl w:val="0"/>
          <w:numId w:val="139"/>
        </w:numPr>
        <w:rPr>
          <w:noProof/>
        </w:rPr>
      </w:pPr>
      <w:r w:rsidRPr="00D207EA">
        <w:rPr>
          <w:noProof/>
        </w:rPr>
        <w:t xml:space="preserve">La Commission peut adopter des actes d’exécution établissant des règles concernant: </w:t>
      </w:r>
    </w:p>
    <w:p w14:paraId="7AB9C069" w14:textId="2EDD4EB5" w:rsidR="00256F20" w:rsidRPr="00D207EA" w:rsidRDefault="008D666E" w:rsidP="008D666E">
      <w:pPr>
        <w:pStyle w:val="Point10"/>
        <w:rPr>
          <w:noProof/>
        </w:rPr>
      </w:pPr>
      <w:r w:rsidRPr="008D666E">
        <w:rPr>
          <w:noProof/>
        </w:rPr>
        <w:t>(a)</w:t>
      </w:r>
      <w:r w:rsidRPr="008D666E">
        <w:rPr>
          <w:noProof/>
        </w:rPr>
        <w:tab/>
      </w:r>
      <w:r w:rsidR="00256F20" w:rsidRPr="00D207EA">
        <w:rPr>
          <w:noProof/>
        </w:rPr>
        <w:t xml:space="preserve">la forme, le contenu et les modalités de transmission à la Commission ou de mise à sa disposition: </w:t>
      </w:r>
    </w:p>
    <w:p w14:paraId="4317844A" w14:textId="77777777" w:rsidR="00256F20" w:rsidRPr="00D207EA" w:rsidRDefault="00256F20" w:rsidP="00C21519">
      <w:pPr>
        <w:pStyle w:val="Point2n"/>
        <w:numPr>
          <w:ilvl w:val="0"/>
          <w:numId w:val="72"/>
        </w:numPr>
        <w:spacing w:line="240" w:lineRule="auto"/>
        <w:rPr>
          <w:noProof/>
        </w:rPr>
      </w:pPr>
      <w:r w:rsidRPr="00D207EA">
        <w:rPr>
          <w:noProof/>
        </w:rPr>
        <w:t>du rapport d’évaluation visé au paragraphe 4;</w:t>
      </w:r>
    </w:p>
    <w:p w14:paraId="783AE65E" w14:textId="77777777" w:rsidR="00256F20" w:rsidRPr="00D207EA" w:rsidRDefault="00256F20" w:rsidP="005A28DE">
      <w:pPr>
        <w:pStyle w:val="Point2n"/>
        <w:spacing w:line="240" w:lineRule="auto"/>
        <w:rPr>
          <w:noProof/>
        </w:rPr>
      </w:pPr>
      <w:r w:rsidRPr="00D207EA">
        <w:rPr>
          <w:noProof/>
        </w:rPr>
        <w:t>des mesures correctives prévues par les États membres;</w:t>
      </w:r>
    </w:p>
    <w:p w14:paraId="06A49C0A" w14:textId="04EA62CF" w:rsidR="00256F20" w:rsidRPr="00D207EA" w:rsidRDefault="008D666E" w:rsidP="008D666E">
      <w:pPr>
        <w:pStyle w:val="Point10"/>
        <w:rPr>
          <w:noProof/>
        </w:rPr>
      </w:pPr>
      <w:r w:rsidRPr="008D666E">
        <w:rPr>
          <w:noProof/>
        </w:rPr>
        <w:t>(b)</w:t>
      </w:r>
      <w:r w:rsidRPr="008D666E">
        <w:rPr>
          <w:noProof/>
        </w:rPr>
        <w:tab/>
      </w:r>
      <w:r w:rsidR="00256F20" w:rsidRPr="00D207EA">
        <w:rPr>
          <w:noProof/>
        </w:rPr>
        <w:t xml:space="preserve">des caractéristiques de base et des règles concernant: </w:t>
      </w:r>
    </w:p>
    <w:p w14:paraId="7402D0B8" w14:textId="77777777" w:rsidR="00256F20" w:rsidRPr="00D207EA" w:rsidRDefault="00256F20" w:rsidP="00C21519">
      <w:pPr>
        <w:pStyle w:val="Point2n"/>
        <w:numPr>
          <w:ilvl w:val="0"/>
          <w:numId w:val="156"/>
        </w:numPr>
        <w:spacing w:line="240" w:lineRule="auto"/>
        <w:rPr>
          <w:noProof/>
        </w:rPr>
      </w:pPr>
      <w:r w:rsidRPr="00D207EA">
        <w:rPr>
          <w:noProof/>
        </w:rPr>
        <w:t>le système de surveillance de l’agriculture;</w:t>
      </w:r>
    </w:p>
    <w:p w14:paraId="2B0E1FAD" w14:textId="77777777" w:rsidR="00256F20" w:rsidRPr="00D207EA" w:rsidRDefault="00256F20" w:rsidP="005A28DE">
      <w:pPr>
        <w:pStyle w:val="Point2n"/>
        <w:spacing w:line="240" w:lineRule="auto"/>
        <w:rPr>
          <w:noProof/>
        </w:rPr>
      </w:pPr>
      <w:r w:rsidRPr="00D207EA">
        <w:rPr>
          <w:noProof/>
        </w:rPr>
        <w:t>le système de demande géospatialisée et fondée sur les animaux;</w:t>
      </w:r>
    </w:p>
    <w:p w14:paraId="57E1FB00" w14:textId="77777777" w:rsidR="00256F20" w:rsidRPr="00D207EA" w:rsidRDefault="00256F20" w:rsidP="005A28DE">
      <w:pPr>
        <w:pStyle w:val="Point2n"/>
        <w:spacing w:line="240" w:lineRule="auto"/>
        <w:rPr>
          <w:noProof/>
        </w:rPr>
      </w:pPr>
      <w:r w:rsidRPr="00D207EA">
        <w:rPr>
          <w:noProof/>
        </w:rPr>
        <w:t>le système d’identification des parcelles agricoles;</w:t>
      </w:r>
    </w:p>
    <w:p w14:paraId="13670FF6" w14:textId="77777777" w:rsidR="00256F20" w:rsidRPr="00D207EA" w:rsidRDefault="005E0B5D" w:rsidP="005A28DE">
      <w:pPr>
        <w:pStyle w:val="Point2n"/>
        <w:spacing w:line="240" w:lineRule="auto"/>
        <w:rPr>
          <w:noProof/>
        </w:rPr>
      </w:pPr>
      <w:r w:rsidRPr="00D207EA">
        <w:rPr>
          <w:noProof/>
        </w:rPr>
        <w:t>le système européen de surveillance des terres.</w:t>
      </w:r>
    </w:p>
    <w:p w14:paraId="73DC057D" w14:textId="6B9B4513" w:rsidR="00004B73" w:rsidRPr="00D207EA" w:rsidRDefault="00256F20" w:rsidP="00C21519">
      <w:pPr>
        <w:pStyle w:val="NumPar10000000"/>
        <w:numPr>
          <w:ilvl w:val="0"/>
          <w:numId w:val="139"/>
        </w:numPr>
        <w:rPr>
          <w:rFonts w:eastAsia="Calibri"/>
          <w:noProof/>
        </w:rPr>
      </w:pPr>
      <w:r w:rsidRPr="00D207EA">
        <w:rPr>
          <w:noProof/>
        </w:rPr>
        <w:t>Ces actes d’exécution sont adoptés conformément à la procédure d’examen visée à l’article 87, paragraphe 3 [</w:t>
      </w:r>
      <w:r w:rsidRPr="00D207EA">
        <w:rPr>
          <w:i/>
          <w:iCs/>
          <w:noProof/>
        </w:rPr>
        <w:t>procédure de comité, procédure d’examen</w:t>
      </w:r>
      <w:r w:rsidRPr="00D207EA">
        <w:rPr>
          <w:noProof/>
        </w:rPr>
        <w:t>].</w:t>
      </w:r>
    </w:p>
    <w:p w14:paraId="5ACB844B" w14:textId="77777777" w:rsidR="00631727" w:rsidRPr="00D207EA" w:rsidRDefault="00631727" w:rsidP="00631727">
      <w:pPr>
        <w:pStyle w:val="SectionTitle"/>
        <w:rPr>
          <w:noProof/>
        </w:rPr>
      </w:pPr>
      <w:r w:rsidRPr="00D207EA">
        <w:rPr>
          <w:noProof/>
        </w:rPr>
        <w:t>TITRE XI</w:t>
      </w:r>
      <w:r w:rsidRPr="00D207EA">
        <w:rPr>
          <w:noProof/>
        </w:rPr>
        <w:br/>
        <w:t>Type spécifique de soutien</w:t>
      </w:r>
    </w:p>
    <w:p w14:paraId="4C9F2310" w14:textId="77777777" w:rsidR="00FB0190" w:rsidRPr="00D207EA" w:rsidRDefault="00936FC4" w:rsidP="005A28DE">
      <w:pPr>
        <w:pStyle w:val="Titrearticle"/>
        <w:rPr>
          <w:noProof/>
        </w:rPr>
      </w:pPr>
      <w:r w:rsidRPr="00D207EA">
        <w:rPr>
          <w:noProof/>
        </w:rPr>
        <w:t>Article 71</w:t>
      </w:r>
      <w:r w:rsidRPr="00D207EA">
        <w:rPr>
          <w:noProof/>
        </w:rPr>
        <w:br/>
        <w:t>Instruments financiers</w:t>
      </w:r>
    </w:p>
    <w:p w14:paraId="1010F348" w14:textId="3DDA4D15" w:rsidR="00FB0190" w:rsidRPr="00D207EA" w:rsidRDefault="00FB0190" w:rsidP="00C21519">
      <w:pPr>
        <w:pStyle w:val="NumPar10000000"/>
        <w:numPr>
          <w:ilvl w:val="0"/>
          <w:numId w:val="97"/>
        </w:numPr>
        <w:rPr>
          <w:noProof/>
        </w:rPr>
      </w:pPr>
      <w:r w:rsidRPr="00D207EA">
        <w:rPr>
          <w:noProof/>
        </w:rPr>
        <w:t>Les États membres peuvent inclure dans leurs plans un soutien aux instruments financiers existants ou nouvellement créés, mis en œuvre directement par l’autorité de gestion ou sous sa responsabilité.</w:t>
      </w:r>
    </w:p>
    <w:p w14:paraId="7551DC28" w14:textId="3EB5DF3E" w:rsidR="00E663AE" w:rsidRPr="00D207EA" w:rsidRDefault="00732FA5" w:rsidP="00C21519">
      <w:pPr>
        <w:pStyle w:val="NumPar10000000"/>
        <w:numPr>
          <w:ilvl w:val="0"/>
          <w:numId w:val="97"/>
        </w:numPr>
        <w:rPr>
          <w:noProof/>
        </w:rPr>
      </w:pPr>
      <w:r w:rsidRPr="00D207EA">
        <w:rPr>
          <w:noProof/>
        </w:rPr>
        <w:t>L’utilisation d’instruments financiers et leur combinaison éventuelle avec une subvention sont justifiées par les besoins correspondants du marché ainsi que leur capacité à réduire les risques et à tirer parti des capitaux privés. Les coûts estimés d’un instrument financier sont établis conformément au paragraphe 11.</w:t>
      </w:r>
    </w:p>
    <w:p w14:paraId="6077E3EA" w14:textId="62421261" w:rsidR="00707C38" w:rsidRPr="00D207EA" w:rsidRDefault="000D3B0D" w:rsidP="00C21519">
      <w:pPr>
        <w:pStyle w:val="NumPar10000000"/>
        <w:numPr>
          <w:ilvl w:val="0"/>
          <w:numId w:val="97"/>
        </w:numPr>
        <w:rPr>
          <w:noProof/>
        </w:rPr>
      </w:pPr>
      <w:r w:rsidRPr="00D207EA">
        <w:rPr>
          <w:noProof/>
        </w:rPr>
        <w:t>Les États membres sélectionnent les organismes mettant en œuvre les instruments financiers. Lorsqu’un instrument financier est mis en œuvre par un fonds à participation, l’organisme mettant en œuvre ledit fonds sélectionne, grâce à des procédures transparentes, les organismes mettant en œuvre des fonds spécifiques.</w:t>
      </w:r>
    </w:p>
    <w:p w14:paraId="726F6BBC" w14:textId="1BC810AC" w:rsidR="00707C38" w:rsidRPr="00D207EA" w:rsidRDefault="000A6785" w:rsidP="00C21519">
      <w:pPr>
        <w:pStyle w:val="NumPar10000000"/>
        <w:numPr>
          <w:ilvl w:val="0"/>
          <w:numId w:val="97"/>
        </w:numPr>
        <w:rPr>
          <w:noProof/>
        </w:rPr>
      </w:pPr>
      <w:r w:rsidRPr="00D207EA">
        <w:rPr>
          <w:noProof/>
        </w:rPr>
        <w:t>Les frais de gestion sont basés sur la performance.</w:t>
      </w:r>
    </w:p>
    <w:p w14:paraId="3785026F" w14:textId="65344C81" w:rsidR="00450E9D" w:rsidRPr="00D207EA" w:rsidRDefault="00450E9D" w:rsidP="005A28DE">
      <w:pPr>
        <w:pStyle w:val="Text1"/>
        <w:rPr>
          <w:noProof/>
        </w:rPr>
      </w:pPr>
      <w:r w:rsidRPr="00D207EA">
        <w:rPr>
          <w:noProof/>
        </w:rPr>
        <w:t>Lorsque les organismes mettant en œuvre un fonds à participation sont sélectionnés par une passation de marché de gré à gré, le montant des frais de gestion est plafonné à 7 % de la contribution financière du plan pour les participations ou quasi-participations et à 5 % pour tous les autres produits financiers.</w:t>
      </w:r>
    </w:p>
    <w:p w14:paraId="04BB2EF9" w14:textId="2267EFA5" w:rsidR="000A6785" w:rsidRPr="00D207EA" w:rsidRDefault="00450E9D" w:rsidP="005A28DE">
      <w:pPr>
        <w:pStyle w:val="Text1"/>
        <w:rPr>
          <w:noProof/>
        </w:rPr>
      </w:pPr>
      <w:r w:rsidRPr="00D207EA">
        <w:rPr>
          <w:noProof/>
        </w:rPr>
        <w:t>Lorsque les organismes mettant en œuvre un fonds spécifique sont sélectionnés par une passation de marché de gré à gré, le montant des frais de gestion est plafonné à 15 % de la contribution financière du plan pour les participations ou quasi-participations et à 7 % pour la contribution financière du plan à tous les autres produits financiers.</w:t>
      </w:r>
    </w:p>
    <w:p w14:paraId="1C05C759" w14:textId="77777777" w:rsidR="00FB0190" w:rsidRPr="00D207EA" w:rsidRDefault="00FB0190" w:rsidP="00C21519">
      <w:pPr>
        <w:pStyle w:val="NumPar10000000"/>
        <w:numPr>
          <w:ilvl w:val="0"/>
          <w:numId w:val="97"/>
        </w:numPr>
        <w:rPr>
          <w:noProof/>
        </w:rPr>
      </w:pPr>
      <w:r w:rsidRPr="00D207EA">
        <w:rPr>
          <w:noProof/>
        </w:rPr>
        <w:t>L’État membre peut attribuer un marché de gré à gré aux fins de la mise en œuvre d’un instrument financier aux bénéficiaires suivants:</w:t>
      </w:r>
    </w:p>
    <w:p w14:paraId="24BD6059" w14:textId="378503AA" w:rsidR="00FB0190" w:rsidRPr="00D207EA" w:rsidRDefault="008D666E" w:rsidP="008D666E">
      <w:pPr>
        <w:pStyle w:val="Point10"/>
        <w:rPr>
          <w:noProof/>
        </w:rPr>
      </w:pPr>
      <w:r w:rsidRPr="008D666E">
        <w:rPr>
          <w:noProof/>
        </w:rPr>
        <w:t>(a)</w:t>
      </w:r>
      <w:r w:rsidRPr="008D666E">
        <w:rPr>
          <w:noProof/>
        </w:rPr>
        <w:tab/>
      </w:r>
      <w:r w:rsidR="003319AF" w:rsidRPr="00D207EA">
        <w:rPr>
          <w:noProof/>
        </w:rPr>
        <w:t>le Groupe Banque européenne d’investissement (Groupe BEI);</w:t>
      </w:r>
    </w:p>
    <w:p w14:paraId="102606F5" w14:textId="565FE29A" w:rsidR="00FB0190" w:rsidRPr="00D207EA" w:rsidRDefault="008D666E" w:rsidP="008D666E">
      <w:pPr>
        <w:pStyle w:val="Point10"/>
        <w:rPr>
          <w:noProof/>
        </w:rPr>
      </w:pPr>
      <w:r w:rsidRPr="008D666E">
        <w:rPr>
          <w:noProof/>
        </w:rPr>
        <w:t>(b)</w:t>
      </w:r>
      <w:r w:rsidRPr="008D666E">
        <w:rPr>
          <w:noProof/>
        </w:rPr>
        <w:tab/>
      </w:r>
      <w:r w:rsidR="003319AF" w:rsidRPr="00D207EA">
        <w:rPr>
          <w:noProof/>
        </w:rPr>
        <w:t>des institutions financières internationales dont un État membre est actionnaire;</w:t>
      </w:r>
    </w:p>
    <w:p w14:paraId="1DE5A991" w14:textId="4C438C08" w:rsidR="00FB0190" w:rsidRPr="00D207EA" w:rsidRDefault="008D666E" w:rsidP="008D666E">
      <w:pPr>
        <w:pStyle w:val="Point10"/>
        <w:rPr>
          <w:noProof/>
        </w:rPr>
      </w:pPr>
      <w:r w:rsidRPr="008D666E">
        <w:rPr>
          <w:noProof/>
        </w:rPr>
        <w:t>(c)</w:t>
      </w:r>
      <w:r w:rsidRPr="008D666E">
        <w:rPr>
          <w:noProof/>
        </w:rPr>
        <w:tab/>
      </w:r>
      <w:r w:rsidR="003319AF" w:rsidRPr="00D207EA">
        <w:rPr>
          <w:noProof/>
        </w:rPr>
        <w:t>une banque ou un établissement public, établi en tant qu’entité juridique exerçant des activités financières à titre professionnel, qui remplit toutes les conditions suivantes:</w:t>
      </w:r>
    </w:p>
    <w:p w14:paraId="0EA6DADF" w14:textId="77777777" w:rsidR="00FB0190" w:rsidRPr="00D207EA" w:rsidRDefault="00FB0190" w:rsidP="00C21519">
      <w:pPr>
        <w:pStyle w:val="Point2n"/>
        <w:numPr>
          <w:ilvl w:val="0"/>
          <w:numId w:val="73"/>
        </w:numPr>
        <w:spacing w:line="240" w:lineRule="auto"/>
        <w:jc w:val="both"/>
        <w:rPr>
          <w:noProof/>
        </w:rPr>
      </w:pPr>
      <w:r w:rsidRPr="00D207EA">
        <w:rPr>
          <w:noProof/>
        </w:rPr>
        <w:t>il n’y a pas de participation directe de capitaux privés, à l’exception des formes de participation de capitaux privés sans capacité de contrôle ou de blocage requises par les dispositions législatives nationales, conformément aux traités, qui ne permettent pas d’exercer une influence décisive sur la banque ou l’établissement concerné, et à l’exception des formes de participation de capitaux privés qui ne confèrent aucune influence sur les décisions relatives à la gestion quotidienne de l’instrument financier soutenu par le Fonds;</w:t>
      </w:r>
    </w:p>
    <w:p w14:paraId="32276385" w14:textId="77777777" w:rsidR="00FB0190" w:rsidRPr="00D207EA" w:rsidRDefault="00065E67" w:rsidP="005A28DE">
      <w:pPr>
        <w:pStyle w:val="Point2n"/>
        <w:spacing w:line="240" w:lineRule="auto"/>
        <w:jc w:val="both"/>
        <w:rPr>
          <w:noProof/>
        </w:rPr>
      </w:pPr>
      <w:r w:rsidRPr="00D207EA">
        <w:rPr>
          <w:noProof/>
        </w:rPr>
        <w:t>la banque ou l’établissement agit dans le cadre d’une mission d’intérêt public confiée par l’autorité compétente d’un État membre au niveau national ou régional, qui comprend la réalisation d’activités de développement économique contribuant à la réalisation des objectifs du Fonds, lesquelles constituent la totalité ou une partie de ses activités;</w:t>
      </w:r>
    </w:p>
    <w:p w14:paraId="2C21BC3C" w14:textId="77777777" w:rsidR="00FB0190" w:rsidRPr="00D207EA" w:rsidRDefault="00065E67" w:rsidP="005A28DE">
      <w:pPr>
        <w:pStyle w:val="Point2n"/>
        <w:spacing w:line="240" w:lineRule="auto"/>
        <w:jc w:val="both"/>
        <w:rPr>
          <w:noProof/>
        </w:rPr>
      </w:pPr>
      <w:r w:rsidRPr="00D207EA">
        <w:rPr>
          <w:noProof/>
        </w:rPr>
        <w:t>la banque ou l’établissement mène des activités de développement économique contribuant à la réalisation des objectifs du Fonds, lesquelles constituent la totalité ou une partie de ses activités, dans des régions, des domaines stratégiques ou des secteurs pour lesquels l’accès à des sources de financement sur le marché n’est généralement pas disponible ni suffisant;</w:t>
      </w:r>
    </w:p>
    <w:p w14:paraId="253F1840" w14:textId="77777777" w:rsidR="00FB0190" w:rsidRPr="00D207EA" w:rsidRDefault="00065E67" w:rsidP="005A28DE">
      <w:pPr>
        <w:pStyle w:val="Point2n"/>
        <w:spacing w:line="240" w:lineRule="auto"/>
        <w:jc w:val="both"/>
        <w:rPr>
          <w:noProof/>
        </w:rPr>
      </w:pPr>
      <w:r w:rsidRPr="00D207EA">
        <w:rPr>
          <w:noProof/>
        </w:rPr>
        <w:t>la banque ou l’établissement agit en n’ayant pas pour objectif premier de maximiser ses profits, mais assure la viabilité financière à long terme de ses activités;</w:t>
      </w:r>
    </w:p>
    <w:p w14:paraId="0092098C" w14:textId="77777777" w:rsidR="00FB0190" w:rsidRPr="00D207EA" w:rsidRDefault="00065E67" w:rsidP="005A28DE">
      <w:pPr>
        <w:pStyle w:val="Point2n"/>
        <w:spacing w:line="240" w:lineRule="auto"/>
        <w:jc w:val="both"/>
        <w:rPr>
          <w:noProof/>
        </w:rPr>
      </w:pPr>
      <w:r w:rsidRPr="00D207EA">
        <w:rPr>
          <w:noProof/>
        </w:rPr>
        <w:t>la banque ou l’établissement veille à ce que l’attribution directe d’un contrat visé au paragraphe 4 ne lui confère aucun avantage direct ou indirect pour ses activités commerciales en prenant des mesures appropriées conformément au droit applicable;</w:t>
      </w:r>
    </w:p>
    <w:p w14:paraId="7D84FF78" w14:textId="77777777" w:rsidR="00FB0190" w:rsidRPr="00D207EA" w:rsidRDefault="00065E67" w:rsidP="005A28DE">
      <w:pPr>
        <w:pStyle w:val="Point2n"/>
        <w:spacing w:line="240" w:lineRule="auto"/>
        <w:jc w:val="both"/>
        <w:rPr>
          <w:noProof/>
        </w:rPr>
      </w:pPr>
      <w:r w:rsidRPr="00D207EA">
        <w:rPr>
          <w:noProof/>
        </w:rPr>
        <w:t>la banque ou l’établissement est soumis à la surveillance d’une autorité indépendante conformément au droit applicable;</w:t>
      </w:r>
    </w:p>
    <w:p w14:paraId="7249A6F6" w14:textId="06AA3F1A" w:rsidR="00FB0190" w:rsidRPr="00D207EA" w:rsidRDefault="008D666E" w:rsidP="008D666E">
      <w:pPr>
        <w:pStyle w:val="Point10"/>
        <w:rPr>
          <w:noProof/>
        </w:rPr>
      </w:pPr>
      <w:r w:rsidRPr="008D666E">
        <w:rPr>
          <w:noProof/>
        </w:rPr>
        <w:t>(d)</w:t>
      </w:r>
      <w:r w:rsidRPr="008D666E">
        <w:rPr>
          <w:noProof/>
        </w:rPr>
        <w:tab/>
      </w:r>
      <w:r w:rsidR="00FB0190" w:rsidRPr="00D207EA">
        <w:rPr>
          <w:noProof/>
        </w:rPr>
        <w:t>d’autres organismes auxquels s’appliquent les conditions énoncées à l’article 12 de la directive 2014/24/UE du Parlement européen et du Conseil</w:t>
      </w:r>
      <w:r w:rsidR="00042960" w:rsidRPr="00D207EA">
        <w:rPr>
          <w:rStyle w:val="FootnoteReference"/>
          <w:noProof/>
          <w:lang w:eastAsia="en-IE"/>
        </w:rPr>
        <w:footnoteReference w:id="28"/>
      </w:r>
      <w:r w:rsidR="00FB0190" w:rsidRPr="00D207EA">
        <w:rPr>
          <w:noProof/>
        </w:rPr>
        <w:t>.</w:t>
      </w:r>
    </w:p>
    <w:p w14:paraId="0E97273A" w14:textId="77777777" w:rsidR="00FB0190" w:rsidRPr="00D207EA" w:rsidRDefault="00FB0190" w:rsidP="00C21519">
      <w:pPr>
        <w:pStyle w:val="NumPar10000000"/>
        <w:numPr>
          <w:ilvl w:val="0"/>
          <w:numId w:val="97"/>
        </w:numPr>
        <w:rPr>
          <w:noProof/>
        </w:rPr>
      </w:pPr>
      <w:r w:rsidRPr="00D207EA">
        <w:rPr>
          <w:noProof/>
        </w:rPr>
        <w:t>Les instruments financiers peuvent être combinés avec le soutien sous forme de subventions pour constituer une opération unique au titre d’un instrument financier, dans le cadre d’un seul accord de financement, lorsque les deux formes distinctes de soutien sont fournies par l’organisme mettant en œuvre l’instrument financier. Dans ce cas, les dispositions applicables aux instruments financiers s’appliquent à cette opération unique au titre d’un instrument financier. Le soutien sous forme de subventions est directement lié et nécessaire à l’instrument financier et ne dépasse pas la valeur des investissements soutenus par le produit financier. Des registres distincts sont tenus pour chaque type de soutien.</w:t>
      </w:r>
    </w:p>
    <w:p w14:paraId="57C89949" w14:textId="17DF844D" w:rsidR="00FB0190" w:rsidRPr="00D207EA" w:rsidRDefault="00FB0190" w:rsidP="00C21519">
      <w:pPr>
        <w:pStyle w:val="NumPar10000000"/>
        <w:numPr>
          <w:ilvl w:val="0"/>
          <w:numId w:val="97"/>
        </w:numPr>
        <w:rPr>
          <w:noProof/>
        </w:rPr>
      </w:pPr>
      <w:r w:rsidRPr="00D207EA">
        <w:rPr>
          <w:noProof/>
        </w:rPr>
        <w:t>Les valeurs intermédiaires et les valeurs cibles définitives des mesures mises en œuvre en tant qu’instruments financiers exigent que le soutien ait été fourni aux destinataires finaux.</w:t>
      </w:r>
    </w:p>
    <w:p w14:paraId="45AD6EB8" w14:textId="77777777" w:rsidR="00FB0190" w:rsidRPr="00D207EA" w:rsidRDefault="00FB0190" w:rsidP="00C21519">
      <w:pPr>
        <w:pStyle w:val="NumPar10000000"/>
        <w:numPr>
          <w:ilvl w:val="0"/>
          <w:numId w:val="97"/>
        </w:numPr>
        <w:rPr>
          <w:noProof/>
        </w:rPr>
      </w:pPr>
      <w:r w:rsidRPr="00D207EA">
        <w:rPr>
          <w:noProof/>
        </w:rPr>
        <w:t>Pour les activités relevant du champ d’application de l’article 42 du traité FUE, le montant total de l’aide pour le fonds de roulement octroyé à un bénéficiaire final ne dépasse pas un équivalent-subvention brut de 300 000 EUR sur une période de trois exercices financiers. Le même plafond s’applique au montant maximal de l’aide fournie au moyen d’instruments financiers à un projet donné entrepris par un jeune agriculteur, y compris pour l’installation.</w:t>
      </w:r>
    </w:p>
    <w:p w14:paraId="297D6395" w14:textId="74E34514" w:rsidR="00FB0190" w:rsidRPr="00D207EA" w:rsidRDefault="00FB0190" w:rsidP="00C21519">
      <w:pPr>
        <w:pStyle w:val="NumPar10000000"/>
        <w:numPr>
          <w:ilvl w:val="0"/>
          <w:numId w:val="97"/>
        </w:numPr>
        <w:rPr>
          <w:noProof/>
        </w:rPr>
      </w:pPr>
      <w:r w:rsidRPr="00D207EA">
        <w:rPr>
          <w:noProof/>
        </w:rPr>
        <w:t>Les subventions ne sont pas utilisées pour rembourser un soutien provenant d’instruments financiers. Les instruments financiers ne peuvent pas être utilisés pour préfinancer des subventions.</w:t>
      </w:r>
    </w:p>
    <w:p w14:paraId="4A6223B2" w14:textId="4DDDF891" w:rsidR="00FB0190" w:rsidRPr="00D207EA" w:rsidRDefault="00684ACB" w:rsidP="00C21519">
      <w:pPr>
        <w:pStyle w:val="NumPar10000000"/>
        <w:numPr>
          <w:ilvl w:val="0"/>
          <w:numId w:val="97"/>
        </w:numPr>
        <w:rPr>
          <w:rFonts w:eastAsia="Calibri"/>
          <w:noProof/>
        </w:rPr>
      </w:pPr>
      <w:r w:rsidRPr="00D207EA">
        <w:rPr>
          <w:noProof/>
        </w:rPr>
        <w:t>Le soutien versé par le Fonds aux instruments financiers est placé sur des comptes domiciliés auprès d’établissements financiers situés dans les États membres et est géré conformément à une gestion active de la trésorerie et au principe de bonne gestion financière. Les intérêts et autres gains attribuables au soutien du Fonds versé aux instruments financiers sont utilisés pour le même objectif que le soutien initial du Fonds, y compris pour le paiement des frais de gestion supportés par les organismes mettant en œuvre l’instrument financier ou au sein du même instrument financier; ou, après la liquidation de l’instrument financier, dans d’autres instruments financiers ou d’autres formes de soutien pour de nouveaux investissements dans les destinataires finaux, jusqu’à la fin de la période d’éligibilité. Les intérêts et autres gains qui ne sont pas utilisés conformément à la phrase précédente sont déduits du soutien global.</w:t>
      </w:r>
    </w:p>
    <w:p w14:paraId="320031F7" w14:textId="77777777" w:rsidR="00FB0190" w:rsidRPr="00D207EA" w:rsidRDefault="000E38D1" w:rsidP="00C21519">
      <w:pPr>
        <w:pStyle w:val="NumPar10000000"/>
        <w:numPr>
          <w:ilvl w:val="0"/>
          <w:numId w:val="97"/>
        </w:numPr>
        <w:rPr>
          <w:rFonts w:eastAsia="Calibri"/>
          <w:noProof/>
        </w:rPr>
      </w:pPr>
      <w:r w:rsidRPr="00D207EA">
        <w:rPr>
          <w:noProof/>
        </w:rPr>
        <w:t xml:space="preserve">Les coûts estimés d’un instrument financier sont établis sur la base du volume visé des produits financiers proposés et des frais de gestion correspondants. Les catégories suivantes peuvent également être incluses dans les coûts estimés des instruments financiers: </w:t>
      </w:r>
    </w:p>
    <w:p w14:paraId="4C89A373" w14:textId="4422D09F" w:rsidR="00FB0190" w:rsidRPr="00D207EA" w:rsidRDefault="008D666E" w:rsidP="008D666E">
      <w:pPr>
        <w:pStyle w:val="Point10"/>
        <w:rPr>
          <w:rFonts w:eastAsia="Calibri"/>
          <w:noProof/>
        </w:rPr>
      </w:pPr>
      <w:r w:rsidRPr="008D666E">
        <w:rPr>
          <w:noProof/>
        </w:rPr>
        <w:t>(a)</w:t>
      </w:r>
      <w:r w:rsidRPr="008D666E">
        <w:rPr>
          <w:noProof/>
        </w:rPr>
        <w:tab/>
      </w:r>
      <w:r w:rsidR="00FB0190" w:rsidRPr="00D207EA">
        <w:rPr>
          <w:noProof/>
        </w:rPr>
        <w:t xml:space="preserve">les paiements versés aux bénéficiaires finaux, dans le cas de prêts, de participations et de quasi-participations; </w:t>
      </w:r>
    </w:p>
    <w:p w14:paraId="575060FF" w14:textId="3DFA3DD4" w:rsidR="00FB0190" w:rsidRPr="00D207EA" w:rsidRDefault="008D666E" w:rsidP="008D666E">
      <w:pPr>
        <w:pStyle w:val="Point10"/>
        <w:rPr>
          <w:rFonts w:eastAsia="Calibri"/>
          <w:noProof/>
        </w:rPr>
      </w:pPr>
      <w:r w:rsidRPr="008D666E">
        <w:rPr>
          <w:noProof/>
        </w:rPr>
        <w:t>(b)</w:t>
      </w:r>
      <w:r w:rsidRPr="008D666E">
        <w:rPr>
          <w:noProof/>
        </w:rPr>
        <w:tab/>
      </w:r>
      <w:r w:rsidR="00FB0190" w:rsidRPr="00D207EA">
        <w:rPr>
          <w:noProof/>
        </w:rPr>
        <w:t xml:space="preserve">les ressources mises de côté pour les contrats de garantie, qu’ils soient en cours ou déjà arrivés à terme, afin d’honorer, pour les pertes, d’éventuels appels de garantie calculés sur la base d’un coefficient multiplicateur établi pour les nouveaux prêts ou participations sous-jacents respectifs décaissés en faveur des destinataires finaux; </w:t>
      </w:r>
    </w:p>
    <w:p w14:paraId="41A5F7E5" w14:textId="4FE5CD1A" w:rsidR="00FB0190" w:rsidRPr="00D207EA" w:rsidRDefault="008D666E" w:rsidP="008D666E">
      <w:pPr>
        <w:pStyle w:val="Point10"/>
        <w:rPr>
          <w:rFonts w:eastAsia="Calibri"/>
          <w:noProof/>
        </w:rPr>
      </w:pPr>
      <w:r w:rsidRPr="008D666E">
        <w:rPr>
          <w:noProof/>
        </w:rPr>
        <w:t>(c)</w:t>
      </w:r>
      <w:r w:rsidRPr="008D666E">
        <w:rPr>
          <w:noProof/>
        </w:rPr>
        <w:tab/>
      </w:r>
      <w:r w:rsidR="00FB0190" w:rsidRPr="00D207EA">
        <w:rPr>
          <w:noProof/>
        </w:rPr>
        <w:t xml:space="preserve">les paiements versés aux destinataires finaux, ou au bénéfice de ces derniers, lorsque les instruments financiers sont combinés en une seule opération au titre d’un instrument financier, conformément au paragraphe 5 du présent article; </w:t>
      </w:r>
    </w:p>
    <w:p w14:paraId="1723DD31" w14:textId="077FE0F5" w:rsidR="00FB0190" w:rsidRPr="00D207EA" w:rsidRDefault="008D666E" w:rsidP="008D666E">
      <w:pPr>
        <w:pStyle w:val="Point10"/>
        <w:rPr>
          <w:rFonts w:eastAsia="Calibri"/>
          <w:noProof/>
        </w:rPr>
      </w:pPr>
      <w:r w:rsidRPr="008D666E">
        <w:rPr>
          <w:noProof/>
        </w:rPr>
        <w:t>(d)</w:t>
      </w:r>
      <w:r w:rsidRPr="008D666E">
        <w:rPr>
          <w:noProof/>
        </w:rPr>
        <w:tab/>
      </w:r>
      <w:r w:rsidR="00FB0190" w:rsidRPr="00D207EA">
        <w:rPr>
          <w:noProof/>
        </w:rPr>
        <w:t xml:space="preserve">les frais de gestion supportés par les organismes mettant en œuvre l’instrument financier; </w:t>
      </w:r>
    </w:p>
    <w:p w14:paraId="55E961D6" w14:textId="064E5E2F" w:rsidR="00FB0190" w:rsidRPr="00D207EA" w:rsidRDefault="008D666E" w:rsidP="008D666E">
      <w:pPr>
        <w:pStyle w:val="Point10"/>
        <w:rPr>
          <w:rFonts w:eastAsia="Calibri"/>
          <w:noProof/>
        </w:rPr>
      </w:pPr>
      <w:r w:rsidRPr="008D666E">
        <w:rPr>
          <w:noProof/>
        </w:rPr>
        <w:t>(e)</w:t>
      </w:r>
      <w:r w:rsidRPr="008D666E">
        <w:rPr>
          <w:noProof/>
        </w:rPr>
        <w:tab/>
      </w:r>
      <w:r w:rsidR="00663A31" w:rsidRPr="00D207EA">
        <w:rPr>
          <w:noProof/>
        </w:rPr>
        <w:t>les frais de dossier, ou toute partie de ceux-ci, facturés aux destinataires finaux, ne sont pas inclus dans les coûts estimés.</w:t>
      </w:r>
    </w:p>
    <w:p w14:paraId="755B420E" w14:textId="77777777" w:rsidR="00FB0190" w:rsidRPr="00D207EA" w:rsidRDefault="00FB0190" w:rsidP="00C21519">
      <w:pPr>
        <w:pStyle w:val="NumPar10000000"/>
        <w:numPr>
          <w:ilvl w:val="0"/>
          <w:numId w:val="97"/>
        </w:numPr>
        <w:rPr>
          <w:noProof/>
        </w:rPr>
      </w:pPr>
      <w:r w:rsidRPr="00D207EA">
        <w:rPr>
          <w:noProof/>
        </w:rPr>
        <w:t>Les ressources remboursées, avant la fin de la période d’éligibilité, aux instruments financiers à partir des investissements au niveau des destinataires finaux ou de la libération de ressources mises de côté pour les contrats de garantie, y compris les remboursements de capital et tout type de revenu qui sont imputables au soutien émanant du Fonds, sont réutilisées dans le cadre du même ou d’autres instruments financiers pour d’autres investissements au niveau des destinataires finaux, pour compenser les pertes dans le montant nominal de la contribution du Fonds à l’instrument financier résultant d’intérêts négatifs, si ces pertes se produisent malgré une gestion active de la trésorerie ou pour tous les coûts et frais de gestion liés à ces investissements supplémentaires, compte tenu du principe de bonne gestion financière.</w:t>
      </w:r>
    </w:p>
    <w:p w14:paraId="490201D4" w14:textId="77777777" w:rsidR="00FB0190" w:rsidRPr="00D207EA" w:rsidRDefault="00FB0190" w:rsidP="006956CA">
      <w:pPr>
        <w:pStyle w:val="Text1"/>
        <w:rPr>
          <w:noProof/>
        </w:rPr>
      </w:pPr>
      <w:r w:rsidRPr="00D207EA">
        <w:rPr>
          <w:noProof/>
        </w:rPr>
        <w:t>Les États membres adoptent les mesures nécessaires pour garantir que, pendant une période de huit ans après la fin de la période d’éligibilité, les ressources restituées sont réutilisées conformément aux objectifs du plan, soit dans le cadre du même plan, soit dans le cadre d’autres instruments financiers ou d’autres formes de soutien.</w:t>
      </w:r>
    </w:p>
    <w:p w14:paraId="6D0D0DD6" w14:textId="77777777" w:rsidR="00FB0190" w:rsidRPr="00D207EA" w:rsidRDefault="00936FC4" w:rsidP="00FB0190">
      <w:pPr>
        <w:pStyle w:val="Titrearticle"/>
        <w:rPr>
          <w:noProof/>
        </w:rPr>
      </w:pPr>
      <w:r w:rsidRPr="00D207EA">
        <w:rPr>
          <w:noProof/>
        </w:rPr>
        <w:t>Article 72</w:t>
      </w:r>
      <w:r w:rsidRPr="00D207EA">
        <w:rPr>
          <w:noProof/>
        </w:rPr>
        <w:br/>
      </w:r>
      <w:r w:rsidRPr="00D207EA">
        <w:rPr>
          <w:b/>
          <w:noProof/>
        </w:rPr>
        <w:t>Vérifications et audits de gestion des instruments financiers</w:t>
      </w:r>
    </w:p>
    <w:p w14:paraId="28D8B332" w14:textId="77777777" w:rsidR="00FB0190" w:rsidRPr="00D207EA" w:rsidRDefault="00FB0190" w:rsidP="00C21519">
      <w:pPr>
        <w:pStyle w:val="NumPar10000000"/>
        <w:numPr>
          <w:ilvl w:val="0"/>
          <w:numId w:val="98"/>
        </w:numPr>
        <w:rPr>
          <w:noProof/>
        </w:rPr>
      </w:pPr>
      <w:r w:rsidRPr="00D207EA">
        <w:rPr>
          <w:noProof/>
        </w:rPr>
        <w:t>L’autorité de gestion effectue des vérifications sur place en matière de gestion conformément à l’article 51 [fonctions de l’autorité de gestion] uniquement au niveau des organismes mettant en œuvre l’instrument financier. L’autorité de gestion peut s’appuyer sur les vérifications réalisées par des organismes externes et ne pas procéder à des vérifications sur place concernant la gestion, à condition qu’elle dispose d’éléments suffisants attestant la compétence de ces organismes externes. Dans le cadre des fonds de garantie, l’autorité de gestion peut effectuer des vérifications sur place concernant la gestion au niveau des organismes fournissant un soutien aux destinataires finaux si les éléments attestant du fonctionnement de la gestion et des contrôles ne sont pas disponibles au niveau de l’organisme mettant en œuvre l’instrument financier ou de l’autorité de gestion.</w:t>
      </w:r>
    </w:p>
    <w:p w14:paraId="1C5F40BC" w14:textId="77777777" w:rsidR="00FB0190" w:rsidRPr="00D207EA" w:rsidRDefault="00FB0190" w:rsidP="00C21519">
      <w:pPr>
        <w:pStyle w:val="NumPar10000000"/>
        <w:numPr>
          <w:ilvl w:val="0"/>
          <w:numId w:val="97"/>
        </w:numPr>
        <w:rPr>
          <w:noProof/>
        </w:rPr>
      </w:pPr>
      <w:r w:rsidRPr="00D207EA">
        <w:rPr>
          <w:noProof/>
        </w:rPr>
        <w:t>L’autorité d’audit effectue des audits conformément à l’article 53 [fonctions de l’autorité d’audit], s’il y a lieu, au niveau des organismes mettant en œuvre l’instrument financier. Les résultats des audits réalisés par les auditeurs externes des organismes mettant en œuvre l’instrument financier peuvent être pris en compte par l’autorité d’audit aux fins de l’assurance globale et, sur cette base, l’autorité d’audit peut décider de limiter ses propres travaux d’audit. Dans le cadre des fonds de garantie, les organismes responsables de l’audit peuvent effectuer des audits des organismes fournissant un soutien aux destinataires finaux si les éléments attestant le soutien ne sont pas disponibles au niveau de l’organisme mettant en œuvre l’instrument financier ou de l’autorité de gestion.</w:t>
      </w:r>
    </w:p>
    <w:p w14:paraId="0D432F49" w14:textId="77777777" w:rsidR="00FB0190" w:rsidRPr="00D207EA" w:rsidRDefault="00FB0190" w:rsidP="00C21519">
      <w:pPr>
        <w:pStyle w:val="NumPar10000000"/>
        <w:numPr>
          <w:ilvl w:val="0"/>
          <w:numId w:val="97"/>
        </w:numPr>
        <w:rPr>
          <w:noProof/>
        </w:rPr>
      </w:pPr>
      <w:r w:rsidRPr="00D207EA">
        <w:rPr>
          <w:noProof/>
        </w:rPr>
        <w:t>Les autorités de gestion et les autorités d’audit peuvent s’appuyer sur les résultats de l’évaluation sur la base des piliers réalisée conformément à l’article 157 du règlement (UE, Euratom) 2024/2059.</w:t>
      </w:r>
    </w:p>
    <w:p w14:paraId="6579C5D4" w14:textId="7ACBF05F" w:rsidR="00FB0190" w:rsidRPr="00D207EA" w:rsidRDefault="00FB0190" w:rsidP="00C21519">
      <w:pPr>
        <w:pStyle w:val="NumPar10000000"/>
        <w:numPr>
          <w:ilvl w:val="0"/>
          <w:numId w:val="97"/>
        </w:numPr>
        <w:rPr>
          <w:noProof/>
        </w:rPr>
      </w:pPr>
      <w:r w:rsidRPr="00D207EA">
        <w:rPr>
          <w:noProof/>
        </w:rPr>
        <w:t>L’autorité de gestion n’effectue pas de vérifications sur place concernant la gestion au niveau du Groupe BEI ou d’autres institutions financières internationales dont un État membre est actionnaire.</w:t>
      </w:r>
    </w:p>
    <w:p w14:paraId="0BA74CB5" w14:textId="77777777" w:rsidR="00FB0190" w:rsidRPr="00D207EA" w:rsidRDefault="00FB0190" w:rsidP="00C21519">
      <w:pPr>
        <w:pStyle w:val="NumPar10000000"/>
        <w:numPr>
          <w:ilvl w:val="0"/>
          <w:numId w:val="97"/>
        </w:numPr>
        <w:rPr>
          <w:noProof/>
        </w:rPr>
      </w:pPr>
      <w:r w:rsidRPr="00D207EA">
        <w:rPr>
          <w:noProof/>
        </w:rPr>
        <w:t>Le Groupe BEI ou d’autres institutions financières internationales dont un État membre est actionnaire transmettent à l’autorité de gestion des rapports de contrôle à l’appui des demandes de paiement.</w:t>
      </w:r>
    </w:p>
    <w:p w14:paraId="2C366471" w14:textId="7CD1733B" w:rsidR="00FB0190" w:rsidRPr="00D207EA" w:rsidRDefault="00FB0190" w:rsidP="00C21519">
      <w:pPr>
        <w:pStyle w:val="NumPar10000000"/>
        <w:numPr>
          <w:ilvl w:val="0"/>
          <w:numId w:val="97"/>
        </w:numPr>
        <w:rPr>
          <w:noProof/>
        </w:rPr>
      </w:pPr>
      <w:r w:rsidRPr="00D207EA">
        <w:rPr>
          <w:noProof/>
        </w:rPr>
        <w:t>La BEI ou d’autres institutions financières internationales dont un État membre est actionnaire transmettent à la Commission et à l’autorité d’audit un rapport d’audit annuel élaboré par leurs auditeurs externes avant la fin de chaque année civile. Le rapport constitue la base des travaux de l’autorité d’audit.</w:t>
      </w:r>
    </w:p>
    <w:p w14:paraId="3DB80EBB" w14:textId="77777777" w:rsidR="00FB0190" w:rsidRPr="00D207EA" w:rsidRDefault="00FB0190" w:rsidP="00C21519">
      <w:pPr>
        <w:pStyle w:val="NumPar10000000"/>
        <w:numPr>
          <w:ilvl w:val="0"/>
          <w:numId w:val="97"/>
        </w:numPr>
        <w:rPr>
          <w:noProof/>
        </w:rPr>
      </w:pPr>
      <w:r w:rsidRPr="00D207EA">
        <w:rPr>
          <w:noProof/>
        </w:rPr>
        <w:t>Les audits des systèmes ne sont pas effectués au niveau des opérations individuelles portant sur des instruments financiers.</w:t>
      </w:r>
    </w:p>
    <w:p w14:paraId="5919E0F1" w14:textId="77777777" w:rsidR="00FB0190" w:rsidRPr="00D207EA" w:rsidRDefault="00FB0190" w:rsidP="00C21519">
      <w:pPr>
        <w:pStyle w:val="NumPar10000000"/>
        <w:numPr>
          <w:ilvl w:val="0"/>
          <w:numId w:val="97"/>
        </w:numPr>
        <w:rPr>
          <w:noProof/>
        </w:rPr>
      </w:pPr>
      <w:r w:rsidRPr="00D207EA">
        <w:rPr>
          <w:noProof/>
        </w:rPr>
        <w:t>La piste d’audit est disponible au niveau des organismes mettant en œuvre les instruments financiers ou au niveau des organismes apportant un soutien aux destinataires finaux dans le cadre des fonds de garantie.</w:t>
      </w:r>
    </w:p>
    <w:p w14:paraId="50D7628E" w14:textId="77777777" w:rsidR="00936FC4" w:rsidRPr="00D207EA" w:rsidRDefault="00936FC4" w:rsidP="00936FC4">
      <w:pPr>
        <w:pStyle w:val="Titrearticle"/>
        <w:rPr>
          <w:noProof/>
        </w:rPr>
      </w:pPr>
      <w:r w:rsidRPr="00D207EA">
        <w:rPr>
          <w:noProof/>
        </w:rPr>
        <w:t>Article 73</w:t>
      </w:r>
      <w:r w:rsidRPr="00D207EA">
        <w:rPr>
          <w:noProof/>
        </w:rPr>
        <w:br/>
      </w:r>
      <w:r w:rsidRPr="00D207EA">
        <w:rPr>
          <w:b/>
          <w:noProof/>
        </w:rPr>
        <w:t>Vérifications et audits de gestion pour les entités ayant fait l’objet d’une évaluation ex ante en tant que bénéficiaires</w:t>
      </w:r>
    </w:p>
    <w:p w14:paraId="71ECB5BA" w14:textId="77777777" w:rsidR="00FB0190" w:rsidRPr="00D207EA" w:rsidRDefault="00FB0190" w:rsidP="00C21519">
      <w:pPr>
        <w:pStyle w:val="NumPar10000000"/>
        <w:numPr>
          <w:ilvl w:val="0"/>
          <w:numId w:val="99"/>
        </w:numPr>
        <w:rPr>
          <w:noProof/>
        </w:rPr>
      </w:pPr>
      <w:r w:rsidRPr="00D207EA">
        <w:rPr>
          <w:noProof/>
        </w:rPr>
        <w:t>Le présent article s’applique lorsqu’un bénéficiaire est une entité visée à l’article 62, paragraphe 1, premier alinéa, point c), du règlement (UE, Euratom) 2024/2059, dont les systèmes, règles et procédures ont fait l’objet d’une évaluation ex ante positive par la Commission conformément à l’article 157, paragraphes 4 et 7, dudit règlement.</w:t>
      </w:r>
    </w:p>
    <w:p w14:paraId="2104A01A" w14:textId="0A3E8F0E" w:rsidR="00FB0190" w:rsidRPr="00D207EA" w:rsidRDefault="00FB0190" w:rsidP="00C21519">
      <w:pPr>
        <w:pStyle w:val="NumPar10000000"/>
        <w:numPr>
          <w:ilvl w:val="0"/>
          <w:numId w:val="97"/>
        </w:numPr>
        <w:rPr>
          <w:noProof/>
        </w:rPr>
      </w:pPr>
      <w:r w:rsidRPr="00D207EA">
        <w:rPr>
          <w:noProof/>
        </w:rPr>
        <w:t>Les autorités de gestion et les autorités d’audit peuvent s’appuyer sur les résultats de l’évaluation ex ante sur la base des piliers réalisée par la Commission conformément à l’article 157 du règlement (UE, Euratom) 2024/2059, compte tenu des mesures de surveillance visées au paragraphe 3 dudit article.</w:t>
      </w:r>
    </w:p>
    <w:p w14:paraId="497EBEEA" w14:textId="1D02BFDD" w:rsidR="00FB0190" w:rsidRPr="00D207EA" w:rsidRDefault="00FB0190" w:rsidP="00C21519">
      <w:pPr>
        <w:pStyle w:val="NumPar10000000"/>
        <w:numPr>
          <w:ilvl w:val="0"/>
          <w:numId w:val="97"/>
        </w:numPr>
        <w:rPr>
          <w:noProof/>
        </w:rPr>
      </w:pPr>
      <w:r w:rsidRPr="00D207EA">
        <w:rPr>
          <w:noProof/>
        </w:rPr>
        <w:t>Aux fins du dossier «assurance» annuel visé à l’article 58, l’autorité de gestion demande aux entités ayant fait l’objet d’une évaluation ex ante de fournir des documents sur la mise en œuvre du soutien de l’Union, qui peuvent être équivalents à ceux visés à l’article 158, paragraphe 1, du règlement (UE, Euratom) 2024/2059, y compris une déclaration de gestion confirmant que les conditions d’utilisation du soutien de l’Union ont été remplies.</w:t>
      </w:r>
    </w:p>
    <w:p w14:paraId="1E6EFD10" w14:textId="0D874878" w:rsidR="00FB0190" w:rsidRPr="00D207EA" w:rsidRDefault="00FB0190" w:rsidP="00C21519">
      <w:pPr>
        <w:pStyle w:val="NumPar10000000"/>
        <w:numPr>
          <w:ilvl w:val="0"/>
          <w:numId w:val="97"/>
        </w:numPr>
        <w:rPr>
          <w:noProof/>
        </w:rPr>
      </w:pPr>
      <w:r w:rsidRPr="00D207EA">
        <w:rPr>
          <w:noProof/>
        </w:rPr>
        <w:t>L’autorité de gestion peut s’appuyer sur les vérifications réalisées par des organismes externes au niveau d’une entité ayant fait l’objet d’une évaluation ex ante et, conformément aux paragraphes 4 et 5, décider de ne pas procéder à des vérifications sur place concernant la gestion, à condition qu’elle dispose d’éléments suffisants attestant la compétence de ces organismes externes.</w:t>
      </w:r>
    </w:p>
    <w:p w14:paraId="22EF116D" w14:textId="77777777" w:rsidR="00FB0190" w:rsidRPr="00D207EA" w:rsidRDefault="00FB0190" w:rsidP="00C21519">
      <w:pPr>
        <w:pStyle w:val="NumPar10000000"/>
        <w:numPr>
          <w:ilvl w:val="0"/>
          <w:numId w:val="97"/>
        </w:numPr>
        <w:rPr>
          <w:noProof/>
        </w:rPr>
      </w:pPr>
      <w:r w:rsidRPr="00D207EA">
        <w:rPr>
          <w:noProof/>
        </w:rPr>
        <w:t xml:space="preserve">L’autorité de gestion effectue des vérifications sur place concernant la gestion au niveau d’une entité ayant fait l’objet d’une évaluation ex ante dans les cas suivants: </w:t>
      </w:r>
    </w:p>
    <w:p w14:paraId="487C486E" w14:textId="1B682B35" w:rsidR="00FB0190" w:rsidRPr="00D207EA" w:rsidRDefault="008D666E" w:rsidP="008D666E">
      <w:pPr>
        <w:pStyle w:val="Point10"/>
        <w:rPr>
          <w:rFonts w:eastAsia="Times New Roman"/>
          <w:noProof/>
        </w:rPr>
      </w:pPr>
      <w:r w:rsidRPr="008D666E">
        <w:rPr>
          <w:noProof/>
        </w:rPr>
        <w:t>(a)</w:t>
      </w:r>
      <w:r w:rsidRPr="008D666E">
        <w:rPr>
          <w:noProof/>
        </w:rPr>
        <w:tab/>
      </w:r>
      <w:r w:rsidR="00FB0190" w:rsidRPr="00D207EA">
        <w:rPr>
          <w:noProof/>
        </w:rPr>
        <w:t xml:space="preserve">l’autorité de gestion détecte un risque spécifique d’irrégularité, y compris un soupçon de fraude, de corruption ou de conflit d’intérêts en ce qui concerne une opération lancée ou mise en œuvre par une entité ayant fait l’objet d’une évaluation ex ante; </w:t>
      </w:r>
    </w:p>
    <w:p w14:paraId="62F388E3" w14:textId="4FA47B92" w:rsidR="00FB0190" w:rsidRPr="00D207EA" w:rsidRDefault="008D666E" w:rsidP="008D666E">
      <w:pPr>
        <w:pStyle w:val="Point10"/>
        <w:rPr>
          <w:rFonts w:eastAsia="Times New Roman"/>
          <w:noProof/>
        </w:rPr>
      </w:pPr>
      <w:r w:rsidRPr="008D666E">
        <w:rPr>
          <w:noProof/>
        </w:rPr>
        <w:t>(b)</w:t>
      </w:r>
      <w:r w:rsidRPr="008D666E">
        <w:rPr>
          <w:noProof/>
        </w:rPr>
        <w:tab/>
      </w:r>
      <w:r w:rsidR="00FB0190" w:rsidRPr="00D207EA">
        <w:rPr>
          <w:noProof/>
        </w:rPr>
        <w:t>l’autorité de gestion détecte un risque spécifique d’utilisation non correcte du soutien apporté par l’Union ou d’utilisation non conforme à la législation applicable du financement dans la mise en œuvre des plans.</w:t>
      </w:r>
    </w:p>
    <w:p w14:paraId="33D76001" w14:textId="19F3EC80" w:rsidR="00FB0190" w:rsidRPr="00D207EA" w:rsidRDefault="00FB0190" w:rsidP="00C21519">
      <w:pPr>
        <w:pStyle w:val="NumPar10000000"/>
        <w:numPr>
          <w:ilvl w:val="0"/>
          <w:numId w:val="97"/>
        </w:numPr>
        <w:rPr>
          <w:noProof/>
        </w:rPr>
      </w:pPr>
      <w:r w:rsidRPr="00D207EA">
        <w:rPr>
          <w:noProof/>
        </w:rPr>
        <w:t>Les audits et les contrôles réalisés au niveau d’une entité ayant fait l’objet d’une évaluation ex ante peuvent être pris en compte par l’autorité d’audit aux fins de l’assurance globale et, sur cette base, l’autorité d’audit peut décider de limiter ses propres travaux d’audit.</w:t>
      </w:r>
    </w:p>
    <w:p w14:paraId="688AE3A6" w14:textId="77777777" w:rsidR="00FB0190" w:rsidRPr="00D207EA" w:rsidRDefault="00FB0190" w:rsidP="00C21519">
      <w:pPr>
        <w:pStyle w:val="NumPar10000000"/>
        <w:numPr>
          <w:ilvl w:val="0"/>
          <w:numId w:val="97"/>
        </w:numPr>
        <w:rPr>
          <w:noProof/>
        </w:rPr>
      </w:pPr>
      <w:r w:rsidRPr="00D207EA">
        <w:rPr>
          <w:noProof/>
        </w:rPr>
        <w:t>Lorsque l’autorité d’audit détecte un risque spécifique d’irrégularité, y compris un soupçon de fraude, de corruption ou de conflit d’intérêts en ce qui concerne une opération lancée ou mise en œuvre par une entité ayant fait l’objet d’une évaluation ex ante, elle peut réaliser des audits.</w:t>
      </w:r>
    </w:p>
    <w:p w14:paraId="334C369D" w14:textId="77777777" w:rsidR="007F6201" w:rsidRPr="00D207EA" w:rsidRDefault="007F6201" w:rsidP="007F6201">
      <w:pPr>
        <w:pStyle w:val="Titrearticle"/>
        <w:rPr>
          <w:noProof/>
          <w:color w:val="0000FF"/>
        </w:rPr>
      </w:pPr>
      <w:r w:rsidRPr="00D207EA">
        <w:rPr>
          <w:noProof/>
        </w:rPr>
        <w:t>Article 74</w:t>
      </w:r>
      <w:r w:rsidRPr="00D207EA">
        <w:rPr>
          <w:noProof/>
        </w:rPr>
        <w:br/>
      </w:r>
      <w:r w:rsidRPr="00D207EA">
        <w:rPr>
          <w:b/>
          <w:noProof/>
        </w:rPr>
        <w:t>Initiatives de coopération territoriale et locale</w:t>
      </w:r>
    </w:p>
    <w:p w14:paraId="0DD800AD" w14:textId="77777777" w:rsidR="007F6201" w:rsidRPr="00D207EA" w:rsidRDefault="007F6201" w:rsidP="00C21519">
      <w:pPr>
        <w:pStyle w:val="NumPar10000000"/>
        <w:numPr>
          <w:ilvl w:val="0"/>
          <w:numId w:val="165"/>
        </w:numPr>
        <w:rPr>
          <w:noProof/>
        </w:rPr>
      </w:pPr>
      <w:bookmarkStart w:id="14" w:name="_Hlk200471404"/>
      <w:r w:rsidRPr="00D207EA">
        <w:rPr>
          <w:noProof/>
        </w:rPr>
        <w:t xml:space="preserve">Les États membres peuvent établir et soutenir une coopération </w:t>
      </w:r>
      <w:bookmarkEnd w:id="14"/>
      <w:r w:rsidRPr="00D207EA">
        <w:rPr>
          <w:noProof/>
        </w:rPr>
        <w:t xml:space="preserve">dans les domaines suivants: </w:t>
      </w:r>
    </w:p>
    <w:p w14:paraId="329EA5F2" w14:textId="35B3D94F" w:rsidR="007F6201" w:rsidRPr="00D207EA" w:rsidRDefault="008D666E" w:rsidP="008D666E">
      <w:pPr>
        <w:pStyle w:val="Point10"/>
        <w:rPr>
          <w:noProof/>
        </w:rPr>
      </w:pPr>
      <w:r w:rsidRPr="008D666E">
        <w:rPr>
          <w:noProof/>
        </w:rPr>
        <w:t>(a)</w:t>
      </w:r>
      <w:r w:rsidRPr="008D666E">
        <w:rPr>
          <w:noProof/>
        </w:rPr>
        <w:tab/>
      </w:r>
      <w:r w:rsidR="007F6201" w:rsidRPr="00D207EA">
        <w:rPr>
          <w:noProof/>
        </w:rPr>
        <w:t>le développement territorial et urbain intégré;</w:t>
      </w:r>
    </w:p>
    <w:p w14:paraId="0B50F821" w14:textId="50E67F70" w:rsidR="007F6201" w:rsidRPr="00D207EA" w:rsidRDefault="008D666E" w:rsidP="008D666E">
      <w:pPr>
        <w:pStyle w:val="Point10"/>
        <w:rPr>
          <w:noProof/>
        </w:rPr>
      </w:pPr>
      <w:r w:rsidRPr="008D666E">
        <w:rPr>
          <w:noProof/>
        </w:rPr>
        <w:t>(b)</w:t>
      </w:r>
      <w:r w:rsidRPr="008D666E">
        <w:rPr>
          <w:noProof/>
        </w:rPr>
        <w:tab/>
      </w:r>
      <w:r w:rsidR="007F6201" w:rsidRPr="00D207EA">
        <w:rPr>
          <w:noProof/>
        </w:rPr>
        <w:t>le développement local mené par les acteurs locaux, y compris LEADER, et d’autres initiatives menées par les citoyens;</w:t>
      </w:r>
    </w:p>
    <w:p w14:paraId="3C4BBAD8" w14:textId="4FD59CA0" w:rsidR="007F6201" w:rsidRPr="00D207EA" w:rsidRDefault="008D666E" w:rsidP="008D666E">
      <w:pPr>
        <w:pStyle w:val="Point10"/>
        <w:rPr>
          <w:noProof/>
        </w:rPr>
      </w:pPr>
      <w:r w:rsidRPr="008D666E">
        <w:rPr>
          <w:noProof/>
        </w:rPr>
        <w:t>(c)</w:t>
      </w:r>
      <w:r w:rsidRPr="008D666E">
        <w:rPr>
          <w:noProof/>
        </w:rPr>
        <w:tab/>
      </w:r>
      <w:r w:rsidR="007F6201" w:rsidRPr="00D207EA">
        <w:rPr>
          <w:noProof/>
        </w:rPr>
        <w:t xml:space="preserve">les stratégies relatives aux villages intelligents; </w:t>
      </w:r>
    </w:p>
    <w:p w14:paraId="404BB46E" w14:textId="34A8EE95" w:rsidR="007F6201" w:rsidRPr="00D207EA" w:rsidRDefault="008D666E" w:rsidP="008D666E">
      <w:pPr>
        <w:pStyle w:val="Point10"/>
        <w:rPr>
          <w:noProof/>
        </w:rPr>
      </w:pPr>
      <w:r w:rsidRPr="008D666E">
        <w:rPr>
          <w:noProof/>
        </w:rPr>
        <w:t>(d)</w:t>
      </w:r>
      <w:r w:rsidRPr="008D666E">
        <w:rPr>
          <w:noProof/>
        </w:rPr>
        <w:tab/>
      </w:r>
      <w:r w:rsidR="007F6201" w:rsidRPr="00D207EA">
        <w:rPr>
          <w:noProof/>
        </w:rPr>
        <w:t>les projets des groupes opérationnels du PEI-AGRI visés à l’article 19, paragraphe 2 [PEI], du règlement XX [PAC];</w:t>
      </w:r>
    </w:p>
    <w:p w14:paraId="3355B023" w14:textId="18133A1B" w:rsidR="007F6201" w:rsidRPr="00D207EA" w:rsidRDefault="008D666E" w:rsidP="008D666E">
      <w:pPr>
        <w:pStyle w:val="Point10"/>
        <w:rPr>
          <w:noProof/>
        </w:rPr>
      </w:pPr>
      <w:r w:rsidRPr="008D666E">
        <w:rPr>
          <w:noProof/>
        </w:rPr>
        <w:t>(e)</w:t>
      </w:r>
      <w:r w:rsidRPr="008D666E">
        <w:rPr>
          <w:noProof/>
        </w:rPr>
        <w:tab/>
      </w:r>
      <w:r w:rsidR="007F6201" w:rsidRPr="00D207EA">
        <w:rPr>
          <w:noProof/>
        </w:rPr>
        <w:t xml:space="preserve">les systèmes de qualité reconnus par l’Union ou par les États membres, et leur utilisation par les agriculteurs; </w:t>
      </w:r>
    </w:p>
    <w:p w14:paraId="7952EFD3" w14:textId="2A0189E1" w:rsidR="007F6201" w:rsidRPr="00D207EA" w:rsidRDefault="008D666E" w:rsidP="008D666E">
      <w:pPr>
        <w:pStyle w:val="Point10"/>
        <w:rPr>
          <w:noProof/>
        </w:rPr>
      </w:pPr>
      <w:r w:rsidRPr="008D666E">
        <w:rPr>
          <w:noProof/>
        </w:rPr>
        <w:t>(f)</w:t>
      </w:r>
      <w:r w:rsidRPr="008D666E">
        <w:rPr>
          <w:noProof/>
        </w:rPr>
        <w:tab/>
      </w:r>
      <w:r w:rsidR="007F6201" w:rsidRPr="00D207EA">
        <w:rPr>
          <w:noProof/>
        </w:rPr>
        <w:t xml:space="preserve">le soutien aux groupements de producteurs, aux organisations de producteurs ou aux organisations interprofessionnelles; </w:t>
      </w:r>
    </w:p>
    <w:p w14:paraId="7DC76BEF" w14:textId="49890E97" w:rsidR="007F6201" w:rsidRPr="00D207EA" w:rsidRDefault="008D666E" w:rsidP="008D666E">
      <w:pPr>
        <w:pStyle w:val="Point10"/>
        <w:rPr>
          <w:noProof/>
        </w:rPr>
      </w:pPr>
      <w:r w:rsidRPr="008D666E">
        <w:rPr>
          <w:noProof/>
        </w:rPr>
        <w:t>(g)</w:t>
      </w:r>
      <w:r w:rsidRPr="008D666E">
        <w:rPr>
          <w:noProof/>
        </w:rPr>
        <w:tab/>
      </w:r>
      <w:r w:rsidR="007F6201" w:rsidRPr="00D207EA">
        <w:rPr>
          <w:noProof/>
        </w:rPr>
        <w:t>la promotion et le soutien de la coopération intergénérationnelle, y compris la succession dans les exploitations agricoles;</w:t>
      </w:r>
    </w:p>
    <w:p w14:paraId="66849A72" w14:textId="4C1B2C8E" w:rsidR="007F6201" w:rsidRPr="00D207EA" w:rsidRDefault="008D666E" w:rsidP="008D666E">
      <w:pPr>
        <w:pStyle w:val="Point10"/>
        <w:rPr>
          <w:noProof/>
        </w:rPr>
      </w:pPr>
      <w:r w:rsidRPr="008D666E">
        <w:rPr>
          <w:noProof/>
        </w:rPr>
        <w:t>(h)</w:t>
      </w:r>
      <w:r w:rsidRPr="008D666E">
        <w:rPr>
          <w:noProof/>
        </w:rPr>
        <w:tab/>
      </w:r>
      <w:r w:rsidR="007F6201" w:rsidRPr="00D207EA">
        <w:rPr>
          <w:noProof/>
        </w:rPr>
        <w:t>le soutien d’autres formes de coopération contribuant aux objectifs spécifiques.</w:t>
      </w:r>
    </w:p>
    <w:p w14:paraId="0825F38A" w14:textId="77777777" w:rsidR="002D0AA4" w:rsidRPr="00D207EA" w:rsidRDefault="007F6201" w:rsidP="00C21519">
      <w:pPr>
        <w:pStyle w:val="NumPar10000000"/>
        <w:numPr>
          <w:ilvl w:val="0"/>
          <w:numId w:val="97"/>
        </w:numPr>
        <w:rPr>
          <w:noProof/>
        </w:rPr>
      </w:pPr>
      <w:r w:rsidRPr="00D207EA">
        <w:rPr>
          <w:noProof/>
        </w:rPr>
        <w:t>La coopération visée au paragraphe 1 implique au moins deux acteurs et contribue à la réalisation d’un ou de plusieurs des objectifs spécifiques définis à l’article 3 [objectifs spécifiques].</w:t>
      </w:r>
    </w:p>
    <w:p w14:paraId="32FCACBB" w14:textId="24209D83" w:rsidR="00666103" w:rsidRPr="00D207EA" w:rsidRDefault="00666103" w:rsidP="00C21519">
      <w:pPr>
        <w:pStyle w:val="NumPar10000000"/>
        <w:numPr>
          <w:ilvl w:val="0"/>
          <w:numId w:val="97"/>
        </w:numPr>
        <w:rPr>
          <w:noProof/>
        </w:rPr>
      </w:pPr>
      <w:r w:rsidRPr="00D207EA">
        <w:rPr>
          <w:noProof/>
        </w:rPr>
        <w:t>Les États membres limitent l’aide à la création de groupements de producteurs, d’organisations de producteurs ou d’organisations interprofessionnelles à 10 % du chiffre d’affaires du groupement ou de l’organisation, avec un maximum de 100 000 EUR par an; ce soutien est dégressif et limité aux cinq premières années suivant la reconnaissance ou le début des activités conjointes destinées à conduire à la reconnaissance, telles que déterminées par les États membres dans le chapitre «Agriculture» de leur plan.</w:t>
      </w:r>
    </w:p>
    <w:p w14:paraId="227B533C" w14:textId="77777777" w:rsidR="00256F20" w:rsidRPr="00D207EA" w:rsidRDefault="5E097E7B" w:rsidP="07DC7BA7">
      <w:pPr>
        <w:pStyle w:val="Titrearticle"/>
        <w:rPr>
          <w:b/>
          <w:noProof/>
        </w:rPr>
      </w:pPr>
      <w:r w:rsidRPr="00D207EA">
        <w:rPr>
          <w:noProof/>
        </w:rPr>
        <w:t>Article 75</w:t>
      </w:r>
      <w:r w:rsidRPr="00D207EA">
        <w:rPr>
          <w:noProof/>
        </w:rPr>
        <w:br/>
      </w:r>
      <w:r w:rsidRPr="00D207EA">
        <w:rPr>
          <w:b/>
          <w:noProof/>
        </w:rPr>
        <w:t>Développement territorial et urbain intégré</w:t>
      </w:r>
    </w:p>
    <w:p w14:paraId="7034DB58" w14:textId="77777777" w:rsidR="00D20BC6" w:rsidRPr="00D207EA" w:rsidRDefault="00D20BC6" w:rsidP="00C21519">
      <w:pPr>
        <w:pStyle w:val="NumPar10000000"/>
        <w:numPr>
          <w:ilvl w:val="0"/>
          <w:numId w:val="102"/>
        </w:numPr>
        <w:rPr>
          <w:noProof/>
        </w:rPr>
      </w:pPr>
      <w:r w:rsidRPr="00D207EA">
        <w:rPr>
          <w:noProof/>
        </w:rPr>
        <w:t>Le soutien au développement territorial se fonde sur des stratégies de développement territorial intégré, y compris au moyen d’un développement local mené par les acteurs locaux, axées sur les zones urbaines, les zones rurales, les îles, les zones côtières ou toute zone territoriale appropriée, ainsi que sur des stratégies de spécialisation intelligente ou des stratégies territoriales pour une transition juste, ou des stratégies de décarbonation élaborées avec le soutien des instruments de l’Union au cours de la période 2021-2027, compte tenu, le cas échéant, d’une approche fondée sur les zones fonctionnelles et les lieux. Les valeurs intermédiaires et les valeurs cibles correspondantes sont fixées dans le plan.</w:t>
      </w:r>
    </w:p>
    <w:p w14:paraId="36CFA1CD" w14:textId="77777777" w:rsidR="00D20BC6" w:rsidRPr="00D207EA" w:rsidRDefault="00D20BC6" w:rsidP="00C21519">
      <w:pPr>
        <w:pStyle w:val="NumPar10000000"/>
        <w:numPr>
          <w:ilvl w:val="0"/>
          <w:numId w:val="97"/>
        </w:numPr>
        <w:rPr>
          <w:noProof/>
        </w:rPr>
      </w:pPr>
      <w:r w:rsidRPr="00D207EA">
        <w:rPr>
          <w:noProof/>
        </w:rPr>
        <w:t>Les stratégies de développement territorial et de développement urbain intégrées:</w:t>
      </w:r>
    </w:p>
    <w:p w14:paraId="567EFF6D" w14:textId="1E5F610F" w:rsidR="00D20BC6" w:rsidRPr="00D207EA" w:rsidRDefault="008D666E" w:rsidP="008D666E">
      <w:pPr>
        <w:pStyle w:val="Point10"/>
        <w:rPr>
          <w:noProof/>
        </w:rPr>
      </w:pPr>
      <w:r w:rsidRPr="008D666E">
        <w:rPr>
          <w:noProof/>
        </w:rPr>
        <w:t>(a)</w:t>
      </w:r>
      <w:r w:rsidRPr="008D666E">
        <w:rPr>
          <w:noProof/>
        </w:rPr>
        <w:tab/>
      </w:r>
      <w:r w:rsidR="00D20BC6" w:rsidRPr="00D207EA">
        <w:rPr>
          <w:noProof/>
        </w:rPr>
        <w:t>contribuent à la réalisation des objectifs fixés aux articles 2 et 3 [Objectifs du plan];</w:t>
      </w:r>
    </w:p>
    <w:p w14:paraId="6119DD26" w14:textId="63891E61" w:rsidR="00D20BC6" w:rsidRPr="00D207EA" w:rsidRDefault="008D666E" w:rsidP="008D666E">
      <w:pPr>
        <w:pStyle w:val="Point10"/>
        <w:rPr>
          <w:noProof/>
        </w:rPr>
      </w:pPr>
      <w:r w:rsidRPr="008D666E">
        <w:rPr>
          <w:noProof/>
        </w:rPr>
        <w:t>(b)</w:t>
      </w:r>
      <w:r w:rsidRPr="008D666E">
        <w:rPr>
          <w:noProof/>
        </w:rPr>
        <w:tab/>
      </w:r>
      <w:r w:rsidR="00D20BC6" w:rsidRPr="00D207EA">
        <w:rPr>
          <w:noProof/>
        </w:rPr>
        <w:t xml:space="preserve">définissent la zone géographique et la population concernées par la stratégie; </w:t>
      </w:r>
    </w:p>
    <w:p w14:paraId="3845F1DE" w14:textId="6B81899C" w:rsidR="00D20BC6" w:rsidRPr="00D207EA" w:rsidRDefault="008D666E" w:rsidP="008D666E">
      <w:pPr>
        <w:pStyle w:val="Point10"/>
        <w:rPr>
          <w:noProof/>
        </w:rPr>
      </w:pPr>
      <w:r w:rsidRPr="008D666E">
        <w:rPr>
          <w:noProof/>
        </w:rPr>
        <w:t>(c)</w:t>
      </w:r>
      <w:r w:rsidRPr="008D666E">
        <w:rPr>
          <w:noProof/>
        </w:rPr>
        <w:tab/>
      </w:r>
      <w:r w:rsidR="00D20BC6" w:rsidRPr="00D207EA">
        <w:rPr>
          <w:noProof/>
        </w:rPr>
        <w:t xml:space="preserve">fournissent une analyse des besoins de développement et une description d’une approche intégrée pour répondre aux besoins de développement détectés; </w:t>
      </w:r>
    </w:p>
    <w:p w14:paraId="6E5C9D2C" w14:textId="26E99EE5" w:rsidR="00D20BC6" w:rsidRPr="00D207EA" w:rsidRDefault="008D666E" w:rsidP="008D666E">
      <w:pPr>
        <w:pStyle w:val="Point10"/>
        <w:rPr>
          <w:noProof/>
        </w:rPr>
      </w:pPr>
      <w:r w:rsidRPr="008D666E">
        <w:rPr>
          <w:noProof/>
        </w:rPr>
        <w:t>(d)</w:t>
      </w:r>
      <w:r w:rsidRPr="008D666E">
        <w:rPr>
          <w:noProof/>
        </w:rPr>
        <w:tab/>
      </w:r>
      <w:r w:rsidR="00D20BC6" w:rsidRPr="00D207EA">
        <w:rPr>
          <w:noProof/>
        </w:rPr>
        <w:t xml:space="preserve">définissent des objectifs clés avec des cibles mesurables; </w:t>
      </w:r>
    </w:p>
    <w:p w14:paraId="7206A4C8" w14:textId="0B5715BD" w:rsidR="00D20BC6" w:rsidRPr="00D207EA" w:rsidRDefault="008D666E" w:rsidP="008D666E">
      <w:pPr>
        <w:pStyle w:val="Point10"/>
        <w:rPr>
          <w:noProof/>
        </w:rPr>
      </w:pPr>
      <w:r w:rsidRPr="008D666E">
        <w:rPr>
          <w:noProof/>
        </w:rPr>
        <w:t>(e)</w:t>
      </w:r>
      <w:r w:rsidRPr="008D666E">
        <w:rPr>
          <w:noProof/>
        </w:rPr>
        <w:tab/>
      </w:r>
      <w:r w:rsidR="00293659" w:rsidRPr="00D207EA">
        <w:rPr>
          <w:noProof/>
        </w:rPr>
        <w:t>définissent la participation des partenaires à l’élaboration et à la mise en œuvre de la stratégie.</w:t>
      </w:r>
    </w:p>
    <w:p w14:paraId="03EC79FB" w14:textId="77777777" w:rsidR="007B7B6E" w:rsidRPr="00D207EA" w:rsidRDefault="00D20BC6" w:rsidP="00C21519">
      <w:pPr>
        <w:pStyle w:val="NumPar10000000"/>
        <w:numPr>
          <w:ilvl w:val="0"/>
          <w:numId w:val="97"/>
        </w:numPr>
        <w:rPr>
          <w:noProof/>
        </w:rPr>
      </w:pPr>
      <w:r w:rsidRPr="00D207EA">
        <w:rPr>
          <w:noProof/>
        </w:rPr>
        <w:t>Les stratégies mises en œuvre en application du présent article sont sélectionnées par la ou les autorités de gestion en vue de fournir un soutien, y compris pour sa préparation. Elles sont mises en œuvre sous la responsabilité des autorités ou organismes territoriaux ou urbains compétents, qui sélectionnent les opérations ou sont associés à leur sélection.</w:t>
      </w:r>
    </w:p>
    <w:p w14:paraId="22104643" w14:textId="77777777" w:rsidR="007B7B6E" w:rsidRPr="00D207EA" w:rsidRDefault="007B7B6E" w:rsidP="007B7B6E">
      <w:pPr>
        <w:pStyle w:val="Titrearticle"/>
        <w:rPr>
          <w:b/>
          <w:noProof/>
        </w:rPr>
      </w:pPr>
      <w:r w:rsidRPr="00D207EA">
        <w:rPr>
          <w:noProof/>
        </w:rPr>
        <w:t>Article 76</w:t>
      </w:r>
      <w:r w:rsidRPr="00D207EA">
        <w:rPr>
          <w:noProof/>
        </w:rPr>
        <w:br/>
      </w:r>
      <w:r w:rsidRPr="00D207EA">
        <w:rPr>
          <w:b/>
          <w:noProof/>
        </w:rPr>
        <w:t>Développement local mené par les acteurs locaux</w:t>
      </w:r>
    </w:p>
    <w:p w14:paraId="65643508" w14:textId="77777777" w:rsidR="00D20BC6" w:rsidRPr="00D207EA" w:rsidRDefault="00D20BC6" w:rsidP="00C21519">
      <w:pPr>
        <w:pStyle w:val="NumPar10000000"/>
        <w:numPr>
          <w:ilvl w:val="0"/>
          <w:numId w:val="103"/>
        </w:numPr>
        <w:rPr>
          <w:noProof/>
        </w:rPr>
      </w:pPr>
      <w:r w:rsidRPr="00D207EA">
        <w:rPr>
          <w:noProof/>
        </w:rPr>
        <w:t>Le développement local mené par les acteurs locaux:</w:t>
      </w:r>
    </w:p>
    <w:p w14:paraId="505352B1" w14:textId="0FB3480A" w:rsidR="00D20BC6" w:rsidRPr="00D207EA" w:rsidRDefault="008D666E" w:rsidP="008D666E">
      <w:pPr>
        <w:pStyle w:val="Point10"/>
        <w:rPr>
          <w:noProof/>
        </w:rPr>
      </w:pPr>
      <w:r w:rsidRPr="008D666E">
        <w:rPr>
          <w:noProof/>
        </w:rPr>
        <w:t>(a)</w:t>
      </w:r>
      <w:r w:rsidRPr="008D666E">
        <w:rPr>
          <w:noProof/>
        </w:rPr>
        <w:tab/>
      </w:r>
      <w:r w:rsidR="00D20BC6" w:rsidRPr="00D207EA">
        <w:rPr>
          <w:noProof/>
        </w:rPr>
        <w:t>se concentre sur les zones sous-régionales, rurales et côtières;</w:t>
      </w:r>
    </w:p>
    <w:p w14:paraId="27982186" w14:textId="0355DAB0" w:rsidR="00D20BC6" w:rsidRPr="00D207EA" w:rsidRDefault="008D666E" w:rsidP="008D666E">
      <w:pPr>
        <w:pStyle w:val="Point10"/>
        <w:rPr>
          <w:noProof/>
        </w:rPr>
      </w:pPr>
      <w:r w:rsidRPr="008D666E">
        <w:rPr>
          <w:noProof/>
        </w:rPr>
        <w:t>(b)</w:t>
      </w:r>
      <w:r w:rsidRPr="008D666E">
        <w:rPr>
          <w:noProof/>
        </w:rPr>
        <w:tab/>
      </w:r>
      <w:r w:rsidR="00D20BC6" w:rsidRPr="00D207EA">
        <w:rPr>
          <w:noProof/>
        </w:rPr>
        <w:t>est conçu et mis en œuvre par des groupes d’action locale composés de représentants de parties prenantes publiques et privées locales, dans lesquelles la prise de décision n’appartient à aucun groupe d’intérêt en particulier;</w:t>
      </w:r>
    </w:p>
    <w:p w14:paraId="124AE7A0" w14:textId="6107CD24" w:rsidR="00D20BC6" w:rsidRPr="00D207EA" w:rsidRDefault="008D666E" w:rsidP="008D666E">
      <w:pPr>
        <w:pStyle w:val="Point10"/>
        <w:rPr>
          <w:noProof/>
        </w:rPr>
      </w:pPr>
      <w:r w:rsidRPr="008D666E">
        <w:rPr>
          <w:noProof/>
        </w:rPr>
        <w:t>(c)</w:t>
      </w:r>
      <w:r w:rsidRPr="008D666E">
        <w:rPr>
          <w:noProof/>
        </w:rPr>
        <w:tab/>
      </w:r>
      <w:r w:rsidR="00D20BC6" w:rsidRPr="00D207EA">
        <w:rPr>
          <w:noProof/>
        </w:rPr>
        <w:t>est mené au moyen de stratégies conformément à l’article 75 [Développement territorial et urbain intégré], en soutenant les éléments innovants dans le contexte local, le travail en réseau et la coopération avec d’autres acteurs territoriaux.</w:t>
      </w:r>
    </w:p>
    <w:p w14:paraId="5EA4A5B6" w14:textId="77777777" w:rsidR="00D20BC6" w:rsidRPr="00D207EA" w:rsidRDefault="00D20BC6" w:rsidP="00C21519">
      <w:pPr>
        <w:pStyle w:val="NumPar10000000"/>
        <w:numPr>
          <w:ilvl w:val="0"/>
          <w:numId w:val="97"/>
        </w:numPr>
        <w:rPr>
          <w:noProof/>
        </w:rPr>
      </w:pPr>
      <w:r w:rsidRPr="00D207EA">
        <w:rPr>
          <w:noProof/>
        </w:rPr>
        <w:t xml:space="preserve">Le soutien du Fonds au développement local mené par les acteurs locaux couvre: </w:t>
      </w:r>
    </w:p>
    <w:p w14:paraId="6D7626FC" w14:textId="1FC19898" w:rsidR="00D20BC6" w:rsidRPr="00D207EA" w:rsidRDefault="008D666E" w:rsidP="008D666E">
      <w:pPr>
        <w:pStyle w:val="Point10"/>
        <w:rPr>
          <w:noProof/>
        </w:rPr>
      </w:pPr>
      <w:r w:rsidRPr="008D666E">
        <w:rPr>
          <w:noProof/>
        </w:rPr>
        <w:t>(a)</w:t>
      </w:r>
      <w:r w:rsidRPr="008D666E">
        <w:rPr>
          <w:noProof/>
        </w:rPr>
        <w:tab/>
      </w:r>
      <w:r w:rsidR="00D20BC6" w:rsidRPr="00D207EA">
        <w:rPr>
          <w:noProof/>
        </w:rPr>
        <w:t>le renforcement des capacités et les actions préparatoires d’appui à l’élaboration de la stratégie;</w:t>
      </w:r>
    </w:p>
    <w:p w14:paraId="68C272A7" w14:textId="66171D08" w:rsidR="00D20BC6" w:rsidRPr="00D207EA" w:rsidRDefault="008D666E" w:rsidP="008D666E">
      <w:pPr>
        <w:pStyle w:val="Point10"/>
        <w:rPr>
          <w:noProof/>
        </w:rPr>
      </w:pPr>
      <w:r w:rsidRPr="008D666E">
        <w:rPr>
          <w:noProof/>
        </w:rPr>
        <w:t>(b)</w:t>
      </w:r>
      <w:r w:rsidRPr="008D666E">
        <w:rPr>
          <w:noProof/>
        </w:rPr>
        <w:tab/>
      </w:r>
      <w:r w:rsidR="00D20BC6" w:rsidRPr="00D207EA">
        <w:rPr>
          <w:noProof/>
        </w:rPr>
        <w:t>la préparation et la mise en œuvre des opérations sélectionnées dans le cadre de la stratégie, y compris les activités de coopération;</w:t>
      </w:r>
    </w:p>
    <w:p w14:paraId="06B55A19" w14:textId="4EF9F41F" w:rsidR="00D20BC6" w:rsidRPr="00D207EA" w:rsidRDefault="008D666E" w:rsidP="008D666E">
      <w:pPr>
        <w:pStyle w:val="Point10"/>
        <w:rPr>
          <w:noProof/>
        </w:rPr>
      </w:pPr>
      <w:r w:rsidRPr="008D666E">
        <w:rPr>
          <w:noProof/>
        </w:rPr>
        <w:t>(c)</w:t>
      </w:r>
      <w:r w:rsidRPr="008D666E">
        <w:rPr>
          <w:noProof/>
        </w:rPr>
        <w:tab/>
      </w:r>
      <w:r w:rsidR="00D20BC6" w:rsidRPr="00D207EA">
        <w:rPr>
          <w:noProof/>
        </w:rPr>
        <w:t>la gestion, le suivi et l’évaluation de la stratégie ainsi que son animation, y compris la facilitation des échanges entre parties prenantes et la communication à propos de la stratégie et de l’Union.</w:t>
      </w:r>
    </w:p>
    <w:p w14:paraId="764E13FF" w14:textId="77777777" w:rsidR="00D20BC6" w:rsidRPr="00D207EA" w:rsidRDefault="00D20BC6" w:rsidP="00C21519">
      <w:pPr>
        <w:pStyle w:val="NumPar10000000"/>
        <w:numPr>
          <w:ilvl w:val="0"/>
          <w:numId w:val="97"/>
        </w:numPr>
        <w:rPr>
          <w:noProof/>
        </w:rPr>
      </w:pPr>
      <w:r w:rsidRPr="00D207EA">
        <w:rPr>
          <w:noProof/>
        </w:rPr>
        <w:t xml:space="preserve">Lors de la préparation et de la mise en œuvre du développement local mené par les acteurs locaux, les tâches suivantes sont effectuées exclusivement par les groupes d’action locale: </w:t>
      </w:r>
    </w:p>
    <w:p w14:paraId="2C621034" w14:textId="2B78A90C" w:rsidR="00D20BC6" w:rsidRPr="00D207EA" w:rsidRDefault="008D666E" w:rsidP="008D666E">
      <w:pPr>
        <w:pStyle w:val="Point10"/>
        <w:rPr>
          <w:noProof/>
        </w:rPr>
      </w:pPr>
      <w:r w:rsidRPr="008D666E">
        <w:rPr>
          <w:noProof/>
        </w:rPr>
        <w:t>(a)</w:t>
      </w:r>
      <w:r w:rsidRPr="008D666E">
        <w:rPr>
          <w:noProof/>
        </w:rPr>
        <w:tab/>
      </w:r>
      <w:r w:rsidR="00D20BC6" w:rsidRPr="00D207EA">
        <w:rPr>
          <w:noProof/>
        </w:rPr>
        <w:t>préparer la stratégie de développement local;</w:t>
      </w:r>
    </w:p>
    <w:p w14:paraId="49146A64" w14:textId="79B4E316" w:rsidR="00D20BC6" w:rsidRPr="00D207EA" w:rsidRDefault="008D666E" w:rsidP="008D666E">
      <w:pPr>
        <w:pStyle w:val="Point10"/>
        <w:rPr>
          <w:noProof/>
        </w:rPr>
      </w:pPr>
      <w:r w:rsidRPr="008D666E">
        <w:rPr>
          <w:noProof/>
        </w:rPr>
        <w:t>(b)</w:t>
      </w:r>
      <w:r w:rsidRPr="008D666E">
        <w:rPr>
          <w:noProof/>
        </w:rPr>
        <w:tab/>
      </w:r>
      <w:r w:rsidR="00D20BC6" w:rsidRPr="00D207EA">
        <w:rPr>
          <w:noProof/>
        </w:rPr>
        <w:t xml:space="preserve">renforcer la capacité des acteurs locaux à élaborer et à mettre en œuvre des opérations; </w:t>
      </w:r>
    </w:p>
    <w:p w14:paraId="2F424D74" w14:textId="10BB3A36" w:rsidR="00D20BC6" w:rsidRPr="00D207EA" w:rsidRDefault="008D666E" w:rsidP="008D666E">
      <w:pPr>
        <w:pStyle w:val="Point10"/>
        <w:rPr>
          <w:noProof/>
        </w:rPr>
      </w:pPr>
      <w:r w:rsidRPr="008D666E">
        <w:rPr>
          <w:noProof/>
        </w:rPr>
        <w:t>(c)</w:t>
      </w:r>
      <w:r w:rsidRPr="008D666E">
        <w:rPr>
          <w:noProof/>
        </w:rPr>
        <w:tab/>
      </w:r>
      <w:r w:rsidR="00D20BC6" w:rsidRPr="00D207EA">
        <w:rPr>
          <w:noProof/>
        </w:rPr>
        <w:t>élaborer une procédure et des critères de sélection transparents et non discriminatoires, qui évitent les conflits d’intérêts et garantissent qu’aucun groupe d’intérêt particulier ne contrôle les décisions de sélection;</w:t>
      </w:r>
    </w:p>
    <w:p w14:paraId="1DA22DCA" w14:textId="4BA84065" w:rsidR="00D20BC6" w:rsidRPr="00D207EA" w:rsidRDefault="008D666E" w:rsidP="008D666E">
      <w:pPr>
        <w:pStyle w:val="Point10"/>
        <w:rPr>
          <w:noProof/>
        </w:rPr>
      </w:pPr>
      <w:r w:rsidRPr="008D666E">
        <w:rPr>
          <w:noProof/>
        </w:rPr>
        <w:t>(d)</w:t>
      </w:r>
      <w:r w:rsidRPr="008D666E">
        <w:rPr>
          <w:noProof/>
        </w:rPr>
        <w:tab/>
      </w:r>
      <w:r w:rsidR="00D20BC6" w:rsidRPr="00D207EA">
        <w:rPr>
          <w:noProof/>
        </w:rPr>
        <w:t>sélectionner les opérations;</w:t>
      </w:r>
    </w:p>
    <w:p w14:paraId="71C35F45" w14:textId="0FD724B7" w:rsidR="00D20BC6" w:rsidRPr="00D207EA" w:rsidRDefault="008D666E" w:rsidP="008D666E">
      <w:pPr>
        <w:pStyle w:val="Point10"/>
        <w:rPr>
          <w:noProof/>
        </w:rPr>
      </w:pPr>
      <w:r w:rsidRPr="008D666E">
        <w:rPr>
          <w:noProof/>
        </w:rPr>
        <w:t>(e)</w:t>
      </w:r>
      <w:r w:rsidRPr="008D666E">
        <w:rPr>
          <w:noProof/>
        </w:rPr>
        <w:tab/>
      </w:r>
      <w:r w:rsidR="00D20BC6" w:rsidRPr="00D207EA">
        <w:rPr>
          <w:noProof/>
        </w:rPr>
        <w:t xml:space="preserve">assurer le suivi des progrès accomplis dans la réalisation des objectifs et évaluer la mise en œuvre de la stratégie; </w:t>
      </w:r>
    </w:p>
    <w:p w14:paraId="6F2ABF71" w14:textId="4948FB22" w:rsidR="00D20BC6" w:rsidRPr="00D207EA" w:rsidRDefault="008D666E" w:rsidP="008D666E">
      <w:pPr>
        <w:pStyle w:val="Point10"/>
        <w:rPr>
          <w:noProof/>
        </w:rPr>
      </w:pPr>
      <w:r w:rsidRPr="008D666E">
        <w:rPr>
          <w:noProof/>
        </w:rPr>
        <w:t>(f)</w:t>
      </w:r>
      <w:r w:rsidRPr="008D666E">
        <w:rPr>
          <w:noProof/>
        </w:rPr>
        <w:tab/>
      </w:r>
      <w:r w:rsidR="00D20BC6" w:rsidRPr="00D207EA">
        <w:rPr>
          <w:noProof/>
        </w:rPr>
        <w:t>communiquer à propos de la stratégie de développement local et du rôle de l’Union dans son soutien.</w:t>
      </w:r>
    </w:p>
    <w:p w14:paraId="55FF491C" w14:textId="77777777" w:rsidR="00D20BC6" w:rsidRPr="00D207EA" w:rsidRDefault="00D20BC6" w:rsidP="00C21519">
      <w:pPr>
        <w:pStyle w:val="NumPar10000000"/>
        <w:numPr>
          <w:ilvl w:val="0"/>
          <w:numId w:val="97"/>
        </w:numPr>
        <w:rPr>
          <w:noProof/>
        </w:rPr>
      </w:pPr>
      <w:r w:rsidRPr="00D207EA">
        <w:rPr>
          <w:noProof/>
        </w:rPr>
        <w:t>Le groupe d’action locale peut être un bénéficiaire et mettre en œuvre des opérations conformément à la stratégie, à condition qu’il veille à ce que le principe de la séparation des fonctions soit respecté.</w:t>
      </w:r>
    </w:p>
    <w:p w14:paraId="3DA4A923" w14:textId="6F315D42" w:rsidR="00D0191E" w:rsidRPr="00D207EA" w:rsidRDefault="00D0191E" w:rsidP="00B53FA6">
      <w:pPr>
        <w:pStyle w:val="Titrearticle"/>
        <w:rPr>
          <w:b/>
          <w:noProof/>
        </w:rPr>
      </w:pPr>
      <w:r w:rsidRPr="00D207EA">
        <w:rPr>
          <w:noProof/>
        </w:rPr>
        <w:t>Article 77</w:t>
      </w:r>
      <w:r w:rsidRPr="00D207EA">
        <w:rPr>
          <w:noProof/>
        </w:rPr>
        <w:br/>
      </w:r>
      <w:r w:rsidRPr="00D207EA">
        <w:rPr>
          <w:b/>
          <w:noProof/>
        </w:rPr>
        <w:t>Soutien au titre de LEADER</w:t>
      </w:r>
    </w:p>
    <w:p w14:paraId="70F9881E" w14:textId="77777777" w:rsidR="00D0191E" w:rsidRPr="00D207EA" w:rsidRDefault="00D0191E" w:rsidP="00C21519">
      <w:pPr>
        <w:pStyle w:val="NumPar10000000"/>
        <w:numPr>
          <w:ilvl w:val="0"/>
          <w:numId w:val="166"/>
        </w:numPr>
        <w:rPr>
          <w:noProof/>
        </w:rPr>
      </w:pPr>
      <w:r w:rsidRPr="00D207EA">
        <w:rPr>
          <w:noProof/>
        </w:rPr>
        <w:t>Le soutien apporté par LEADER visé à l’article 18 du règlement (UE) 202X/XXXX [règlement relatif à la PAC] est conforme aux exigences suivantes:  </w:t>
      </w:r>
    </w:p>
    <w:p w14:paraId="2FE7D006" w14:textId="29C36D68" w:rsidR="00D0191E" w:rsidRPr="00D207EA" w:rsidRDefault="008D666E" w:rsidP="008D666E">
      <w:pPr>
        <w:pStyle w:val="Point10"/>
        <w:rPr>
          <w:noProof/>
        </w:rPr>
      </w:pPr>
      <w:r w:rsidRPr="008D666E">
        <w:rPr>
          <w:noProof/>
        </w:rPr>
        <w:t>(a)</w:t>
      </w:r>
      <w:r w:rsidRPr="008D666E">
        <w:rPr>
          <w:noProof/>
        </w:rPr>
        <w:tab/>
      </w:r>
      <w:r w:rsidR="00D0191E" w:rsidRPr="00D207EA">
        <w:rPr>
          <w:noProof/>
        </w:rPr>
        <w:t xml:space="preserve">le recours aux options de coûts simplifiés est obligatoire pour les coûts de fonctionnement des groupes d’action locale de LEADER;  </w:t>
      </w:r>
    </w:p>
    <w:p w14:paraId="6B244A06" w14:textId="26EE947E" w:rsidR="00D0191E" w:rsidRPr="00D207EA" w:rsidRDefault="008D666E" w:rsidP="008D666E">
      <w:pPr>
        <w:pStyle w:val="Point10"/>
        <w:rPr>
          <w:noProof/>
        </w:rPr>
      </w:pPr>
      <w:r w:rsidRPr="008D666E">
        <w:rPr>
          <w:noProof/>
        </w:rPr>
        <w:t>(b)</w:t>
      </w:r>
      <w:r w:rsidRPr="008D666E">
        <w:rPr>
          <w:noProof/>
        </w:rPr>
        <w:tab/>
      </w:r>
      <w:r w:rsidR="00D0191E" w:rsidRPr="00D207EA">
        <w:rPr>
          <w:noProof/>
        </w:rPr>
        <w:t>le soutien aux projets réalisés conformément aux stratégies de développement local de LEADER ne dépassant pas 20 000 EUR est accordé sous forme de montants forfaitaires et peut être différencié selon des critères objectifs et non discriminatoires;  </w:t>
      </w:r>
    </w:p>
    <w:p w14:paraId="6A38ABD5" w14:textId="06FCAFBD" w:rsidR="00D0191E" w:rsidRPr="00D207EA" w:rsidRDefault="008D666E" w:rsidP="008D666E">
      <w:pPr>
        <w:pStyle w:val="Point10"/>
        <w:rPr>
          <w:noProof/>
        </w:rPr>
      </w:pPr>
      <w:r w:rsidRPr="008D666E">
        <w:rPr>
          <w:noProof/>
        </w:rPr>
        <w:t>(c)</w:t>
      </w:r>
      <w:r w:rsidRPr="008D666E">
        <w:rPr>
          <w:noProof/>
        </w:rPr>
        <w:tab/>
      </w:r>
      <w:r w:rsidR="00D0191E" w:rsidRPr="00D207EA">
        <w:rPr>
          <w:noProof/>
        </w:rPr>
        <w:t>le soutien aux jeunes pousses rurales pour des activités non agricoles dans les zones rurales peut être accordé sous la forme de montants forfaitaires jusqu’à un maximum de 100 000 EUR et peut être différencié selon des critères objectifs et non discriminatoires;  </w:t>
      </w:r>
    </w:p>
    <w:p w14:paraId="1B24FAB3" w14:textId="0A26A10A" w:rsidR="00D0191E" w:rsidRPr="00D207EA" w:rsidRDefault="008D666E" w:rsidP="008D666E">
      <w:pPr>
        <w:pStyle w:val="Point10"/>
        <w:rPr>
          <w:noProof/>
        </w:rPr>
      </w:pPr>
      <w:r w:rsidRPr="008D666E">
        <w:rPr>
          <w:noProof/>
        </w:rPr>
        <w:t>(d)</w:t>
      </w:r>
      <w:r w:rsidRPr="008D666E">
        <w:rPr>
          <w:noProof/>
        </w:rPr>
        <w:tab/>
      </w:r>
      <w:r w:rsidR="00D0191E" w:rsidRPr="00D207EA">
        <w:rPr>
          <w:noProof/>
        </w:rPr>
        <w:t>le recours aux options de coûts simplifiés est encouragé pour les projets mis en œuvre dans le cadre des stratégies de développement local de LEADER.</w:t>
      </w:r>
    </w:p>
    <w:p w14:paraId="74B26337" w14:textId="5AD5F6F8" w:rsidR="00D0191E" w:rsidRPr="00D207EA" w:rsidRDefault="00D0191E" w:rsidP="00C21519">
      <w:pPr>
        <w:pStyle w:val="NumPar10000000"/>
        <w:numPr>
          <w:ilvl w:val="0"/>
          <w:numId w:val="97"/>
        </w:numPr>
        <w:rPr>
          <w:noProof/>
        </w:rPr>
      </w:pPr>
      <w:r w:rsidRPr="00D207EA">
        <w:rPr>
          <w:noProof/>
        </w:rPr>
        <w:t>Le soutien fourni au titre du présent article peut couvrir les coûts de la préparation des stratégies de développement local ou les coûts des opérations mises en œuvre, ou une combinaison des deux. Les États membres veillent à ce que les coûts des opérations soient conformes aux exigences fixées par le présent règlement pour les types d’interventions concernés.</w:t>
      </w:r>
    </w:p>
    <w:p w14:paraId="7A952C0A" w14:textId="77777777" w:rsidR="00CF3BD3" w:rsidRPr="00D207EA" w:rsidRDefault="00CF3BD3" w:rsidP="00CF3BD3">
      <w:pPr>
        <w:pStyle w:val="Titlearticle"/>
        <w:rPr>
          <w:noProof/>
        </w:rPr>
      </w:pPr>
      <w:r w:rsidRPr="00D207EA">
        <w:rPr>
          <w:noProof/>
        </w:rPr>
        <w:t>Article 78</w:t>
      </w:r>
      <w:r w:rsidRPr="00D207EA">
        <w:rPr>
          <w:noProof/>
        </w:rPr>
        <w:br/>
      </w:r>
      <w:r w:rsidRPr="00D207EA">
        <w:rPr>
          <w:b/>
          <w:noProof/>
        </w:rPr>
        <w:t>Utilisation d’une forme simplifiée de soutien aux bénéficiaires</w:t>
      </w:r>
    </w:p>
    <w:p w14:paraId="47C76D99" w14:textId="269DADF0" w:rsidR="00CF3BD3" w:rsidRPr="00D207EA" w:rsidRDefault="008D666E" w:rsidP="008D666E">
      <w:pPr>
        <w:pStyle w:val="ManualNumPar1"/>
        <w:rPr>
          <w:noProof/>
        </w:rPr>
      </w:pPr>
      <w:r w:rsidRPr="008D666E">
        <w:rPr>
          <w:noProof/>
        </w:rPr>
        <w:t>1.</w:t>
      </w:r>
      <w:r w:rsidRPr="008D666E">
        <w:rPr>
          <w:noProof/>
        </w:rPr>
        <w:tab/>
      </w:r>
      <w:r w:rsidR="00710BA2" w:rsidRPr="00D207EA">
        <w:rPr>
          <w:noProof/>
        </w:rPr>
        <w:t>Sauf disposition contraire du présent règlement, lorsque le coût total estimé d’une opération ne dépasse pas 400 000 EUR, le soutien public apporté au bénéficiaire par l’État membre prend la forme d’un financement non lié aux coûts, d’un coût unitaire, de montants forfaitaires ou d’un taux forfaitaire, à l’exception des opérations pour lesquelles le soutien constitue une aide d’État.</w:t>
      </w:r>
    </w:p>
    <w:p w14:paraId="48C46B10" w14:textId="77777777" w:rsidR="008A4296" w:rsidRPr="00D207EA" w:rsidRDefault="008A4296" w:rsidP="00C21519">
      <w:pPr>
        <w:pStyle w:val="NumPar10000000"/>
        <w:numPr>
          <w:ilvl w:val="0"/>
          <w:numId w:val="97"/>
        </w:numPr>
        <w:rPr>
          <w:noProof/>
        </w:rPr>
      </w:pPr>
      <w:r w:rsidRPr="00D207EA">
        <w:rPr>
          <w:noProof/>
        </w:rPr>
        <w:t>Pour les opérations soutenues dans le cadre des interventions visées à l’article 34, paragraphe 1 [Types d’interventions], les exigences du paragraphe 1 ne s’appliquent qu’aux opérations dont le coût total ne dépasse pas 100 000 EUR.</w:t>
      </w:r>
    </w:p>
    <w:p w14:paraId="324C0E8B" w14:textId="77777777" w:rsidR="00256F20" w:rsidRPr="00D207EA" w:rsidRDefault="00256F20" w:rsidP="00256F20">
      <w:pPr>
        <w:pStyle w:val="Titrearticle"/>
        <w:rPr>
          <w:b/>
          <w:noProof/>
        </w:rPr>
      </w:pPr>
      <w:r w:rsidRPr="00D207EA">
        <w:rPr>
          <w:noProof/>
        </w:rPr>
        <w:t>Article 79</w:t>
      </w:r>
      <w:r w:rsidRPr="00D207EA">
        <w:rPr>
          <w:noProof/>
        </w:rPr>
        <w:br/>
      </w:r>
      <w:r w:rsidRPr="00D207EA">
        <w:rPr>
          <w:b/>
          <w:noProof/>
        </w:rPr>
        <w:t>Conditions pour les mesures qui comprennent des opérations avec une mise en œuvre échelonnée</w:t>
      </w:r>
    </w:p>
    <w:p w14:paraId="2AD6BA26" w14:textId="77777777" w:rsidR="00AF0127" w:rsidRPr="00D207EA" w:rsidRDefault="00D20BC6" w:rsidP="00C21519">
      <w:pPr>
        <w:pStyle w:val="NumPar10000000"/>
        <w:numPr>
          <w:ilvl w:val="0"/>
          <w:numId w:val="104"/>
        </w:numPr>
        <w:rPr>
          <w:noProof/>
        </w:rPr>
      </w:pPr>
      <w:r w:rsidRPr="00D207EA">
        <w:rPr>
          <w:noProof/>
        </w:rPr>
        <w:t xml:space="preserve">Les États membres peuvent soutenir des mesures de soutien lorsque l’opération ou les opérations sous-jacentes consistent en la seconde phase d’une opération déjà retenue pour bénéficier d’un soutien et entamée au titre du règlement (UE) 2021/1060, si les conditions suivantes sont remplies: </w:t>
      </w:r>
    </w:p>
    <w:p w14:paraId="0AAFFA82" w14:textId="77B645B8" w:rsidR="00AF0127" w:rsidRPr="00D207EA" w:rsidRDefault="008D666E" w:rsidP="008D666E">
      <w:pPr>
        <w:pStyle w:val="Point10"/>
        <w:rPr>
          <w:noProof/>
        </w:rPr>
      </w:pPr>
      <w:r w:rsidRPr="008D666E">
        <w:rPr>
          <w:noProof/>
        </w:rPr>
        <w:t>(a)</w:t>
      </w:r>
      <w:r w:rsidRPr="008D666E">
        <w:rPr>
          <w:noProof/>
        </w:rPr>
        <w:tab/>
      </w:r>
      <w:r w:rsidR="00D20BC6" w:rsidRPr="00D207EA">
        <w:rPr>
          <w:noProof/>
        </w:rPr>
        <w:t xml:space="preserve">l’opération retenue pour bénéficier d’un soutien au titre du règlement (UE) 2021/1060 comporte deux phases identifiables d’un point de vue financier et faisant l’objet de pistes d’audit distinctes; </w:t>
      </w:r>
    </w:p>
    <w:p w14:paraId="1C29F145" w14:textId="7F3A3954" w:rsidR="00AF0127" w:rsidRPr="00D207EA" w:rsidRDefault="008D666E" w:rsidP="008D666E">
      <w:pPr>
        <w:pStyle w:val="Point10"/>
        <w:rPr>
          <w:noProof/>
        </w:rPr>
      </w:pPr>
      <w:r w:rsidRPr="008D666E">
        <w:rPr>
          <w:noProof/>
        </w:rPr>
        <w:t>(b)</w:t>
      </w:r>
      <w:r w:rsidRPr="008D666E">
        <w:rPr>
          <w:noProof/>
        </w:rPr>
        <w:tab/>
      </w:r>
      <w:r w:rsidR="00D20BC6" w:rsidRPr="00D207EA">
        <w:rPr>
          <w:noProof/>
        </w:rPr>
        <w:t xml:space="preserve">le coût total de l’opération visée au point a) est supérieur à 5 000 000 EUR; </w:t>
      </w:r>
    </w:p>
    <w:p w14:paraId="1019A5B5" w14:textId="4E5A74A8" w:rsidR="00AF0127" w:rsidRPr="00D207EA" w:rsidRDefault="008D666E" w:rsidP="008D666E">
      <w:pPr>
        <w:pStyle w:val="Point10"/>
        <w:rPr>
          <w:noProof/>
        </w:rPr>
      </w:pPr>
      <w:r w:rsidRPr="008D666E">
        <w:rPr>
          <w:noProof/>
        </w:rPr>
        <w:t>(c)</w:t>
      </w:r>
      <w:r w:rsidRPr="008D666E">
        <w:rPr>
          <w:noProof/>
        </w:rPr>
        <w:tab/>
      </w:r>
      <w:r w:rsidR="00D20BC6" w:rsidRPr="00D207EA">
        <w:rPr>
          <w:noProof/>
        </w:rPr>
        <w:t xml:space="preserve">le calcul des coûts de la mesure prend exclusivement en compte les coûts pour lesquels les dépenses n’ont pas été incluses dans une demande de paiement relative à la première phase;  </w:t>
      </w:r>
    </w:p>
    <w:p w14:paraId="42F6C8BA" w14:textId="6816D0F0" w:rsidR="00AF0127" w:rsidRPr="00D207EA" w:rsidRDefault="008D666E" w:rsidP="008D666E">
      <w:pPr>
        <w:pStyle w:val="Point10"/>
        <w:rPr>
          <w:noProof/>
        </w:rPr>
      </w:pPr>
      <w:r w:rsidRPr="008D666E">
        <w:rPr>
          <w:noProof/>
        </w:rPr>
        <w:t>(d)</w:t>
      </w:r>
      <w:r w:rsidRPr="008D666E">
        <w:rPr>
          <w:noProof/>
        </w:rPr>
        <w:tab/>
      </w:r>
      <w:r w:rsidR="00D20BC6" w:rsidRPr="00D207EA">
        <w:rPr>
          <w:noProof/>
        </w:rPr>
        <w:t xml:space="preserve">la seconde phase de l’opération est conforme à la législation applicable et peut bénéficier d’un soutien au titre du présent règlement; </w:t>
      </w:r>
    </w:p>
    <w:p w14:paraId="107F5559" w14:textId="6F714952" w:rsidR="00D20BC6" w:rsidRPr="00D207EA" w:rsidRDefault="008D666E" w:rsidP="008D666E">
      <w:pPr>
        <w:pStyle w:val="Point10"/>
        <w:rPr>
          <w:noProof/>
        </w:rPr>
      </w:pPr>
      <w:r w:rsidRPr="008D666E">
        <w:rPr>
          <w:noProof/>
        </w:rPr>
        <w:t>(e)</w:t>
      </w:r>
      <w:r w:rsidRPr="008D666E">
        <w:rPr>
          <w:noProof/>
        </w:rPr>
        <w:tab/>
      </w:r>
      <w:r w:rsidR="00D20BC6" w:rsidRPr="00D207EA">
        <w:rPr>
          <w:noProof/>
        </w:rPr>
        <w:t>l’État membre fixe des valeurs intermédiaires et des valeurs cibles pour la seconde et dernière phase de l’opération.</w:t>
      </w:r>
    </w:p>
    <w:p w14:paraId="7FF9FFA2" w14:textId="77777777" w:rsidR="006653B7" w:rsidRPr="00D207EA" w:rsidRDefault="00D20BC6" w:rsidP="00C21519">
      <w:pPr>
        <w:pStyle w:val="NumPar10000000"/>
        <w:numPr>
          <w:ilvl w:val="0"/>
          <w:numId w:val="97"/>
        </w:numPr>
        <w:rPr>
          <w:noProof/>
        </w:rPr>
      </w:pPr>
      <w:r w:rsidRPr="00D207EA">
        <w:rPr>
          <w:noProof/>
        </w:rPr>
        <w:t>Le présent règlement s’applique à la mesure pour laquelle la seconde phase de l’opération est incluse.</w:t>
      </w:r>
    </w:p>
    <w:p w14:paraId="34D0F4EB" w14:textId="77777777" w:rsidR="00D20BC6" w:rsidRPr="00D207EA" w:rsidRDefault="00D20BC6" w:rsidP="00D20BC6">
      <w:pPr>
        <w:pStyle w:val="SectionTitle"/>
        <w:rPr>
          <w:i/>
          <w:noProof/>
        </w:rPr>
      </w:pPr>
      <w:r w:rsidRPr="00D207EA">
        <w:rPr>
          <w:noProof/>
        </w:rPr>
        <w:t>TITRE XII</w:t>
      </w:r>
      <w:r w:rsidRPr="00D207EA">
        <w:rPr>
          <w:noProof/>
        </w:rPr>
        <w:br/>
        <w:t>Fonds social pour le climat et Fonds pour la modernisation</w:t>
      </w:r>
    </w:p>
    <w:p w14:paraId="4F50BA01" w14:textId="77777777" w:rsidR="00256F20" w:rsidRPr="00D207EA" w:rsidRDefault="00256F20" w:rsidP="00256F20">
      <w:pPr>
        <w:pStyle w:val="Titrearticle"/>
        <w:rPr>
          <w:noProof/>
        </w:rPr>
      </w:pPr>
      <w:r w:rsidRPr="00D207EA">
        <w:rPr>
          <w:noProof/>
        </w:rPr>
        <w:t>Article 80</w:t>
      </w:r>
      <w:r w:rsidRPr="00D207EA">
        <w:rPr>
          <w:noProof/>
        </w:rPr>
        <w:br/>
      </w:r>
      <w:r w:rsidRPr="00D207EA">
        <w:rPr>
          <w:b/>
          <w:noProof/>
        </w:rPr>
        <w:t>Chapitre relatif au plan social pour le climat</w:t>
      </w:r>
    </w:p>
    <w:p w14:paraId="66FCA203" w14:textId="77777777" w:rsidR="00D20BC6" w:rsidRPr="00D207EA" w:rsidRDefault="00D20BC6" w:rsidP="00C21519">
      <w:pPr>
        <w:pStyle w:val="NumPar10000000"/>
        <w:numPr>
          <w:ilvl w:val="0"/>
          <w:numId w:val="105"/>
        </w:numPr>
        <w:rPr>
          <w:noProof/>
        </w:rPr>
      </w:pPr>
      <w:r w:rsidRPr="00D207EA">
        <w:rPr>
          <w:noProof/>
        </w:rPr>
        <w:t>Le plan soumis à la Commission conformément à l’article 21 (préparation et présentation du plan) comprend les mesures et les investissements contenus dans le plan social pour le climat soumis par l’État membre en vertu du règlement (UE) 2023/955 dans un chapitre distinct relatif au plan social pour le climat.</w:t>
      </w:r>
    </w:p>
    <w:p w14:paraId="04E02B47" w14:textId="3F83104B" w:rsidR="00D20BC6" w:rsidRPr="00D207EA" w:rsidRDefault="002B3F84" w:rsidP="00C21519">
      <w:pPr>
        <w:pStyle w:val="NumPar10000000"/>
        <w:numPr>
          <w:ilvl w:val="0"/>
          <w:numId w:val="97"/>
        </w:numPr>
        <w:rPr>
          <w:noProof/>
        </w:rPr>
      </w:pPr>
      <w:r w:rsidRPr="00D207EA">
        <w:rPr>
          <w:noProof/>
        </w:rPr>
        <w:t>Les mesures et les investissements éligibles inclus dans les plans sociaux pour le climat continuent d’être éligibles au titre du plan, sous réserve de l’article 7 [principes horizontaux].</w:t>
      </w:r>
    </w:p>
    <w:p w14:paraId="26E902A2" w14:textId="77777777" w:rsidR="00D20BC6" w:rsidRPr="00D207EA" w:rsidRDefault="004118EC" w:rsidP="00C21519">
      <w:pPr>
        <w:pStyle w:val="NumPar10000000"/>
        <w:numPr>
          <w:ilvl w:val="0"/>
          <w:numId w:val="97"/>
        </w:numPr>
        <w:rPr>
          <w:noProof/>
        </w:rPr>
      </w:pPr>
      <w:r w:rsidRPr="00D207EA">
        <w:rPr>
          <w:noProof/>
        </w:rPr>
        <w:t>Les règles énoncées dans le présent règlement s’appliquent au chapitre relatif au plan social pour le climat.</w:t>
      </w:r>
    </w:p>
    <w:p w14:paraId="5416D166" w14:textId="77777777" w:rsidR="00D20BC6" w:rsidRPr="00D207EA" w:rsidRDefault="0EF86722" w:rsidP="00C21519">
      <w:pPr>
        <w:pStyle w:val="NumPar10000000"/>
        <w:numPr>
          <w:ilvl w:val="0"/>
          <w:numId w:val="97"/>
        </w:numPr>
        <w:rPr>
          <w:noProof/>
        </w:rPr>
      </w:pPr>
      <w:r w:rsidRPr="00D207EA">
        <w:rPr>
          <w:noProof/>
        </w:rPr>
        <w:t>Par dérogation au paragraphe 3, un État membre peut choisir de continuer à mettre en œuvre son chapitre relatif au plan social pour le climat conformément aux règles établies dans le règlement (UE) 2023/955. En cas de doute sur l’application du règlement (UE) 2023/955 et du présent règlement, le règlement (UE) 2023/955 prévaut, sans préjudice des articles 6, 8 et 9 du présent règlement.</w:t>
      </w:r>
    </w:p>
    <w:p w14:paraId="0A6C1A03" w14:textId="53D3A9F5" w:rsidR="00630DCC" w:rsidRPr="00D207EA" w:rsidRDefault="0077709C" w:rsidP="00C21519">
      <w:pPr>
        <w:pStyle w:val="NumPar10000000"/>
        <w:numPr>
          <w:ilvl w:val="0"/>
          <w:numId w:val="97"/>
        </w:numPr>
        <w:rPr>
          <w:noProof/>
        </w:rPr>
      </w:pPr>
      <w:r w:rsidRPr="00D207EA">
        <w:rPr>
          <w:noProof/>
        </w:rPr>
        <w:t>La contribution nationale prévue à l’article 15 du règlement (UE) 2023/955 continue de s’appliquer au chapitre relatif au plan social pour le climat.</w:t>
      </w:r>
    </w:p>
    <w:p w14:paraId="702EA467" w14:textId="77777777" w:rsidR="00EE1DE2" w:rsidRPr="00D207EA" w:rsidRDefault="00D20BC6" w:rsidP="00C21519">
      <w:pPr>
        <w:pStyle w:val="NumPar10000000"/>
        <w:numPr>
          <w:ilvl w:val="0"/>
          <w:numId w:val="97"/>
        </w:numPr>
        <w:rPr>
          <w:noProof/>
        </w:rPr>
      </w:pPr>
      <w:r w:rsidRPr="00D207EA">
        <w:rPr>
          <w:noProof/>
        </w:rPr>
        <w:t>Les États membres peuvent, lorsqu’ils préparent ou modifient leurs plans de partenariat national et régional, programmer tout ou partie de leurs ressources disponibles au titre du Fonds social pour le climat pour d’autres mesures contribuant aux objectifs énoncés à l’article 3, point c) vi), y compris au moyen de mesures énoncées à l’article 8 du règlement (UE) 2023/955, dans le cadre du chapitre relatif au plan social pour le climat.</w:t>
      </w:r>
    </w:p>
    <w:p w14:paraId="4865EFEA" w14:textId="2214DE9F" w:rsidR="00D20BC6" w:rsidRPr="00D207EA" w:rsidRDefault="00256F20" w:rsidP="00D20BC6">
      <w:pPr>
        <w:pStyle w:val="Titrearticle"/>
        <w:rPr>
          <w:noProof/>
          <w:color w:val="0000FF"/>
        </w:rPr>
      </w:pPr>
      <w:r w:rsidRPr="00D207EA">
        <w:rPr>
          <w:noProof/>
        </w:rPr>
        <w:t>Article 81</w:t>
      </w:r>
      <w:r w:rsidRPr="00D207EA">
        <w:rPr>
          <w:noProof/>
        </w:rPr>
        <w:br/>
      </w:r>
      <w:r w:rsidRPr="00D207EA">
        <w:rPr>
          <w:b/>
          <w:noProof/>
        </w:rPr>
        <w:t>Transfert de ressources</w:t>
      </w:r>
    </w:p>
    <w:p w14:paraId="09B1BE73" w14:textId="15AD3748" w:rsidR="00D20BC6" w:rsidRPr="00D207EA" w:rsidRDefault="00D20BC6" w:rsidP="005A28DE">
      <w:pPr>
        <w:rPr>
          <w:noProof/>
        </w:rPr>
      </w:pPr>
      <w:r w:rsidRPr="00D207EA">
        <w:rPr>
          <w:noProof/>
        </w:rPr>
        <w:t>Les États membres peuvent demander dans leur plan initial de transférer les montants de leurs allocations pour 2026 et 2027 au titre du Fonds social pour le climat. Ces montants seront programmés dans les chapitres relatifs au plan social pour le climat.</w:t>
      </w:r>
      <w:r w:rsidRPr="00D207EA">
        <w:rPr>
          <w:b/>
          <w:noProof/>
        </w:rPr>
        <w:t xml:space="preserve"> </w:t>
      </w:r>
      <w:r w:rsidRPr="00D207EA">
        <w:rPr>
          <w:noProof/>
        </w:rPr>
        <w:t>Ces montants constituent des recettes affectées externes conformément à l’article 21, paragraphe 5, du règlement (UE, Euratom) 2024/2509 et contribuent aux objectifs fixés à l’article 3, point c) iv), y compris au moyen des mesures prévues à l’article 8 du règlement (UE) 2023/955.</w:t>
      </w:r>
    </w:p>
    <w:p w14:paraId="02E3FE79" w14:textId="77777777" w:rsidR="00D20BC6" w:rsidRPr="00D207EA" w:rsidRDefault="00256F20" w:rsidP="00D20BC6">
      <w:pPr>
        <w:pStyle w:val="Titrearticle"/>
        <w:rPr>
          <w:b/>
          <w:noProof/>
          <w:color w:val="0000FF"/>
        </w:rPr>
      </w:pPr>
      <w:r w:rsidRPr="00D207EA">
        <w:rPr>
          <w:noProof/>
        </w:rPr>
        <w:t>Article 82</w:t>
      </w:r>
      <w:r w:rsidRPr="00D207EA">
        <w:rPr>
          <w:noProof/>
        </w:rPr>
        <w:br/>
      </w:r>
      <w:r w:rsidRPr="00D207EA">
        <w:rPr>
          <w:b/>
          <w:noProof/>
        </w:rPr>
        <w:t>Synergies avec le Fonds pour la modernisation</w:t>
      </w:r>
    </w:p>
    <w:p w14:paraId="7FA62060" w14:textId="77777777" w:rsidR="00D20BC6" w:rsidRPr="00D207EA" w:rsidRDefault="1A040CCC" w:rsidP="00C21519">
      <w:pPr>
        <w:pStyle w:val="NumPar10000000"/>
        <w:numPr>
          <w:ilvl w:val="0"/>
          <w:numId w:val="106"/>
        </w:numPr>
        <w:rPr>
          <w:noProof/>
        </w:rPr>
      </w:pPr>
      <w:r w:rsidRPr="00D207EA">
        <w:rPr>
          <w:noProof/>
        </w:rPr>
        <w:t>Les investissements soutenus dans le cadre du Fonds pour la modernisation sont conçus et mis en œuvre dans le but d’assurer la cohérence et les synergies avec les mesures du plan PNR.</w:t>
      </w:r>
    </w:p>
    <w:p w14:paraId="2334FA77" w14:textId="77777777" w:rsidR="3D3974A1" w:rsidRPr="00D207EA" w:rsidRDefault="3D3974A1" w:rsidP="00C21519">
      <w:pPr>
        <w:pStyle w:val="NumPar10000000"/>
        <w:numPr>
          <w:ilvl w:val="0"/>
          <w:numId w:val="97"/>
        </w:numPr>
        <w:rPr>
          <w:noProof/>
        </w:rPr>
      </w:pPr>
      <w:r w:rsidRPr="00D207EA">
        <w:rPr>
          <w:noProof/>
        </w:rPr>
        <w:t>Lors de la préparation de leur plan PNR, les États membres bénéficiant du Fonds pour la modernisation décrivent les investissements qu’ils prévoient de présenter au comité d’investissement visé à l’article 10 </w:t>
      </w:r>
      <w:r w:rsidRPr="00D207EA">
        <w:rPr>
          <w:i/>
          <w:iCs/>
          <w:noProof/>
        </w:rPr>
        <w:t>quinquies</w:t>
      </w:r>
      <w:r w:rsidRPr="00D207EA">
        <w:rPr>
          <w:noProof/>
        </w:rPr>
        <w:t>, paragraphe 5, de la directive 2003/97/CE au cours des trois prochaines années et fournissent une explication des synergies avec les mesures du plan PNR.</w:t>
      </w:r>
    </w:p>
    <w:p w14:paraId="42796DE3" w14:textId="7A2BF4F1" w:rsidR="00630DCC" w:rsidRPr="00D207EA" w:rsidRDefault="13B6D1CD" w:rsidP="00C21519">
      <w:pPr>
        <w:pStyle w:val="NumPar10000000"/>
        <w:numPr>
          <w:ilvl w:val="0"/>
          <w:numId w:val="97"/>
        </w:numPr>
        <w:rPr>
          <w:noProof/>
        </w:rPr>
      </w:pPr>
      <w:r w:rsidRPr="00D207EA">
        <w:rPr>
          <w:noProof/>
        </w:rPr>
        <w:t>Les États membres expliquent comment les investissements qu’ils prévoient de financer au titre du Fonds pour la modernisation ont été conçus en tenant compte des synergies attendues entre les investissements existants et futurs du Fonds pour la modernisation et les réformes et les investissements du plan PNR.</w:t>
      </w:r>
    </w:p>
    <w:p w14:paraId="47798251" w14:textId="77777777" w:rsidR="00D20BC6" w:rsidRPr="00D207EA" w:rsidRDefault="00D20BC6" w:rsidP="005A28DE">
      <w:pPr>
        <w:pStyle w:val="Titrearticle"/>
        <w:rPr>
          <w:noProof/>
        </w:rPr>
      </w:pPr>
      <w:r w:rsidRPr="00D207EA">
        <w:rPr>
          <w:noProof/>
        </w:rPr>
        <w:t>Article 83</w:t>
      </w:r>
      <w:r w:rsidRPr="00D207EA">
        <w:rPr>
          <w:noProof/>
        </w:rPr>
        <w:br/>
      </w:r>
      <w:r w:rsidRPr="00D207EA">
        <w:rPr>
          <w:b/>
          <w:noProof/>
        </w:rPr>
        <w:t>Modifications apportées au règlement (UE) 2023/955</w:t>
      </w:r>
    </w:p>
    <w:p w14:paraId="1B894A00" w14:textId="77777777" w:rsidR="00D20BC6" w:rsidRPr="00D207EA" w:rsidRDefault="00D20BC6" w:rsidP="005A28DE">
      <w:pPr>
        <w:rPr>
          <w:noProof/>
        </w:rPr>
      </w:pPr>
      <w:r w:rsidRPr="00D207EA">
        <w:rPr>
          <w:noProof/>
        </w:rPr>
        <w:t>Le règlement (UE) 2023/955 est modifié comme suit: </w:t>
      </w:r>
    </w:p>
    <w:p w14:paraId="7CE89D0A" w14:textId="3376CBB2" w:rsidR="00064CE4" w:rsidRPr="00D207EA" w:rsidRDefault="008D666E" w:rsidP="008D666E">
      <w:pPr>
        <w:pStyle w:val="Point0"/>
        <w:rPr>
          <w:noProof/>
        </w:rPr>
      </w:pPr>
      <w:r w:rsidRPr="008D666E">
        <w:rPr>
          <w:noProof/>
        </w:rPr>
        <w:t>(1)</w:t>
      </w:r>
      <w:r w:rsidRPr="008D666E">
        <w:rPr>
          <w:noProof/>
        </w:rPr>
        <w:tab/>
      </w:r>
      <w:r w:rsidR="00D20BC6" w:rsidRPr="00D207EA">
        <w:rPr>
          <w:noProof/>
        </w:rPr>
        <w:t>L’article 10 est remplacé par le texte suivant:</w:t>
      </w:r>
    </w:p>
    <w:p w14:paraId="02DD8DEF" w14:textId="77777777" w:rsidR="00EC3A41" w:rsidRPr="00D207EA" w:rsidRDefault="00EC3A41" w:rsidP="00231A84">
      <w:pPr>
        <w:pStyle w:val="Titrearticle"/>
        <w:rPr>
          <w:noProof/>
        </w:rPr>
      </w:pPr>
      <w:r w:rsidRPr="00D207EA">
        <w:rPr>
          <w:noProof/>
        </w:rPr>
        <w:t>«Article 10</w:t>
      </w:r>
      <w:r w:rsidRPr="00D207EA">
        <w:rPr>
          <w:noProof/>
        </w:rPr>
        <w:br/>
        <w:t>Ressources du Fonds</w:t>
      </w:r>
    </w:p>
    <w:p w14:paraId="089AC2B3" w14:textId="77777777" w:rsidR="00D20BC6" w:rsidRPr="00D207EA" w:rsidRDefault="0098734C" w:rsidP="0098734C">
      <w:pPr>
        <w:pStyle w:val="Point10"/>
        <w:rPr>
          <w:noProof/>
        </w:rPr>
      </w:pPr>
      <w:r w:rsidRPr="00D207EA">
        <w:rPr>
          <w:noProof/>
        </w:rPr>
        <w:t>1.</w:t>
      </w:r>
      <w:r w:rsidRPr="00D207EA">
        <w:rPr>
          <w:noProof/>
        </w:rPr>
        <w:tab/>
        <w:t>Un montant maximal de 65 000 000 EUR en prix courants pour la période allant du 1</w:t>
      </w:r>
      <w:r w:rsidRPr="00D207EA">
        <w:rPr>
          <w:noProof/>
          <w:vertAlign w:val="superscript"/>
        </w:rPr>
        <w:t>er</w:t>
      </w:r>
      <w:r w:rsidRPr="00D207EA">
        <w:rPr>
          <w:noProof/>
        </w:rPr>
        <w:t> janvier 2026 au 31 décembre 2032 est mis à disposition, conformément à l’article 10 </w:t>
      </w:r>
      <w:r w:rsidRPr="00D207EA">
        <w:rPr>
          <w:i/>
          <w:iCs/>
          <w:noProof/>
        </w:rPr>
        <w:t>bis</w:t>
      </w:r>
      <w:r w:rsidRPr="00D207EA">
        <w:rPr>
          <w:noProof/>
        </w:rPr>
        <w:t>, paragraphe 8 </w:t>
      </w:r>
      <w:r w:rsidRPr="00D207EA">
        <w:rPr>
          <w:i/>
          <w:iCs/>
          <w:noProof/>
        </w:rPr>
        <w:t>ter</w:t>
      </w:r>
      <w:r w:rsidRPr="00D207EA">
        <w:rPr>
          <w:noProof/>
        </w:rPr>
        <w:t>, et à l’article 30 </w:t>
      </w:r>
      <w:r w:rsidRPr="00D207EA">
        <w:rPr>
          <w:i/>
          <w:iCs/>
          <w:noProof/>
        </w:rPr>
        <w:t>quinquies</w:t>
      </w:r>
      <w:r w:rsidRPr="00D207EA">
        <w:rPr>
          <w:noProof/>
        </w:rPr>
        <w:t>, paragraphes 3 et 4, de la directive 2003/87/CE, pour la mise en œuvre des plans sociaux pour le climat. Ce montant constitue des recettes affectées externes aux fins de l’article 21, paragraphe 5, du règlement (UE, Euratom) 2018/1046, sans préjudice de l’article 30 quinquies, paragraphe 4, sixième alinéa, de la directive 2003/87/CE.</w:t>
      </w:r>
    </w:p>
    <w:p w14:paraId="342BFB56" w14:textId="0360B2B2" w:rsidR="00D20BC6" w:rsidRPr="00D207EA" w:rsidRDefault="00D20BC6" w:rsidP="0098734C">
      <w:pPr>
        <w:pStyle w:val="Text2"/>
        <w:rPr>
          <w:noProof/>
        </w:rPr>
      </w:pPr>
      <w:r w:rsidRPr="00D207EA">
        <w:rPr>
          <w:noProof/>
        </w:rPr>
        <w:t>Les montants annuels, dans la limite du montant maximal fixé au premier alinéa du présent paragraphe, ne dépassent pas les montants visés à l’article 30 </w:t>
      </w:r>
      <w:r w:rsidRPr="00D207EA">
        <w:rPr>
          <w:i/>
          <w:iCs/>
          <w:noProof/>
        </w:rPr>
        <w:t>quinquies</w:t>
      </w:r>
      <w:r w:rsidRPr="00D207EA">
        <w:rPr>
          <w:noProof/>
        </w:rPr>
        <w:t>, paragraphe 4, quatrième alinéa, de la directive 2003/87/CE.</w:t>
      </w:r>
    </w:p>
    <w:p w14:paraId="1655E675" w14:textId="77777777" w:rsidR="00D20BC6" w:rsidRPr="00D207EA" w:rsidRDefault="00D20BC6" w:rsidP="0098734C">
      <w:pPr>
        <w:pStyle w:val="Text2"/>
        <w:rPr>
          <w:noProof/>
        </w:rPr>
      </w:pPr>
      <w:r w:rsidRPr="00D207EA">
        <w:rPr>
          <w:noProof/>
        </w:rPr>
        <w:t>Les montants pour les années 2028-2032 sont mis à disposition pour la mise en œuvre des investissements et des mesures relatifs au plan social pour le climat dans le cadre des plans de partenariat national et régional conformément à l’article 27 </w:t>
      </w:r>
      <w:r w:rsidRPr="00D207EA">
        <w:rPr>
          <w:i/>
          <w:iCs/>
          <w:noProof/>
        </w:rPr>
        <w:t>bis</w:t>
      </w:r>
      <w:r w:rsidRPr="00D207EA">
        <w:rPr>
          <w:noProof/>
        </w:rPr>
        <w:t xml:space="preserve"> du présent règlement et à l’article 20 du règlement XXX [règlement relatif aux plans de partenariat national et régional] pour la période allant de 2028 à [2032].</w:t>
      </w:r>
    </w:p>
    <w:p w14:paraId="7876C106" w14:textId="77777777" w:rsidR="004E0DDB" w:rsidRPr="00D207EA" w:rsidRDefault="00D20BC6" w:rsidP="0098734C">
      <w:pPr>
        <w:pStyle w:val="Text2"/>
        <w:rPr>
          <w:noProof/>
        </w:rPr>
      </w:pPr>
      <w:r w:rsidRPr="00D207EA">
        <w:rPr>
          <w:noProof/>
        </w:rPr>
        <w:t>Lorsque le système d’échange de quotas d’émission établi conformément au chapitre IV </w:t>
      </w:r>
      <w:r w:rsidRPr="00D207EA">
        <w:rPr>
          <w:i/>
          <w:iCs/>
          <w:noProof/>
        </w:rPr>
        <w:t>bis</w:t>
      </w:r>
      <w:r w:rsidRPr="00D207EA">
        <w:rPr>
          <w:noProof/>
        </w:rPr>
        <w:t xml:space="preserve"> de la directive 2003/87/CE est reporté à 2028 en vertu de l’article 30 </w:t>
      </w:r>
      <w:r w:rsidRPr="00D207EA">
        <w:rPr>
          <w:i/>
          <w:iCs/>
          <w:noProof/>
        </w:rPr>
        <w:t>duodecies</w:t>
      </w:r>
      <w:r w:rsidRPr="00D207EA">
        <w:rPr>
          <w:noProof/>
        </w:rPr>
        <w:t xml:space="preserve"> de ladite directive, le montant maximal à mettre à la disposition est de 54 600 000 000 EUR et les montants annuels alloués ne dépassent pas les montants respectifs visés à l’article 30 </w:t>
      </w:r>
      <w:r w:rsidRPr="00D207EA">
        <w:rPr>
          <w:i/>
          <w:iCs/>
          <w:noProof/>
        </w:rPr>
        <w:t>quinquies</w:t>
      </w:r>
      <w:r w:rsidRPr="00D207EA">
        <w:rPr>
          <w:noProof/>
        </w:rPr>
        <w:t>, paragraphe 4, cinquième alinéa, de la directive 2003/87/CE.</w:t>
      </w:r>
    </w:p>
    <w:p w14:paraId="7ED7F34E" w14:textId="77777777" w:rsidR="001901FA" w:rsidRPr="00D207EA" w:rsidRDefault="0098734C" w:rsidP="0098734C">
      <w:pPr>
        <w:pStyle w:val="Point10"/>
        <w:rPr>
          <w:noProof/>
        </w:rPr>
      </w:pPr>
      <w:r w:rsidRPr="00D207EA">
        <w:rPr>
          <w:noProof/>
        </w:rPr>
        <w:t>2.</w:t>
      </w:r>
      <w:r w:rsidRPr="00D207EA">
        <w:rPr>
          <w:noProof/>
        </w:rPr>
        <w:tab/>
        <w:t>Par dérogation à l’article 22, paragraphe 2, du règlement (UE, Euratom) 2018/1046 et sans préjudice de l’article 19 du présent règlement, les crédits d’engagement couvrant le montant annuel pertinent, visé au paragraphe 1 du présent article sont mis à disposition automatiquement au début de chaque exercice, à partir du 1</w:t>
      </w:r>
      <w:r w:rsidRPr="00D207EA">
        <w:rPr>
          <w:noProof/>
          <w:vertAlign w:val="superscript"/>
        </w:rPr>
        <w:t>er</w:t>
      </w:r>
      <w:r w:rsidRPr="00D207EA">
        <w:rPr>
          <w:noProof/>
        </w:rPr>
        <w:t> janvier 2026, jusqu’à concurrence des montants annuels applicables pertinents visés au paragraphe 1, deuxième et quatrième alinéas.</w:t>
      </w:r>
    </w:p>
    <w:p w14:paraId="3D9E0420" w14:textId="77777777" w:rsidR="001901FA" w:rsidRPr="00D207EA" w:rsidRDefault="0098734C" w:rsidP="0098734C">
      <w:pPr>
        <w:pStyle w:val="Point10"/>
        <w:rPr>
          <w:noProof/>
        </w:rPr>
      </w:pPr>
      <w:r w:rsidRPr="00D207EA">
        <w:rPr>
          <w:noProof/>
        </w:rPr>
        <w:t>3.</w:t>
      </w:r>
      <w:r w:rsidRPr="00D207EA">
        <w:rPr>
          <w:noProof/>
        </w:rPr>
        <w:tab/>
        <w:t xml:space="preserve">Les montants visés au paragraphe 1 peuvent également couvrir des dépenses liées aux activités de préparation, de suivi, de contrôle, d’audit et d’évaluation nécessaires aux fins de la gestion du Fonds et de la réalisation de ses objectifs, notamment des études, des réunions d’experts, la consultation des parties prenantes, des actions d’information et de communication, y compris des actions de sensibilisation de grande envergure et la communication institutionnelle des priorités politiques de l’Union, dans la mesure où elles se rapportent aux objectifs du présent règlement, des dépenses liées aux réseaux informatiques servant au traitement et à l’échange des informations, des outils informatiques internes, ainsi que toutes les autres dépenses d’assistance technique et administrative engagées par la Commission dans le cadre de la gestion du Fonds. Les dépenses peuvent également englober les coûts d’autres activités d’appui, telles que le contrôle de la qualité et le suivi de projets sur le terrain, et les coûts de conseil entre pairs et d’experts aux fins de l’évaluation et de la mise en œuvre des actions éligibles.» </w:t>
      </w:r>
    </w:p>
    <w:p w14:paraId="72112526" w14:textId="5FE01AF3" w:rsidR="00D20BC6" w:rsidRPr="00D207EA" w:rsidRDefault="008D666E" w:rsidP="008D666E">
      <w:pPr>
        <w:pStyle w:val="Point0"/>
        <w:rPr>
          <w:noProof/>
        </w:rPr>
      </w:pPr>
      <w:r w:rsidRPr="008D666E">
        <w:rPr>
          <w:noProof/>
        </w:rPr>
        <w:t>(2)</w:t>
      </w:r>
      <w:r w:rsidRPr="008D666E">
        <w:rPr>
          <w:noProof/>
        </w:rPr>
        <w:tab/>
      </w:r>
      <w:r w:rsidR="00D20BC6" w:rsidRPr="00D207EA">
        <w:rPr>
          <w:noProof/>
        </w:rPr>
        <w:t>L’article 27 bis suivant est inséré:</w:t>
      </w:r>
    </w:p>
    <w:p w14:paraId="16CB27BB" w14:textId="77777777" w:rsidR="00D20BC6" w:rsidRPr="00D207EA" w:rsidRDefault="0098734C" w:rsidP="00DE2C4D">
      <w:pPr>
        <w:pStyle w:val="Titrearticle"/>
        <w:rPr>
          <w:noProof/>
        </w:rPr>
      </w:pPr>
      <w:r w:rsidRPr="00D207EA">
        <w:rPr>
          <w:noProof/>
        </w:rPr>
        <w:t>«Article 27 bis</w:t>
      </w:r>
      <w:r w:rsidRPr="00D207EA">
        <w:rPr>
          <w:noProof/>
        </w:rPr>
        <w:br/>
        <w:t>Plans sociaux pour le climat et plans de partenariat national et régional</w:t>
      </w:r>
    </w:p>
    <w:p w14:paraId="0ABFED68" w14:textId="2FB414EE" w:rsidR="00D20BC6" w:rsidRPr="00D207EA" w:rsidRDefault="0098734C" w:rsidP="0098734C">
      <w:pPr>
        <w:pStyle w:val="Point10"/>
        <w:rPr>
          <w:noProof/>
        </w:rPr>
      </w:pPr>
      <w:r w:rsidRPr="00D207EA">
        <w:rPr>
          <w:noProof/>
        </w:rPr>
        <w:t>1.</w:t>
      </w:r>
      <w:r w:rsidRPr="00D207EA">
        <w:rPr>
          <w:noProof/>
        </w:rPr>
        <w:tab/>
        <w:t>Les États membres incluent dans les plans de partenariat national et régional à présenter conformément à l’article 21 du règlement XXX [règlement relatif aux plans de partenariat national et régional] les investissements et les mesures des plans sociaux pour le climat préparés et adoptés conformément au présent règlement dans un chapitre distinct, comme prévu à l’article 80 dudit règlement.</w:t>
      </w:r>
    </w:p>
    <w:p w14:paraId="0003524D" w14:textId="77777777" w:rsidR="00210EC5" w:rsidRPr="00D207EA" w:rsidRDefault="0098734C" w:rsidP="0098734C">
      <w:pPr>
        <w:pStyle w:val="Point10"/>
        <w:rPr>
          <w:noProof/>
        </w:rPr>
      </w:pPr>
      <w:r w:rsidRPr="00D207EA">
        <w:rPr>
          <w:noProof/>
        </w:rPr>
        <w:t>2.</w:t>
      </w:r>
      <w:r w:rsidRPr="00D207EA">
        <w:rPr>
          <w:noProof/>
        </w:rPr>
        <w:tab/>
        <w:t>Les règles du règlement XXX [règlement relatif aux plans de partenariat national et régional] s’appliquent au chapitre relatif au plan social pour le climat.</w:t>
      </w:r>
    </w:p>
    <w:p w14:paraId="1A790B33" w14:textId="77777777" w:rsidR="00210EC5" w:rsidRPr="00D207EA" w:rsidRDefault="0098734C" w:rsidP="0098734C">
      <w:pPr>
        <w:pStyle w:val="Point10"/>
        <w:rPr>
          <w:noProof/>
        </w:rPr>
      </w:pPr>
      <w:r w:rsidRPr="00D207EA">
        <w:rPr>
          <w:noProof/>
        </w:rPr>
        <w:t>3.</w:t>
      </w:r>
      <w:r w:rsidRPr="00D207EA">
        <w:rPr>
          <w:noProof/>
        </w:rPr>
        <w:tab/>
        <w:t>Par dérogation au paragraphe 3, un État membre peut choisir de continuer à mettre en œuvre son chapitre relatif au plan social pour le climat conformément aux règles établies dans le présent règlement. En cas de doute sur l’application du règlement XXX [règlement relatif aux plans de partenariat national et régional] et du présent règlement, le présent règlement prévaut, à l’exception des articles 6, 8 et 9 dudit règlement.</w:t>
      </w:r>
    </w:p>
    <w:p w14:paraId="30AF51FC" w14:textId="77777777" w:rsidR="00D20BC6" w:rsidRPr="00D207EA" w:rsidRDefault="0098734C" w:rsidP="0098734C">
      <w:pPr>
        <w:pStyle w:val="Point10"/>
        <w:rPr>
          <w:noProof/>
        </w:rPr>
      </w:pPr>
      <w:r w:rsidRPr="00D207EA">
        <w:rPr>
          <w:noProof/>
        </w:rPr>
        <w:t>4.</w:t>
      </w:r>
      <w:r w:rsidRPr="00D207EA">
        <w:rPr>
          <w:noProof/>
        </w:rPr>
        <w:tab/>
        <w:t>Sans préjudice des demandes de paiement en suspens présentées par l’État membre à la Commission en vertu de l’article 20 du présent règlement, lors de l’adoption de la décision d’exécution visée à l’article 23 [proposition de la Commission et décision d’exécution du Conseil] approuvant le plan de partenariat national et régional, la Commission modifie ou résilie l’accord visé à l’article 19 du présent règlement, dans le cas où un tel accord a été conclu avec les États membres.»</w:t>
      </w:r>
    </w:p>
    <w:p w14:paraId="50E90986" w14:textId="77777777" w:rsidR="00D20BC6" w:rsidRPr="00D207EA" w:rsidRDefault="000663FB" w:rsidP="000663FB">
      <w:pPr>
        <w:pStyle w:val="SectionTitle"/>
        <w:rPr>
          <w:noProof/>
        </w:rPr>
      </w:pPr>
      <w:r w:rsidRPr="00D207EA">
        <w:rPr>
          <w:noProof/>
        </w:rPr>
        <w:t>TITRE XI</w:t>
      </w:r>
      <w:r w:rsidRPr="00D207EA">
        <w:rPr>
          <w:noProof/>
        </w:rPr>
        <w:br/>
        <w:t>DISPOSITIONS INSTITUTIONNELLES ET FINALES</w:t>
      </w:r>
    </w:p>
    <w:p w14:paraId="171F3B20" w14:textId="77777777" w:rsidR="000663FB" w:rsidRPr="00D207EA" w:rsidRDefault="000663FB" w:rsidP="000663FB">
      <w:pPr>
        <w:pStyle w:val="ChapterTitle0"/>
        <w:rPr>
          <w:noProof/>
        </w:rPr>
      </w:pPr>
      <w:r w:rsidRPr="00D207EA">
        <w:rPr>
          <w:noProof/>
        </w:rPr>
        <w:t>CHAPITRE 1</w:t>
      </w:r>
      <w:r w:rsidRPr="00D207EA">
        <w:rPr>
          <w:noProof/>
        </w:rPr>
        <w:br/>
        <w:t>Règles de concurrence pour les secteurs de l’agriculture, de la pêche et de l’aquaculture</w:t>
      </w:r>
    </w:p>
    <w:p w14:paraId="242C09E7" w14:textId="77777777" w:rsidR="00B100E2" w:rsidRPr="00D207EA" w:rsidRDefault="00D20BC6" w:rsidP="00B100E2">
      <w:pPr>
        <w:pStyle w:val="Titrearticle"/>
        <w:rPr>
          <w:noProof/>
        </w:rPr>
      </w:pPr>
      <w:r w:rsidRPr="00D207EA">
        <w:rPr>
          <w:noProof/>
        </w:rPr>
        <w:t>Article 84</w:t>
      </w:r>
      <w:r w:rsidRPr="00D207EA">
        <w:rPr>
          <w:noProof/>
        </w:rPr>
        <w:br/>
      </w:r>
      <w:r w:rsidRPr="00D207EA">
        <w:rPr>
          <w:b/>
          <w:noProof/>
        </w:rPr>
        <w:t>Règles applicables aux entreprises</w:t>
      </w:r>
    </w:p>
    <w:p w14:paraId="48849D23" w14:textId="2A93C621" w:rsidR="00B100E2" w:rsidRPr="00D207EA" w:rsidRDefault="00B100E2" w:rsidP="00DE2C4D">
      <w:pPr>
        <w:rPr>
          <w:noProof/>
        </w:rPr>
      </w:pPr>
      <w:r w:rsidRPr="00D207EA">
        <w:rPr>
          <w:noProof/>
        </w:rPr>
        <w:t>Lorsqu’un soutien est accordé, au moyen des interventions au titre de la PAC visées à l’article 35, paragraphe 1, du règlement (UE) 202X/XXXX [règlement relatif à la PAC], à des formes de coopération entre entreprises, il ne peut être accordé qu’à des formes de coopération qui respectent les règles de concurrence prévues par le règlement (UE) nº 1308/2013.</w:t>
      </w:r>
    </w:p>
    <w:p w14:paraId="228D26BA" w14:textId="77777777" w:rsidR="00B100E2" w:rsidRPr="00D207EA" w:rsidRDefault="00B100E2" w:rsidP="00B100E2">
      <w:pPr>
        <w:pStyle w:val="Titlearticle"/>
        <w:rPr>
          <w:noProof/>
        </w:rPr>
      </w:pPr>
      <w:r w:rsidRPr="00D207EA">
        <w:rPr>
          <w:noProof/>
        </w:rPr>
        <w:t>Article 85</w:t>
      </w:r>
      <w:r w:rsidRPr="00D207EA">
        <w:rPr>
          <w:noProof/>
        </w:rPr>
        <w:br/>
      </w:r>
      <w:r w:rsidRPr="00D207EA">
        <w:rPr>
          <w:b/>
          <w:noProof/>
        </w:rPr>
        <w:t>Aides d’État</w:t>
      </w:r>
    </w:p>
    <w:p w14:paraId="1C136D56" w14:textId="77777777" w:rsidR="005C0564" w:rsidRPr="00D207EA" w:rsidRDefault="00B100E2" w:rsidP="00C21519">
      <w:pPr>
        <w:pStyle w:val="NumPar10000000"/>
        <w:numPr>
          <w:ilvl w:val="0"/>
          <w:numId w:val="180"/>
        </w:numPr>
        <w:rPr>
          <w:noProof/>
        </w:rPr>
      </w:pPr>
      <w:r w:rsidRPr="00D207EA">
        <w:rPr>
          <w:noProof/>
        </w:rPr>
        <w:t>Sauf disposition contraire du présent article, les articles 107, 108 et 109 du traité FUE s’appliquent au soutien accordé au titre du présent règlement (UE) 202X/XXXX [règlement relatif à la PAC] et du règlement (UE) nº 1308/2013 en ce qui concerne les types d’interventions prévus à la partie II, titre I, chapitre II </w:t>
      </w:r>
      <w:r w:rsidRPr="00D207EA">
        <w:rPr>
          <w:i/>
          <w:iCs/>
          <w:noProof/>
        </w:rPr>
        <w:t>bis</w:t>
      </w:r>
      <w:r w:rsidRPr="00D207EA">
        <w:rPr>
          <w:noProof/>
        </w:rPr>
        <w:t>, dudit règlement ou à l’aide accordée par les États membres aux entreprises du secteur de la pêche et de l’aquaculture de l’Union.</w:t>
      </w:r>
    </w:p>
    <w:p w14:paraId="305645D3" w14:textId="0224A766" w:rsidR="005C0564" w:rsidRPr="00D207EA" w:rsidRDefault="00B100E2" w:rsidP="00C21519">
      <w:pPr>
        <w:pStyle w:val="NumPar10000000"/>
        <w:numPr>
          <w:ilvl w:val="0"/>
          <w:numId w:val="180"/>
        </w:numPr>
        <w:rPr>
          <w:noProof/>
        </w:rPr>
      </w:pPr>
      <w:r w:rsidRPr="00D207EA">
        <w:rPr>
          <w:noProof/>
        </w:rPr>
        <w:t>Les articles 107, 108 et 109 du traité FUE ne s’appliquent pas au soutien versé par les États membres en vertu du présent règlement et conformément à celui-ci, à la contribution nationale aux coûts éligibles fournie par les États membres pour les interventions au titre de la PAC visées à l’article 35, paragraphe 1, points d) à f) et h) à r), au financement national supplémentaire fourni pour les interventions au titre de la PAC visées à l’article 35, paragraphe 1, points d) à f) et h) à r), relevant du champ d’application de l’article 42 du traité FUE, ni aux aides accordées par les États membres aux entreprises du secteur de la pêche et de l’aquaculture de l’Union, relevant du champ d’application de l’article 42 du traité FUE.</w:t>
      </w:r>
    </w:p>
    <w:p w14:paraId="78C1715C" w14:textId="5336AB80" w:rsidR="005C0564" w:rsidRPr="00D207EA" w:rsidRDefault="005C0564" w:rsidP="00C21519">
      <w:pPr>
        <w:pStyle w:val="NumPar10000000"/>
        <w:numPr>
          <w:ilvl w:val="0"/>
          <w:numId w:val="180"/>
        </w:numPr>
        <w:rPr>
          <w:noProof/>
        </w:rPr>
      </w:pPr>
      <w:r w:rsidRPr="00D207EA">
        <w:rPr>
          <w:noProof/>
        </w:rPr>
        <w:t>Le soutien apporté par les États membres visé au paragraphe 1 en ce qui concerne les opérations relevant du champ d’application de l’article 42 du traité FUE et destiné à fournir un financement supplémentaire pour les interventions visées à l’article </w:t>
      </w:r>
      <w:bookmarkStart w:id="15" w:name="_Hlk203489760"/>
      <w:r w:rsidRPr="00D207EA">
        <w:rPr>
          <w:noProof/>
        </w:rPr>
        <w:t xml:space="preserve">35, paragraphe 1, points d), e), f) et h) à r), du </w:t>
      </w:r>
      <w:bookmarkEnd w:id="15"/>
      <w:r w:rsidRPr="00D207EA">
        <w:rPr>
          <w:noProof/>
        </w:rPr>
        <w:t>présent règlement pour lesquelles un soutien de l’Union est accordé à tout moment au cours de la période couverte par le plan ne peut être apporté que s’il est conforme au présent règlement, au règlement (UE) ... [règlement relatif à la PAC] et au règlement (UE) nº 1308/2013, et exposé dans le plan PNR.</w:t>
      </w:r>
    </w:p>
    <w:p w14:paraId="3026E217" w14:textId="735E3739" w:rsidR="005C0564" w:rsidRPr="00D207EA" w:rsidRDefault="005C0564" w:rsidP="00C21519">
      <w:pPr>
        <w:pStyle w:val="NumPar10000000"/>
        <w:numPr>
          <w:ilvl w:val="0"/>
          <w:numId w:val="180"/>
        </w:numPr>
        <w:rPr>
          <w:noProof/>
        </w:rPr>
      </w:pPr>
      <w:r w:rsidRPr="00D207EA">
        <w:rPr>
          <w:noProof/>
        </w:rPr>
        <w:t>Les États membres ne fournissent pas de financement national supplémentaire pour les interventions visées à l’article 35, paragraphe 1, points a), b), c) et g), du présent règlement.</w:t>
      </w:r>
    </w:p>
    <w:p w14:paraId="5EBC5602" w14:textId="77777777" w:rsidR="00B100E2" w:rsidRPr="00D207EA" w:rsidRDefault="00B100E2" w:rsidP="00C21519">
      <w:pPr>
        <w:pStyle w:val="NumPar10000000"/>
        <w:numPr>
          <w:ilvl w:val="0"/>
          <w:numId w:val="180"/>
        </w:numPr>
        <w:rPr>
          <w:noProof/>
        </w:rPr>
      </w:pPr>
      <w:r w:rsidRPr="00D207EA">
        <w:rPr>
          <w:noProof/>
        </w:rPr>
        <w:t>Pour les produits de l’agriculture, de la pêche et de l’aquaculture relevant de l’annexe I du traité FUE, auxquels s’appliquent les articles 107, 108 et 109 dudit traité, la Commission peut autoriser, conformément à l’article 108 du traité FUE, des aides au fonctionnement dans les secteurs de la production, de la transformation et de la commercialisation de ces produits, afin d’alléger les contraintes spécifiques de la production de l’agriculture, de la pêche et de l’aquaculture dans les régions ultrapériphériques et les îles mineures de la mer Égée, liées à l’isolement, à l’insularité, à la faible superficie et à l’ultrapériphéricité de ces régions.</w:t>
      </w:r>
    </w:p>
    <w:p w14:paraId="7A3C79C4" w14:textId="77777777" w:rsidR="00B100E2" w:rsidRPr="00D207EA" w:rsidRDefault="00B100E2" w:rsidP="000661C9">
      <w:pPr>
        <w:pStyle w:val="Text1"/>
        <w:rPr>
          <w:noProof/>
        </w:rPr>
      </w:pPr>
      <w:r w:rsidRPr="00D207EA">
        <w:rPr>
          <w:noProof/>
        </w:rPr>
        <w:t>Les États membres peuvent accorder au titre du présent règlement un financement supplémentaire pour la mise en œuvre des interventions dans les régions ultrapériphériques et les îles mineures de la mer Égée. Dans ce cas, les États membres notifient le financement supplémentaire à la Commission et celle-ci peut l’approuver conformément au présent règlement, dans le cadre des plans. De cette façon, l’aide qui a fait l’objet de la notification est réputée notifiée au sens de l’article 108, paragraphe 3, du traité FUE.</w:t>
      </w:r>
    </w:p>
    <w:p w14:paraId="7D185BBF" w14:textId="77777777" w:rsidR="00B100E2" w:rsidRPr="00D207EA" w:rsidRDefault="00B100E2" w:rsidP="00C21519">
      <w:pPr>
        <w:pStyle w:val="NumPar10000000"/>
        <w:numPr>
          <w:ilvl w:val="0"/>
          <w:numId w:val="180"/>
        </w:numPr>
        <w:rPr>
          <w:noProof/>
        </w:rPr>
      </w:pPr>
      <w:r w:rsidRPr="00D207EA">
        <w:rPr>
          <w:noProof/>
        </w:rPr>
        <w:t>Par dérogation à l’article 211 du règlement (UE) nº 1308/2013 et à l’article 3 du règlement (CE) nº 1184/2006 du Conseil</w:t>
      </w:r>
      <w:r w:rsidR="00180A5F" w:rsidRPr="00D207EA">
        <w:rPr>
          <w:rStyle w:val="FootnoteReference"/>
          <w:noProof/>
        </w:rPr>
        <w:footnoteReference w:id="29"/>
      </w:r>
      <w:r w:rsidRPr="00D207EA">
        <w:rPr>
          <w:noProof/>
        </w:rPr>
        <w:t>, les articles 107, 108 et 109 du traité FUE ne s’appliquent pas aux paiements destinés à soutenir la production agricole locale et aux régimes spécifiques d’approvisionnement effectués par les États membres conformément au présent règlement.</w:t>
      </w:r>
    </w:p>
    <w:p w14:paraId="2A849EDB" w14:textId="77777777" w:rsidR="00077A87" w:rsidRPr="00D207EA" w:rsidRDefault="00077A87" w:rsidP="00077A87">
      <w:pPr>
        <w:pStyle w:val="ChapterTitle0"/>
        <w:rPr>
          <w:noProof/>
        </w:rPr>
      </w:pPr>
      <w:r w:rsidRPr="00D207EA">
        <w:rPr>
          <w:noProof/>
        </w:rPr>
        <w:t>CHAPITRE 2</w:t>
      </w:r>
      <w:r w:rsidRPr="00D207EA">
        <w:rPr>
          <w:noProof/>
        </w:rPr>
        <w:br/>
        <w:t>Délégation et procédure de comité</w:t>
      </w:r>
    </w:p>
    <w:p w14:paraId="3CCF03C3" w14:textId="77777777" w:rsidR="00B100E2" w:rsidRPr="00D207EA" w:rsidRDefault="00B100E2" w:rsidP="00B100E2">
      <w:pPr>
        <w:pStyle w:val="Titlearticle"/>
        <w:rPr>
          <w:b/>
          <w:noProof/>
        </w:rPr>
      </w:pPr>
      <w:r w:rsidRPr="00D207EA">
        <w:rPr>
          <w:noProof/>
        </w:rPr>
        <w:t>Article 86</w:t>
      </w:r>
      <w:r w:rsidRPr="00D207EA">
        <w:rPr>
          <w:noProof/>
        </w:rPr>
        <w:br/>
      </w:r>
      <w:r w:rsidRPr="00D207EA">
        <w:rPr>
          <w:b/>
          <w:noProof/>
        </w:rPr>
        <w:t>Délégation de pouvoir en ce qui concerne les modifications de certains articles et de certaines annexes</w:t>
      </w:r>
    </w:p>
    <w:p w14:paraId="6CD01F43" w14:textId="77777777" w:rsidR="00232111" w:rsidRPr="00D207EA" w:rsidRDefault="3B19D6C2" w:rsidP="00DE2C4D">
      <w:pPr>
        <w:rPr>
          <w:noProof/>
        </w:rPr>
      </w:pPr>
      <w:r w:rsidRPr="00D207EA">
        <w:rPr>
          <w:noProof/>
        </w:rPr>
        <w:t>La Commission est habilitée à adopter des actes délégués conformément à l’article 87 [Exercice de la délégation] afin de modifier les articles 48 [Soutien aux produits locaux de l’agriculture, de la pêche et de l’aquaculture], 58 [Responsabilités des États membres, communication des irrégularités], 62 [calcul des sanctions pour la gérance], 63 [collecte et enregistrement des données], 70 [SIGC], les annexes VIII [respect des valeurs intermédiaires et des valeurs cibles], IX [état d’avancement de la mise en œuvre], XI [demande de paiement], XV [actions de l’Union], XIV [corrections financières], du présent règlement afin de les adapter aux changements intervenus au cours de la période de programmation.</w:t>
      </w:r>
    </w:p>
    <w:p w14:paraId="074C3BDD" w14:textId="77777777" w:rsidR="00B100E2" w:rsidRPr="00D207EA" w:rsidRDefault="00B100E2" w:rsidP="00B100E2">
      <w:pPr>
        <w:pStyle w:val="Titlearticle"/>
        <w:rPr>
          <w:noProof/>
        </w:rPr>
      </w:pPr>
      <w:r w:rsidRPr="00D207EA">
        <w:rPr>
          <w:noProof/>
        </w:rPr>
        <w:t>Article 87</w:t>
      </w:r>
      <w:r w:rsidRPr="00D207EA">
        <w:rPr>
          <w:noProof/>
        </w:rPr>
        <w:br/>
      </w:r>
      <w:r w:rsidRPr="00D207EA">
        <w:rPr>
          <w:b/>
          <w:noProof/>
        </w:rPr>
        <w:t>Exercice de la délégation</w:t>
      </w:r>
    </w:p>
    <w:p w14:paraId="12A13DC4" w14:textId="77777777" w:rsidR="00232111" w:rsidRPr="00D207EA" w:rsidRDefault="00232111" w:rsidP="00C21519">
      <w:pPr>
        <w:pStyle w:val="NumPar10000000"/>
        <w:numPr>
          <w:ilvl w:val="0"/>
          <w:numId w:val="107"/>
        </w:numPr>
        <w:rPr>
          <w:noProof/>
        </w:rPr>
      </w:pPr>
      <w:r w:rsidRPr="00D207EA">
        <w:rPr>
          <w:noProof/>
        </w:rPr>
        <w:t>Le pouvoir d’adopter des actes délégués conféré à la Commission est soumis aux conditions fixées au présent article.</w:t>
      </w:r>
    </w:p>
    <w:p w14:paraId="4ECB4FAF" w14:textId="77777777" w:rsidR="00232111" w:rsidRPr="00D207EA" w:rsidRDefault="00232111" w:rsidP="00C21519">
      <w:pPr>
        <w:pStyle w:val="NumPar10000000"/>
        <w:numPr>
          <w:ilvl w:val="0"/>
          <w:numId w:val="180"/>
        </w:numPr>
        <w:rPr>
          <w:noProof/>
        </w:rPr>
      </w:pPr>
      <w:r w:rsidRPr="00D207EA">
        <w:rPr>
          <w:noProof/>
        </w:rPr>
        <w:t>Le pouvoir d’adopter des actes délégués visé à l’article 86 est conféré à la Commission pour une durée indéterminée à compter de la date d’entrée en vigueur du présent règlement.</w:t>
      </w:r>
    </w:p>
    <w:p w14:paraId="68BCD15A" w14:textId="77777777" w:rsidR="00232111" w:rsidRPr="00D207EA" w:rsidRDefault="00232111" w:rsidP="00C21519">
      <w:pPr>
        <w:pStyle w:val="NumPar10000000"/>
        <w:numPr>
          <w:ilvl w:val="0"/>
          <w:numId w:val="180"/>
        </w:numPr>
        <w:rPr>
          <w:noProof/>
        </w:rPr>
      </w:pPr>
      <w:r w:rsidRPr="00D207EA">
        <w:rPr>
          <w:noProof/>
        </w:rPr>
        <w:t xml:space="preserve">Les délégations de pouvoir visées à l’article 86 peuvent être révoquées à tout moment par le Parlement européen ou le Conseil. La décision de révocation met fin à la délégation du pouvoir qui y est précisée. La révocation prend effet le jour suivant celui de la publication de ladite décision au </w:t>
      </w:r>
      <w:r w:rsidRPr="00D207EA">
        <w:rPr>
          <w:i/>
          <w:noProof/>
        </w:rPr>
        <w:t>Journal officiel de l’Union européenne</w:t>
      </w:r>
      <w:r w:rsidRPr="00D207EA">
        <w:rPr>
          <w:noProof/>
        </w:rPr>
        <w:t xml:space="preserve"> ou à une date ultérieure qui est précisée dans ladite décision. Elle ne porte pas atteinte à la validité des actes délégués déjà en vigueur.</w:t>
      </w:r>
    </w:p>
    <w:p w14:paraId="2EB84F4D" w14:textId="77777777" w:rsidR="00232111" w:rsidRPr="00D207EA" w:rsidRDefault="00232111" w:rsidP="00C21519">
      <w:pPr>
        <w:pStyle w:val="NumPar10000000"/>
        <w:numPr>
          <w:ilvl w:val="0"/>
          <w:numId w:val="180"/>
        </w:numPr>
        <w:rPr>
          <w:noProof/>
        </w:rPr>
      </w:pPr>
      <w:r w:rsidRPr="00D207EA">
        <w:rPr>
          <w:noProof/>
        </w:rPr>
        <w:t>Avant l’adoption d’un acte délégué, la Commission consulte les experts désignés par chaque État membre, conformément aux principes définis dans l’accord interinstitutionnel du 13 avril 2016 «Mieux légiférer».</w:t>
      </w:r>
    </w:p>
    <w:p w14:paraId="6FC6FC22" w14:textId="77777777" w:rsidR="00232111" w:rsidRPr="00D207EA" w:rsidRDefault="00232111" w:rsidP="00C21519">
      <w:pPr>
        <w:pStyle w:val="NumPar10000000"/>
        <w:numPr>
          <w:ilvl w:val="0"/>
          <w:numId w:val="180"/>
        </w:numPr>
        <w:rPr>
          <w:noProof/>
        </w:rPr>
      </w:pPr>
      <w:r w:rsidRPr="00D207EA">
        <w:rPr>
          <w:noProof/>
        </w:rPr>
        <w:t>Aussitôt qu’elle adopte un acte délégué, la Commission le notifie au Parlement européen et au Conseil simultanément.</w:t>
      </w:r>
    </w:p>
    <w:p w14:paraId="3FC3A946" w14:textId="77777777" w:rsidR="00232111" w:rsidRPr="00D207EA" w:rsidRDefault="00232111" w:rsidP="00C21519">
      <w:pPr>
        <w:pStyle w:val="NumPar10000000"/>
        <w:numPr>
          <w:ilvl w:val="0"/>
          <w:numId w:val="180"/>
        </w:numPr>
        <w:rPr>
          <w:noProof/>
        </w:rPr>
      </w:pPr>
      <w:r w:rsidRPr="00D207EA">
        <w:rPr>
          <w:noProof/>
        </w:rPr>
        <w:t>Un acte délégué adopté en vertu du paragraphe 5 n’entre en vigueur que si le Parlement européen ou le Conseil n’a pas exprimé d’objections dans un délai d’un mois à compter de la notification de cet acte au Parlement européen et au Conseil ou si, avant l’expiration de ce délai, le Parlement européen et le Conseil ont tous deux informé la Commission de leur intention de ne pas exprimer d’objections. Ce délai est prolongé d’un mois à l’initiative du Parlement européen ou du Conseil.</w:t>
      </w:r>
    </w:p>
    <w:p w14:paraId="5041C542" w14:textId="77777777" w:rsidR="00232111" w:rsidRPr="00D207EA" w:rsidRDefault="00232111" w:rsidP="00C21519">
      <w:pPr>
        <w:pStyle w:val="NumPar10000000"/>
        <w:numPr>
          <w:ilvl w:val="0"/>
          <w:numId w:val="180"/>
        </w:numPr>
        <w:rPr>
          <w:noProof/>
        </w:rPr>
      </w:pPr>
      <w:r w:rsidRPr="00D207EA">
        <w:rPr>
          <w:noProof/>
        </w:rPr>
        <w:t>Le pouvoir d’adopter un acte délégué en vue d’établir un code de conduite européen sur le partenariat conféré à la Commission par l’article 5, paragraphe 3, du règlement (UE) nº 1303/2013</w:t>
      </w:r>
      <w:r w:rsidR="00E2310C" w:rsidRPr="00D207EA">
        <w:rPr>
          <w:rStyle w:val="FootnoteReference"/>
          <w:noProof/>
        </w:rPr>
        <w:footnoteReference w:id="30"/>
      </w:r>
      <w:r w:rsidRPr="00D207EA">
        <w:rPr>
          <w:noProof/>
        </w:rPr>
        <w:t xml:space="preserve"> reste en vigueur pendant la période de programmation 2028-202X. La délégation de pouvoir est exercée conformément à l’article 86 du présent règlement.</w:t>
      </w:r>
    </w:p>
    <w:p w14:paraId="06396539" w14:textId="77777777" w:rsidR="00D54C0F" w:rsidRPr="00D207EA" w:rsidRDefault="2F696797" w:rsidP="005952C8">
      <w:pPr>
        <w:pStyle w:val="Titlearticle"/>
        <w:rPr>
          <w:noProof/>
        </w:rPr>
      </w:pPr>
      <w:r w:rsidRPr="00D207EA">
        <w:rPr>
          <w:noProof/>
        </w:rPr>
        <w:t>Article 88</w:t>
      </w:r>
      <w:r w:rsidRPr="00D207EA">
        <w:rPr>
          <w:noProof/>
        </w:rPr>
        <w:br/>
      </w:r>
      <w:r w:rsidRPr="00D207EA">
        <w:rPr>
          <w:b/>
          <w:noProof/>
        </w:rPr>
        <w:t>Procédure de comité</w:t>
      </w:r>
    </w:p>
    <w:p w14:paraId="62ECF2ED" w14:textId="77777777" w:rsidR="00D54C0F" w:rsidRPr="00D207EA" w:rsidRDefault="00D54C0F" w:rsidP="00C21519">
      <w:pPr>
        <w:pStyle w:val="NumPar10000000"/>
        <w:numPr>
          <w:ilvl w:val="0"/>
          <w:numId w:val="108"/>
        </w:numPr>
        <w:rPr>
          <w:noProof/>
        </w:rPr>
      </w:pPr>
      <w:r w:rsidRPr="00D207EA">
        <w:rPr>
          <w:noProof/>
        </w:rPr>
        <w:t>La Commission est assistée par un comité. Ledit comité est un comité au sens du règlement (UE) nº 182/2011.</w:t>
      </w:r>
    </w:p>
    <w:p w14:paraId="37306948" w14:textId="77777777" w:rsidR="00D54C0F" w:rsidRPr="00D207EA" w:rsidRDefault="00D54C0F" w:rsidP="00C21519">
      <w:pPr>
        <w:pStyle w:val="NumPar10000000"/>
        <w:numPr>
          <w:ilvl w:val="0"/>
          <w:numId w:val="180"/>
        </w:numPr>
        <w:rPr>
          <w:noProof/>
        </w:rPr>
      </w:pPr>
      <w:r w:rsidRPr="00D207EA">
        <w:rPr>
          <w:noProof/>
        </w:rPr>
        <w:t>Lorsqu’il est fait référence au présent paragraphe, l’article 4 du règlement (UE) nº 182/2011 s’applique.</w:t>
      </w:r>
    </w:p>
    <w:p w14:paraId="5743BA4F" w14:textId="77777777" w:rsidR="00232111" w:rsidRPr="00D207EA" w:rsidRDefault="00D54C0F" w:rsidP="00C21519">
      <w:pPr>
        <w:pStyle w:val="NumPar10000000"/>
        <w:numPr>
          <w:ilvl w:val="0"/>
          <w:numId w:val="180"/>
        </w:numPr>
        <w:rPr>
          <w:noProof/>
        </w:rPr>
      </w:pPr>
      <w:r w:rsidRPr="00D207EA">
        <w:rPr>
          <w:noProof/>
        </w:rPr>
        <w:t>Lorsqu’il est fait référence au présent paragraphe, l’article 5 du règlement (UE) nº 182/2011 s’applique.</w:t>
      </w:r>
    </w:p>
    <w:p w14:paraId="5C4F49A8" w14:textId="77777777" w:rsidR="00232111" w:rsidRPr="00D207EA" w:rsidRDefault="00232111" w:rsidP="00232111">
      <w:pPr>
        <w:pStyle w:val="ChapterTitle0"/>
        <w:rPr>
          <w:noProof/>
        </w:rPr>
      </w:pPr>
      <w:r w:rsidRPr="00D207EA">
        <w:rPr>
          <w:noProof/>
        </w:rPr>
        <w:t>CHAPITRE 3</w:t>
      </w:r>
      <w:r w:rsidRPr="00D207EA">
        <w:rPr>
          <w:noProof/>
        </w:rPr>
        <w:br/>
        <w:t>Règlement (UE, Euratom) 2024/2509</w:t>
      </w:r>
    </w:p>
    <w:p w14:paraId="68C98D84" w14:textId="77777777" w:rsidR="00B100E2" w:rsidRPr="00D207EA" w:rsidRDefault="00B100E2" w:rsidP="2B51165D">
      <w:pPr>
        <w:pStyle w:val="Titlearticle"/>
        <w:rPr>
          <w:b/>
          <w:noProof/>
        </w:rPr>
      </w:pPr>
      <w:r w:rsidRPr="00D207EA">
        <w:rPr>
          <w:noProof/>
        </w:rPr>
        <w:t>Article 89</w:t>
      </w:r>
      <w:r w:rsidRPr="00D207EA">
        <w:rPr>
          <w:noProof/>
        </w:rPr>
        <w:br/>
      </w:r>
      <w:r w:rsidRPr="00D207EA">
        <w:rPr>
          <w:b/>
          <w:noProof/>
        </w:rPr>
        <w:t>Modifications du règlement (UE, Euratom) 2024/2509</w:t>
      </w:r>
    </w:p>
    <w:p w14:paraId="1746F8D7" w14:textId="77777777" w:rsidR="000B180C" w:rsidRPr="00D207EA" w:rsidRDefault="007345C2" w:rsidP="00DE2C4D">
      <w:pPr>
        <w:rPr>
          <w:noProof/>
        </w:rPr>
      </w:pPr>
      <w:r w:rsidRPr="00D207EA">
        <w:rPr>
          <w:noProof/>
        </w:rPr>
        <w:t xml:space="preserve">L’article 63 du règlement (UE, Euratom) 2024/2509 est modifié comme suit: </w:t>
      </w:r>
    </w:p>
    <w:p w14:paraId="18C51B90" w14:textId="6FDF2D77" w:rsidR="000B180C" w:rsidRPr="00D207EA" w:rsidRDefault="008D666E" w:rsidP="008D666E">
      <w:pPr>
        <w:pStyle w:val="Point0"/>
        <w:rPr>
          <w:noProof/>
        </w:rPr>
      </w:pPr>
      <w:r w:rsidRPr="008D666E">
        <w:rPr>
          <w:noProof/>
        </w:rPr>
        <w:t>(1)</w:t>
      </w:r>
      <w:r w:rsidRPr="008D666E">
        <w:rPr>
          <w:noProof/>
        </w:rPr>
        <w:tab/>
      </w:r>
      <w:r w:rsidR="000B180C" w:rsidRPr="00D207EA">
        <w:rPr>
          <w:noProof/>
        </w:rPr>
        <w:t>au paragraphe 5, le point a) est remplacé par le texte suivant:</w:t>
      </w:r>
    </w:p>
    <w:p w14:paraId="5CBF136A" w14:textId="77777777" w:rsidR="000B180C" w:rsidRPr="00D207EA" w:rsidRDefault="000B180C" w:rsidP="004C6E3D">
      <w:pPr>
        <w:pStyle w:val="Text1"/>
        <w:rPr>
          <w:noProof/>
        </w:rPr>
      </w:pPr>
      <w:r w:rsidRPr="00D207EA">
        <w:rPr>
          <w:noProof/>
        </w:rPr>
        <w:t>«a) des informations donnant une image fidèle de l’état d’avancement de la mise en œuvre au cours de la période de référence définie dans la réglementation sectorielle, ou leur comptabilité relative aux dépenses engagées au cours de la période de référence définie dans la réglementation sectorielle, dans le cadre de l’exécution de leurs tâches, et qui ont été présentées à la Commission en vue d’un remboursement;»</w:t>
      </w:r>
    </w:p>
    <w:p w14:paraId="2958BAE0" w14:textId="353FE91F" w:rsidR="000B180C" w:rsidRPr="00D207EA" w:rsidRDefault="008D666E" w:rsidP="008D666E">
      <w:pPr>
        <w:pStyle w:val="Point0"/>
        <w:rPr>
          <w:noProof/>
        </w:rPr>
      </w:pPr>
      <w:r w:rsidRPr="008D666E">
        <w:rPr>
          <w:noProof/>
        </w:rPr>
        <w:t>(2)</w:t>
      </w:r>
      <w:r w:rsidRPr="008D666E">
        <w:rPr>
          <w:noProof/>
        </w:rPr>
        <w:tab/>
      </w:r>
      <w:r w:rsidR="000B180C" w:rsidRPr="00D207EA">
        <w:rPr>
          <w:noProof/>
        </w:rPr>
        <w:t xml:space="preserve">Le paragraphe 6 est remplacé par le texte suivant: </w:t>
      </w:r>
    </w:p>
    <w:p w14:paraId="4C05F665" w14:textId="77777777" w:rsidR="000B180C" w:rsidRPr="00D207EA" w:rsidRDefault="000B180C" w:rsidP="004C6E3D">
      <w:pPr>
        <w:pStyle w:val="Text1"/>
        <w:rPr>
          <w:noProof/>
        </w:rPr>
      </w:pPr>
      <w:r w:rsidRPr="00D207EA">
        <w:rPr>
          <w:noProof/>
        </w:rPr>
        <w:t>«6. La comptabilité visée au paragraphe 5, point a), comprend le préfinancement et les montants pour lesquels des procédures de recouvrement sont en cours ou terminées. Les informations ou la comptabilité visées au paragraphe 5, point a), sont assorties d’une déclaration de gestion confirmant que, selon les responsables de la gestion des fonds:</w:t>
      </w:r>
    </w:p>
    <w:p w14:paraId="1BCA646C" w14:textId="77777777" w:rsidR="000B180C" w:rsidRPr="00D207EA" w:rsidRDefault="000B180C" w:rsidP="004C6E3D">
      <w:pPr>
        <w:pStyle w:val="Text1"/>
        <w:rPr>
          <w:noProof/>
        </w:rPr>
      </w:pPr>
      <w:r w:rsidRPr="00D207EA">
        <w:rPr>
          <w:noProof/>
        </w:rPr>
        <w:t>a) les informations qui y figurent, y compris celles visées au paragraphe 5, point a), sont présentées de manière appropriée et sont complètes et exactes;</w:t>
      </w:r>
    </w:p>
    <w:p w14:paraId="3E7B5402" w14:textId="77777777" w:rsidR="000B180C" w:rsidRPr="00D207EA" w:rsidRDefault="000B180C" w:rsidP="004C6E3D">
      <w:pPr>
        <w:pStyle w:val="Text1"/>
        <w:rPr>
          <w:noProof/>
        </w:rPr>
      </w:pPr>
      <w:r w:rsidRPr="00D207EA">
        <w:rPr>
          <w:noProof/>
        </w:rPr>
        <w:t>b) les crédits ont été utilisés aux fins prévues, ou les montants pour lesquels un paiement a été demandé à la Commission étaient conformes aux conditions de paiement, telles que définies dans la réglementation sectorielle;</w:t>
      </w:r>
    </w:p>
    <w:p w14:paraId="1C52A33A" w14:textId="77777777" w:rsidR="000B180C" w:rsidRPr="00D207EA" w:rsidRDefault="000B180C" w:rsidP="004C6E3D">
      <w:pPr>
        <w:pStyle w:val="Text1"/>
        <w:rPr>
          <w:noProof/>
        </w:rPr>
      </w:pPr>
      <w:r w:rsidRPr="00D207EA">
        <w:rPr>
          <w:noProof/>
        </w:rPr>
        <w:t>c) les systèmes de contrôle mis en place garantissent la légalité et la régularité des opérations sous-jacentes.»</w:t>
      </w:r>
    </w:p>
    <w:p w14:paraId="294C9B06" w14:textId="11AD025A" w:rsidR="000B180C" w:rsidRPr="00D207EA" w:rsidRDefault="008D666E" w:rsidP="008D666E">
      <w:pPr>
        <w:pStyle w:val="Point0"/>
        <w:rPr>
          <w:noProof/>
        </w:rPr>
      </w:pPr>
      <w:r w:rsidRPr="008D666E">
        <w:rPr>
          <w:noProof/>
        </w:rPr>
        <w:t>(3)</w:t>
      </w:r>
      <w:r w:rsidRPr="008D666E">
        <w:rPr>
          <w:noProof/>
        </w:rPr>
        <w:tab/>
      </w:r>
      <w:r w:rsidR="00BC747C" w:rsidRPr="00D207EA">
        <w:rPr>
          <w:noProof/>
        </w:rPr>
        <w:t xml:space="preserve">au paragraphe 7, le premier alinéa est remplacé par le texte suivant: </w:t>
      </w:r>
    </w:p>
    <w:p w14:paraId="7AE3FC6F" w14:textId="77777777" w:rsidR="000B180C" w:rsidRPr="00D207EA" w:rsidRDefault="000B180C" w:rsidP="00496549">
      <w:pPr>
        <w:pStyle w:val="Text1"/>
        <w:rPr>
          <w:noProof/>
        </w:rPr>
      </w:pPr>
      <w:r w:rsidRPr="00D207EA">
        <w:rPr>
          <w:noProof/>
        </w:rPr>
        <w:t xml:space="preserve">«La comptabilité visée au paragraphe 5, point a), ou les informations sur la base desquelles le paiement a été demandé à la Commission, et le résumé visé audit paragraphe, point b), s’accompagnent d’un avis émis par un organisme d’audit indépendant rédigé conformément aux normes internationalement admises en matière d’audit. Cet avis établit si les systèmes de contrôle mis en place fonctionnent correctement et garantissent la légalité et la régularité des opérations sous-jacentes et indique si le travail d’audit met en doute les affirmations formulées dans la déclaration de gestion visée au paragraphe 6. Il établit également si la comptabilité ou les informations sur la base desquelles le paiement a été demandé à la Commission donnent une image fidèle et si l’utilisation des fonds est conforme au droit applicable ou si les dépenses pour lesquelles un remboursement a été demandé à la Commission sont légales et régulières.» </w:t>
      </w:r>
    </w:p>
    <w:p w14:paraId="17582490" w14:textId="77777777" w:rsidR="000B180C" w:rsidRPr="00D207EA" w:rsidRDefault="000B180C" w:rsidP="000B180C">
      <w:pPr>
        <w:pStyle w:val="ChapterTitle0"/>
        <w:rPr>
          <w:noProof/>
        </w:rPr>
      </w:pPr>
      <w:r w:rsidRPr="00D207EA">
        <w:rPr>
          <w:noProof/>
        </w:rPr>
        <w:t>CHAPITRE 4</w:t>
      </w:r>
      <w:r w:rsidRPr="00D207EA">
        <w:rPr>
          <w:noProof/>
        </w:rPr>
        <w:br/>
        <w:t>Dispositions finales</w:t>
      </w:r>
    </w:p>
    <w:p w14:paraId="2B7F7411" w14:textId="77777777" w:rsidR="00B100E2" w:rsidRPr="00D207EA" w:rsidRDefault="00B100E2" w:rsidP="00B100E2">
      <w:pPr>
        <w:pStyle w:val="Titlearticle"/>
        <w:rPr>
          <w:noProof/>
        </w:rPr>
      </w:pPr>
      <w:r w:rsidRPr="00D207EA">
        <w:rPr>
          <w:noProof/>
        </w:rPr>
        <w:t>Article 90</w:t>
      </w:r>
      <w:r w:rsidRPr="00D207EA">
        <w:rPr>
          <w:noProof/>
        </w:rPr>
        <w:br/>
      </w:r>
      <w:r w:rsidRPr="00D207EA">
        <w:rPr>
          <w:b/>
          <w:noProof/>
        </w:rPr>
        <w:t>Entrée en vigueur</w:t>
      </w:r>
    </w:p>
    <w:p w14:paraId="53947C27" w14:textId="312E7D81" w:rsidR="00B100E2" w:rsidRPr="00D207EA" w:rsidRDefault="000B180C" w:rsidP="00DE2C4D">
      <w:pPr>
        <w:rPr>
          <w:noProof/>
        </w:rPr>
      </w:pPr>
      <w:r w:rsidRPr="00D207EA">
        <w:rPr>
          <w:noProof/>
        </w:rPr>
        <w:t xml:space="preserve">Le présent règlement entre en vigueur le jour suivant celui de sa publication au </w:t>
      </w:r>
      <w:r w:rsidRPr="00D207EA">
        <w:rPr>
          <w:i/>
          <w:noProof/>
        </w:rPr>
        <w:t>Journal officiel de l’Union européenne</w:t>
      </w:r>
      <w:r w:rsidRPr="00D207EA">
        <w:rPr>
          <w:noProof/>
        </w:rPr>
        <w:t>.</w:t>
      </w:r>
    </w:p>
    <w:p w14:paraId="026BC50E" w14:textId="77777777" w:rsidR="00186A9E" w:rsidRPr="00D207EA" w:rsidRDefault="00186A9E">
      <w:pPr>
        <w:pStyle w:val="Applicationdirecte"/>
        <w:rPr>
          <w:noProof/>
        </w:rPr>
      </w:pPr>
      <w:r w:rsidRPr="00D207EA">
        <w:rPr>
          <w:noProof/>
        </w:rPr>
        <w:t>Le présent règlement est obligatoire dans tous ses éléments et directement applicable dans tout État membre.</w:t>
      </w:r>
    </w:p>
    <w:p w14:paraId="7B73583D" w14:textId="77F4A1D1" w:rsidR="00186A9E" w:rsidRPr="00D207EA" w:rsidRDefault="009F585D" w:rsidP="00816642">
      <w:pPr>
        <w:pStyle w:val="Fait"/>
        <w:rPr>
          <w:noProof/>
        </w:rPr>
      </w:pPr>
      <w:r>
        <w:rPr>
          <w:noProof/>
        </w:rPr>
        <w:t>Fait à Bruxelles, le</w:t>
      </w:r>
    </w:p>
    <w:p w14:paraId="130D182C" w14:textId="77777777" w:rsidR="00186A9E" w:rsidRPr="00D207EA" w:rsidRDefault="00186A9E" w:rsidP="00816642">
      <w:pPr>
        <w:pStyle w:val="Institutionquisigne"/>
        <w:rPr>
          <w:noProof/>
        </w:rPr>
      </w:pPr>
      <w:r w:rsidRPr="00D207EA">
        <w:rPr>
          <w:noProof/>
        </w:rPr>
        <w:t>Par le Parlement européen</w:t>
      </w:r>
      <w:r w:rsidRPr="00D207EA">
        <w:rPr>
          <w:noProof/>
        </w:rPr>
        <w:tab/>
        <w:t>Par le Conseil</w:t>
      </w:r>
    </w:p>
    <w:p w14:paraId="78650BB3" w14:textId="77777777" w:rsidR="00186A9E" w:rsidRPr="00D207EA" w:rsidRDefault="00186A9E" w:rsidP="00186A9E">
      <w:pPr>
        <w:pStyle w:val="Personnequisigne"/>
        <w:rPr>
          <w:noProof/>
        </w:rPr>
      </w:pPr>
      <w:r w:rsidRPr="00D207EA">
        <w:rPr>
          <w:noProof/>
        </w:rPr>
        <w:t>Le président</w:t>
      </w:r>
      <w:r w:rsidRPr="00D207EA">
        <w:rPr>
          <w:noProof/>
        </w:rPr>
        <w:tab/>
        <w:t>Le président</w:t>
      </w:r>
    </w:p>
    <w:p w14:paraId="577EC950" w14:textId="77777777" w:rsidR="00186A9E" w:rsidRPr="00D207EA" w:rsidRDefault="00186A9E" w:rsidP="00186A9E">
      <w:pPr>
        <w:rPr>
          <w:noProof/>
        </w:rPr>
        <w:sectPr w:rsidR="00186A9E" w:rsidRPr="00D207EA" w:rsidSect="00972E68">
          <w:pgSz w:w="11907" w:h="16839"/>
          <w:pgMar w:top="1134" w:right="1417" w:bottom="1134" w:left="1417" w:header="709" w:footer="709" w:gutter="0"/>
          <w:cols w:space="708"/>
          <w:docGrid w:linePitch="360"/>
        </w:sectPr>
      </w:pPr>
    </w:p>
    <w:p w14:paraId="35FDE27F" w14:textId="77777777" w:rsidR="004A489F" w:rsidRPr="00D207EA" w:rsidRDefault="004A489F" w:rsidP="004A489F">
      <w:pPr>
        <w:pStyle w:val="Fichefinanciretitre"/>
        <w:keepNext/>
        <w:rPr>
          <w:noProof/>
        </w:rPr>
      </w:pPr>
      <w:r w:rsidRPr="00D207EA">
        <w:rPr>
          <w:noProof/>
        </w:rPr>
        <w:t>FICHE FINANCIÈRE ET NUMÉRIQUE LÉGISLATIVE</w:t>
      </w:r>
    </w:p>
    <w:p w14:paraId="67E6F335" w14:textId="77777777" w:rsidR="004A489F" w:rsidRPr="00D207EA" w:rsidRDefault="004A489F" w:rsidP="004A489F">
      <w:pPr>
        <w:pStyle w:val="TOC1"/>
        <w:rPr>
          <w:rFonts w:asciiTheme="minorHAnsi" w:eastAsiaTheme="minorEastAsia" w:hAnsiTheme="minorHAnsi" w:cstheme="minorBidi"/>
          <w:noProof/>
          <w:kern w:val="2"/>
          <w:sz w:val="22"/>
          <w14:ligatures w14:val="standardContextual"/>
        </w:rPr>
      </w:pPr>
      <w:r w:rsidRPr="00D207EA">
        <w:rPr>
          <w:noProof/>
        </w:rPr>
        <w:t>1.</w:t>
      </w:r>
      <w:r w:rsidRPr="00D207EA">
        <w:rPr>
          <w:rFonts w:asciiTheme="minorHAnsi" w:hAnsiTheme="minorHAnsi"/>
          <w:noProof/>
          <w:sz w:val="22"/>
        </w:rPr>
        <w:tab/>
      </w:r>
      <w:r w:rsidRPr="00D207EA">
        <w:rPr>
          <w:noProof/>
        </w:rPr>
        <w:t>CADRE DE LA PROPOSITION/DE L’INITIATIVE</w:t>
      </w:r>
      <w:r w:rsidRPr="00D207EA">
        <w:rPr>
          <w:noProof/>
          <w:webHidden/>
        </w:rPr>
        <w:tab/>
        <w:t>3</w:t>
      </w:r>
    </w:p>
    <w:p w14:paraId="220D26A0" w14:textId="77777777" w:rsidR="004A489F" w:rsidRPr="00D207EA" w:rsidRDefault="004A489F" w:rsidP="004A489F">
      <w:pPr>
        <w:pStyle w:val="TOC2"/>
        <w:rPr>
          <w:rFonts w:asciiTheme="minorHAnsi" w:eastAsiaTheme="minorEastAsia" w:hAnsiTheme="minorHAnsi" w:cstheme="minorBidi"/>
          <w:noProof/>
          <w:kern w:val="2"/>
          <w:sz w:val="22"/>
          <w14:ligatures w14:val="standardContextual"/>
        </w:rPr>
      </w:pPr>
      <w:r w:rsidRPr="00D207EA">
        <w:rPr>
          <w:noProof/>
        </w:rPr>
        <w:t>1.1.</w:t>
      </w:r>
      <w:r w:rsidRPr="00D207EA">
        <w:rPr>
          <w:rFonts w:asciiTheme="minorHAnsi" w:hAnsiTheme="minorHAnsi"/>
          <w:noProof/>
          <w:sz w:val="22"/>
        </w:rPr>
        <w:tab/>
      </w:r>
      <w:r w:rsidRPr="00D207EA">
        <w:rPr>
          <w:noProof/>
        </w:rPr>
        <w:t>Dénomination de la proposition/de l’initiative</w:t>
      </w:r>
      <w:r w:rsidRPr="00D207EA">
        <w:rPr>
          <w:noProof/>
          <w:webHidden/>
        </w:rPr>
        <w:tab/>
        <w:t>3</w:t>
      </w:r>
    </w:p>
    <w:p w14:paraId="6D8F90F4" w14:textId="77777777" w:rsidR="004A489F" w:rsidRPr="00D207EA" w:rsidRDefault="004A489F" w:rsidP="004A489F">
      <w:pPr>
        <w:pStyle w:val="TOC2"/>
        <w:rPr>
          <w:rFonts w:asciiTheme="minorHAnsi" w:eastAsiaTheme="minorEastAsia" w:hAnsiTheme="minorHAnsi" w:cstheme="minorBidi"/>
          <w:noProof/>
          <w:kern w:val="2"/>
          <w:sz w:val="22"/>
          <w14:ligatures w14:val="standardContextual"/>
        </w:rPr>
      </w:pPr>
      <w:r w:rsidRPr="00D207EA">
        <w:rPr>
          <w:noProof/>
        </w:rPr>
        <w:t>1.2.</w:t>
      </w:r>
      <w:r w:rsidRPr="00D207EA">
        <w:rPr>
          <w:rFonts w:asciiTheme="minorHAnsi" w:hAnsiTheme="minorHAnsi"/>
          <w:noProof/>
          <w:sz w:val="22"/>
        </w:rPr>
        <w:tab/>
      </w:r>
      <w:r w:rsidRPr="00D207EA">
        <w:rPr>
          <w:noProof/>
        </w:rPr>
        <w:t>Domaine(s) politique(s) concerné(s)</w:t>
      </w:r>
      <w:r w:rsidRPr="00D207EA">
        <w:rPr>
          <w:noProof/>
          <w:webHidden/>
        </w:rPr>
        <w:tab/>
        <w:t>3</w:t>
      </w:r>
    </w:p>
    <w:p w14:paraId="37B8CFC3" w14:textId="77777777" w:rsidR="004A489F" w:rsidRPr="00D207EA" w:rsidRDefault="004A489F" w:rsidP="004A489F">
      <w:pPr>
        <w:pStyle w:val="TOC2"/>
        <w:rPr>
          <w:rFonts w:asciiTheme="minorHAnsi" w:eastAsiaTheme="minorEastAsia" w:hAnsiTheme="minorHAnsi" w:cstheme="minorBidi"/>
          <w:noProof/>
          <w:kern w:val="2"/>
          <w:sz w:val="22"/>
          <w14:ligatures w14:val="standardContextual"/>
        </w:rPr>
      </w:pPr>
      <w:r w:rsidRPr="00D207EA">
        <w:rPr>
          <w:noProof/>
        </w:rPr>
        <w:t>1.3.</w:t>
      </w:r>
      <w:r w:rsidRPr="00D207EA">
        <w:rPr>
          <w:rFonts w:asciiTheme="minorHAnsi" w:hAnsiTheme="minorHAnsi"/>
          <w:noProof/>
          <w:sz w:val="22"/>
        </w:rPr>
        <w:tab/>
      </w:r>
      <w:r w:rsidRPr="00D207EA">
        <w:rPr>
          <w:noProof/>
        </w:rPr>
        <w:t>Objectif(s)</w:t>
      </w:r>
      <w:r w:rsidRPr="00D207EA">
        <w:rPr>
          <w:noProof/>
          <w:webHidden/>
        </w:rPr>
        <w:tab/>
        <w:t>3</w:t>
      </w:r>
    </w:p>
    <w:p w14:paraId="48072DB4"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1.3.1.</w:t>
      </w:r>
      <w:r w:rsidRPr="00D207EA">
        <w:rPr>
          <w:rFonts w:asciiTheme="minorHAnsi" w:hAnsiTheme="minorHAnsi"/>
          <w:noProof/>
          <w:sz w:val="22"/>
        </w:rPr>
        <w:tab/>
      </w:r>
      <w:r w:rsidRPr="00D207EA">
        <w:rPr>
          <w:noProof/>
        </w:rPr>
        <w:t>Objectif général / objectifs généraux</w:t>
      </w:r>
      <w:r w:rsidRPr="00D207EA">
        <w:rPr>
          <w:noProof/>
          <w:webHidden/>
        </w:rPr>
        <w:tab/>
        <w:t>3</w:t>
      </w:r>
    </w:p>
    <w:p w14:paraId="56711F44"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1.3.2.</w:t>
      </w:r>
      <w:r w:rsidRPr="00D207EA">
        <w:rPr>
          <w:rFonts w:asciiTheme="minorHAnsi" w:hAnsiTheme="minorHAnsi"/>
          <w:noProof/>
          <w:sz w:val="22"/>
        </w:rPr>
        <w:tab/>
      </w:r>
      <w:r w:rsidRPr="00D207EA">
        <w:rPr>
          <w:noProof/>
        </w:rPr>
        <w:t>Objectif(s) spécifique(s)</w:t>
      </w:r>
      <w:r w:rsidRPr="00D207EA">
        <w:rPr>
          <w:noProof/>
          <w:webHidden/>
        </w:rPr>
        <w:tab/>
        <w:t>3</w:t>
      </w:r>
    </w:p>
    <w:p w14:paraId="4CC95B7A"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1.3.3.</w:t>
      </w:r>
      <w:r w:rsidRPr="00D207EA">
        <w:rPr>
          <w:rFonts w:asciiTheme="minorHAnsi" w:hAnsiTheme="minorHAnsi"/>
          <w:noProof/>
          <w:sz w:val="22"/>
        </w:rPr>
        <w:tab/>
      </w:r>
      <w:r w:rsidRPr="00D207EA">
        <w:rPr>
          <w:noProof/>
        </w:rPr>
        <w:t>Résultat(s) et incidence(s) attendus</w:t>
      </w:r>
      <w:r w:rsidRPr="00D207EA">
        <w:rPr>
          <w:noProof/>
          <w:webHidden/>
        </w:rPr>
        <w:tab/>
        <w:t>3</w:t>
      </w:r>
    </w:p>
    <w:p w14:paraId="63C7471D"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1.3.4.</w:t>
      </w:r>
      <w:r w:rsidRPr="00D207EA">
        <w:rPr>
          <w:rFonts w:asciiTheme="minorHAnsi" w:hAnsiTheme="minorHAnsi"/>
          <w:noProof/>
          <w:sz w:val="22"/>
        </w:rPr>
        <w:tab/>
      </w:r>
      <w:r w:rsidRPr="00D207EA">
        <w:rPr>
          <w:noProof/>
        </w:rPr>
        <w:t>Indicateurs de performance</w:t>
      </w:r>
      <w:r w:rsidRPr="00D207EA">
        <w:rPr>
          <w:noProof/>
          <w:webHidden/>
        </w:rPr>
        <w:tab/>
        <w:t>3</w:t>
      </w:r>
    </w:p>
    <w:p w14:paraId="6EFFFDAC" w14:textId="77777777" w:rsidR="004A489F" w:rsidRPr="00D207EA" w:rsidRDefault="004A489F" w:rsidP="004A489F">
      <w:pPr>
        <w:pStyle w:val="TOC2"/>
        <w:rPr>
          <w:rFonts w:asciiTheme="minorHAnsi" w:eastAsiaTheme="minorEastAsia" w:hAnsiTheme="minorHAnsi" w:cstheme="minorBidi"/>
          <w:noProof/>
          <w:kern w:val="2"/>
          <w:sz w:val="22"/>
          <w14:ligatures w14:val="standardContextual"/>
        </w:rPr>
      </w:pPr>
      <w:r w:rsidRPr="00D207EA">
        <w:rPr>
          <w:noProof/>
        </w:rPr>
        <w:t>1.4.</w:t>
      </w:r>
      <w:r w:rsidRPr="00D207EA">
        <w:rPr>
          <w:rFonts w:asciiTheme="minorHAnsi" w:hAnsiTheme="minorHAnsi"/>
          <w:noProof/>
          <w:sz w:val="22"/>
        </w:rPr>
        <w:tab/>
      </w:r>
      <w:r w:rsidRPr="00D207EA">
        <w:rPr>
          <w:noProof/>
        </w:rPr>
        <w:t>La proposition/l’initiative porte sur:</w:t>
      </w:r>
      <w:r w:rsidRPr="00D207EA">
        <w:rPr>
          <w:noProof/>
          <w:webHidden/>
        </w:rPr>
        <w:tab/>
        <w:t>4</w:t>
      </w:r>
    </w:p>
    <w:p w14:paraId="6DB39D07" w14:textId="77777777" w:rsidR="004A489F" w:rsidRPr="00D207EA" w:rsidRDefault="004A489F" w:rsidP="004A489F">
      <w:pPr>
        <w:pStyle w:val="TOC2"/>
        <w:rPr>
          <w:rFonts w:asciiTheme="minorHAnsi" w:eastAsiaTheme="minorEastAsia" w:hAnsiTheme="minorHAnsi" w:cstheme="minorBidi"/>
          <w:noProof/>
          <w:kern w:val="2"/>
          <w:sz w:val="22"/>
          <w14:ligatures w14:val="standardContextual"/>
        </w:rPr>
      </w:pPr>
      <w:r w:rsidRPr="00D207EA">
        <w:rPr>
          <w:noProof/>
        </w:rPr>
        <w:t>1.5.</w:t>
      </w:r>
      <w:r w:rsidRPr="00D207EA">
        <w:rPr>
          <w:rFonts w:asciiTheme="minorHAnsi" w:hAnsiTheme="minorHAnsi"/>
          <w:noProof/>
          <w:sz w:val="22"/>
        </w:rPr>
        <w:tab/>
      </w:r>
      <w:r w:rsidRPr="00D207EA">
        <w:rPr>
          <w:noProof/>
        </w:rPr>
        <w:t>Justification(s) de la proposition/de l’initiative</w:t>
      </w:r>
      <w:r w:rsidRPr="00D207EA">
        <w:rPr>
          <w:noProof/>
          <w:webHidden/>
        </w:rPr>
        <w:tab/>
        <w:t>4</w:t>
      </w:r>
    </w:p>
    <w:p w14:paraId="1E9C04F7"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1.5.1.</w:t>
      </w:r>
      <w:r w:rsidRPr="00D207EA">
        <w:rPr>
          <w:rFonts w:asciiTheme="minorHAnsi" w:hAnsiTheme="minorHAnsi"/>
          <w:noProof/>
          <w:sz w:val="22"/>
        </w:rPr>
        <w:tab/>
      </w:r>
      <w:r w:rsidRPr="00D207EA">
        <w:rPr>
          <w:noProof/>
        </w:rPr>
        <w:t>Besoin(s) à satisfaire à court ou à long terme, assorti(s) d’un calendrier détaillé pour la mise en œuvre de l’initiative</w:t>
      </w:r>
      <w:r w:rsidRPr="00D207EA">
        <w:rPr>
          <w:noProof/>
          <w:webHidden/>
        </w:rPr>
        <w:tab/>
        <w:t>4</w:t>
      </w:r>
    </w:p>
    <w:p w14:paraId="62772F1A"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1.5.2.</w:t>
      </w:r>
      <w:r w:rsidRPr="00D207EA">
        <w:rPr>
          <w:rFonts w:asciiTheme="minorHAnsi" w:hAnsiTheme="minorHAnsi"/>
          <w:noProof/>
          <w:sz w:val="22"/>
        </w:rPr>
        <w:tab/>
      </w:r>
      <w:r w:rsidRPr="00D207EA">
        <w:rPr>
          <w:noProof/>
        </w:rPr>
        <w:t>Valeur ajoutée de l’intervention de l’UE (celle-ci peut résulter de différents facteurs, par exemple gains de coordination, sécurité juridique, efficacité accrue, complémentarités, etc.). Aux fins de la présente section, on entend par «valeur ajoutée de l’intervention de l’UE» la valeur découlant de l’intervention de l’UE qui vient s’ajouter à la valeur qui, sans cela, aurait été générée par la seule action des États membres.</w:t>
      </w:r>
      <w:r w:rsidRPr="00D207EA">
        <w:rPr>
          <w:noProof/>
          <w:webHidden/>
        </w:rPr>
        <w:tab/>
        <w:t>4</w:t>
      </w:r>
    </w:p>
    <w:p w14:paraId="1156DB34"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1.5.3.</w:t>
      </w:r>
      <w:r w:rsidRPr="00D207EA">
        <w:rPr>
          <w:rFonts w:asciiTheme="minorHAnsi" w:hAnsiTheme="minorHAnsi"/>
          <w:noProof/>
          <w:sz w:val="22"/>
        </w:rPr>
        <w:tab/>
      </w:r>
      <w:r w:rsidRPr="00D207EA">
        <w:rPr>
          <w:noProof/>
        </w:rPr>
        <w:t>Leçons tirées d’expériences similaires</w:t>
      </w:r>
      <w:r w:rsidRPr="00D207EA">
        <w:rPr>
          <w:noProof/>
          <w:webHidden/>
        </w:rPr>
        <w:tab/>
        <w:t>4</w:t>
      </w:r>
    </w:p>
    <w:p w14:paraId="4C241CCD"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1.5.4.</w:t>
      </w:r>
      <w:r w:rsidRPr="00D207EA">
        <w:rPr>
          <w:rFonts w:asciiTheme="minorHAnsi" w:hAnsiTheme="minorHAnsi"/>
          <w:noProof/>
          <w:sz w:val="22"/>
        </w:rPr>
        <w:tab/>
      </w:r>
      <w:r w:rsidRPr="00D207EA">
        <w:rPr>
          <w:noProof/>
        </w:rPr>
        <w:t>Compatibilité avec le cadre financier pluriannuel et synergies éventuelles avec d’autres instruments appropriés</w:t>
      </w:r>
      <w:r w:rsidRPr="00D207EA">
        <w:rPr>
          <w:noProof/>
          <w:webHidden/>
        </w:rPr>
        <w:tab/>
        <w:t>5</w:t>
      </w:r>
    </w:p>
    <w:p w14:paraId="2071C62E"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1.5.5.</w:t>
      </w:r>
      <w:r w:rsidRPr="00D207EA">
        <w:rPr>
          <w:rFonts w:asciiTheme="minorHAnsi" w:hAnsiTheme="minorHAnsi"/>
          <w:noProof/>
          <w:sz w:val="22"/>
        </w:rPr>
        <w:tab/>
      </w:r>
      <w:r w:rsidRPr="00D207EA">
        <w:rPr>
          <w:noProof/>
        </w:rPr>
        <w:t>Évaluation des différentes possibilités de financement disponibles, y compris des possibilités de redéploiement</w:t>
      </w:r>
      <w:r w:rsidRPr="00D207EA">
        <w:rPr>
          <w:noProof/>
          <w:webHidden/>
        </w:rPr>
        <w:tab/>
        <w:t>5</w:t>
      </w:r>
    </w:p>
    <w:p w14:paraId="47CCA728" w14:textId="77777777" w:rsidR="004A489F" w:rsidRPr="00D207EA" w:rsidRDefault="004A489F" w:rsidP="004A489F">
      <w:pPr>
        <w:pStyle w:val="TOC2"/>
        <w:rPr>
          <w:rFonts w:asciiTheme="minorHAnsi" w:eastAsiaTheme="minorEastAsia" w:hAnsiTheme="minorHAnsi" w:cstheme="minorBidi"/>
          <w:noProof/>
          <w:kern w:val="2"/>
          <w:sz w:val="22"/>
          <w14:ligatures w14:val="standardContextual"/>
        </w:rPr>
      </w:pPr>
      <w:r w:rsidRPr="00D207EA">
        <w:rPr>
          <w:noProof/>
        </w:rPr>
        <w:t>1.6.</w:t>
      </w:r>
      <w:r w:rsidRPr="00D207EA">
        <w:rPr>
          <w:rFonts w:asciiTheme="minorHAnsi" w:hAnsiTheme="minorHAnsi"/>
          <w:noProof/>
          <w:sz w:val="22"/>
        </w:rPr>
        <w:tab/>
      </w:r>
      <w:r w:rsidRPr="00D207EA">
        <w:rPr>
          <w:noProof/>
        </w:rPr>
        <w:t>Durée de la proposition/de l’initiative et de son incidence financière</w:t>
      </w:r>
      <w:r w:rsidRPr="00D207EA">
        <w:rPr>
          <w:noProof/>
          <w:webHidden/>
        </w:rPr>
        <w:tab/>
        <w:t>6</w:t>
      </w:r>
    </w:p>
    <w:p w14:paraId="11357836" w14:textId="77777777" w:rsidR="004A489F" w:rsidRPr="00D207EA" w:rsidRDefault="004A489F" w:rsidP="004A489F">
      <w:pPr>
        <w:pStyle w:val="TOC2"/>
        <w:rPr>
          <w:rFonts w:asciiTheme="minorHAnsi" w:eastAsiaTheme="minorEastAsia" w:hAnsiTheme="minorHAnsi" w:cstheme="minorBidi"/>
          <w:noProof/>
          <w:kern w:val="2"/>
          <w:sz w:val="22"/>
          <w14:ligatures w14:val="standardContextual"/>
        </w:rPr>
      </w:pPr>
      <w:r w:rsidRPr="00D207EA">
        <w:rPr>
          <w:noProof/>
        </w:rPr>
        <w:t>1.7.</w:t>
      </w:r>
      <w:r w:rsidRPr="00D207EA">
        <w:rPr>
          <w:rFonts w:asciiTheme="minorHAnsi" w:hAnsiTheme="minorHAnsi"/>
          <w:noProof/>
          <w:sz w:val="22"/>
        </w:rPr>
        <w:tab/>
      </w:r>
      <w:r w:rsidRPr="00D207EA">
        <w:rPr>
          <w:noProof/>
        </w:rPr>
        <w:t>Mode(s) d’exécution budgétaire prévu(s)</w:t>
      </w:r>
      <w:r w:rsidRPr="00D207EA">
        <w:rPr>
          <w:noProof/>
          <w:webHidden/>
        </w:rPr>
        <w:tab/>
        <w:t>6</w:t>
      </w:r>
    </w:p>
    <w:p w14:paraId="4B515874" w14:textId="77777777" w:rsidR="004A489F" w:rsidRPr="00D207EA" w:rsidRDefault="004A489F" w:rsidP="004A489F">
      <w:pPr>
        <w:pStyle w:val="TOC1"/>
        <w:rPr>
          <w:rFonts w:asciiTheme="minorHAnsi" w:eastAsiaTheme="minorEastAsia" w:hAnsiTheme="minorHAnsi" w:cstheme="minorBidi"/>
          <w:noProof/>
          <w:kern w:val="2"/>
          <w:sz w:val="22"/>
          <w14:ligatures w14:val="standardContextual"/>
        </w:rPr>
      </w:pPr>
      <w:r w:rsidRPr="00D207EA">
        <w:rPr>
          <w:noProof/>
        </w:rPr>
        <w:t>2.</w:t>
      </w:r>
      <w:r w:rsidRPr="00D207EA">
        <w:rPr>
          <w:rFonts w:asciiTheme="minorHAnsi" w:hAnsiTheme="minorHAnsi"/>
          <w:noProof/>
          <w:sz w:val="22"/>
        </w:rPr>
        <w:tab/>
      </w:r>
      <w:r w:rsidRPr="00D207EA">
        <w:rPr>
          <w:noProof/>
        </w:rPr>
        <w:t>MESURES DE GESTION</w:t>
      </w:r>
      <w:r w:rsidRPr="00D207EA">
        <w:rPr>
          <w:noProof/>
          <w:webHidden/>
        </w:rPr>
        <w:tab/>
        <w:t>8</w:t>
      </w:r>
    </w:p>
    <w:p w14:paraId="0ABB33C2" w14:textId="77777777" w:rsidR="004A489F" w:rsidRPr="00D207EA" w:rsidRDefault="004A489F" w:rsidP="004A489F">
      <w:pPr>
        <w:pStyle w:val="TOC2"/>
        <w:rPr>
          <w:rFonts w:asciiTheme="minorHAnsi" w:eastAsiaTheme="minorEastAsia" w:hAnsiTheme="minorHAnsi" w:cstheme="minorBidi"/>
          <w:noProof/>
          <w:kern w:val="2"/>
          <w:sz w:val="22"/>
          <w14:ligatures w14:val="standardContextual"/>
        </w:rPr>
      </w:pPr>
      <w:r w:rsidRPr="00D207EA">
        <w:rPr>
          <w:noProof/>
        </w:rPr>
        <w:t>2.1.</w:t>
      </w:r>
      <w:r w:rsidRPr="00D207EA">
        <w:rPr>
          <w:rFonts w:asciiTheme="minorHAnsi" w:hAnsiTheme="minorHAnsi"/>
          <w:noProof/>
          <w:sz w:val="22"/>
        </w:rPr>
        <w:tab/>
      </w:r>
      <w:r w:rsidRPr="00D207EA">
        <w:rPr>
          <w:noProof/>
        </w:rPr>
        <w:t>Dispositions en matière de suivi et de compte rendu</w:t>
      </w:r>
      <w:r w:rsidRPr="00D207EA">
        <w:rPr>
          <w:noProof/>
          <w:webHidden/>
        </w:rPr>
        <w:tab/>
        <w:t>8</w:t>
      </w:r>
    </w:p>
    <w:p w14:paraId="4ABD563E" w14:textId="77777777" w:rsidR="004A489F" w:rsidRPr="00D207EA" w:rsidRDefault="004A489F" w:rsidP="004A489F">
      <w:pPr>
        <w:pStyle w:val="TOC2"/>
        <w:rPr>
          <w:rFonts w:asciiTheme="minorHAnsi" w:eastAsiaTheme="minorEastAsia" w:hAnsiTheme="minorHAnsi" w:cstheme="minorBidi"/>
          <w:noProof/>
          <w:kern w:val="2"/>
          <w:sz w:val="22"/>
          <w14:ligatures w14:val="standardContextual"/>
        </w:rPr>
      </w:pPr>
      <w:r w:rsidRPr="00D207EA">
        <w:rPr>
          <w:noProof/>
        </w:rPr>
        <w:t>2.2.</w:t>
      </w:r>
      <w:r w:rsidRPr="00D207EA">
        <w:rPr>
          <w:rFonts w:asciiTheme="minorHAnsi" w:hAnsiTheme="minorHAnsi"/>
          <w:noProof/>
          <w:sz w:val="22"/>
        </w:rPr>
        <w:tab/>
      </w:r>
      <w:r w:rsidRPr="00D207EA">
        <w:rPr>
          <w:noProof/>
        </w:rPr>
        <w:t>Système(s) de gestion et de contrôle</w:t>
      </w:r>
      <w:r w:rsidRPr="00D207EA">
        <w:rPr>
          <w:noProof/>
          <w:webHidden/>
        </w:rPr>
        <w:tab/>
        <w:t>8</w:t>
      </w:r>
    </w:p>
    <w:p w14:paraId="5CA26E46"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2.2.1.</w:t>
      </w:r>
      <w:r w:rsidRPr="00D207EA">
        <w:rPr>
          <w:rFonts w:asciiTheme="minorHAnsi" w:hAnsiTheme="minorHAnsi"/>
          <w:noProof/>
          <w:sz w:val="22"/>
        </w:rPr>
        <w:tab/>
      </w:r>
      <w:r w:rsidRPr="00D207EA">
        <w:rPr>
          <w:noProof/>
        </w:rPr>
        <w:t>Justification du (des) mode(s) d’exécution budgétaire, du (des) mécanisme(s) de mise en œuvre du financement, des modalités de paiement et de la stratégie de contrôle proposée</w:t>
      </w:r>
      <w:r w:rsidRPr="00D207EA">
        <w:rPr>
          <w:noProof/>
          <w:webHidden/>
        </w:rPr>
        <w:tab/>
        <w:t>8</w:t>
      </w:r>
    </w:p>
    <w:p w14:paraId="5E6D66E5"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2.2.2.</w:t>
      </w:r>
      <w:r w:rsidRPr="00D207EA">
        <w:rPr>
          <w:rFonts w:asciiTheme="minorHAnsi" w:hAnsiTheme="minorHAnsi"/>
          <w:noProof/>
          <w:sz w:val="22"/>
        </w:rPr>
        <w:tab/>
      </w:r>
      <w:r w:rsidRPr="00D207EA">
        <w:rPr>
          <w:noProof/>
        </w:rPr>
        <w:t>Informations sur les risques recensés et sur le(s) système(s) de contrôle interne mis en place pour les atténuer</w:t>
      </w:r>
      <w:r w:rsidRPr="00D207EA">
        <w:rPr>
          <w:noProof/>
          <w:webHidden/>
        </w:rPr>
        <w:tab/>
        <w:t>8</w:t>
      </w:r>
    </w:p>
    <w:p w14:paraId="26113583"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2.2.3.</w:t>
      </w:r>
      <w:r w:rsidRPr="00D207EA">
        <w:rPr>
          <w:rFonts w:asciiTheme="minorHAnsi" w:hAnsiTheme="minorHAnsi"/>
          <w:noProof/>
          <w:sz w:val="22"/>
        </w:rPr>
        <w:tab/>
      </w:r>
      <w:r w:rsidRPr="00D207EA">
        <w:rPr>
          <w:noProof/>
        </w:rPr>
        <w:t>Estimation et justification du rapport coût/efficacité des contrôles (rapport entre les coûts du contrôle et la valeur des fonds gérés concernés), et évaluation du niveau attendu de risque d’erreur (lors du paiement et lors de la clôture)</w:t>
      </w:r>
      <w:r w:rsidRPr="00D207EA">
        <w:rPr>
          <w:noProof/>
          <w:webHidden/>
        </w:rPr>
        <w:tab/>
        <w:t>8</w:t>
      </w:r>
    </w:p>
    <w:p w14:paraId="7D3E9FA7" w14:textId="77777777" w:rsidR="004A489F" w:rsidRPr="00D207EA" w:rsidRDefault="004A489F" w:rsidP="004A489F">
      <w:pPr>
        <w:pStyle w:val="TOC2"/>
        <w:rPr>
          <w:rFonts w:asciiTheme="minorHAnsi" w:eastAsiaTheme="minorEastAsia" w:hAnsiTheme="minorHAnsi" w:cstheme="minorBidi"/>
          <w:noProof/>
          <w:kern w:val="2"/>
          <w:sz w:val="22"/>
          <w14:ligatures w14:val="standardContextual"/>
        </w:rPr>
      </w:pPr>
      <w:r w:rsidRPr="00D207EA">
        <w:rPr>
          <w:noProof/>
        </w:rPr>
        <w:t>2.3.</w:t>
      </w:r>
      <w:r w:rsidRPr="00D207EA">
        <w:rPr>
          <w:rFonts w:asciiTheme="minorHAnsi" w:hAnsiTheme="minorHAnsi"/>
          <w:noProof/>
          <w:sz w:val="22"/>
        </w:rPr>
        <w:tab/>
      </w:r>
      <w:r w:rsidRPr="00D207EA">
        <w:rPr>
          <w:noProof/>
        </w:rPr>
        <w:t>Mesures de prévention des fraudes et irrégularités</w:t>
      </w:r>
      <w:r w:rsidRPr="00D207EA">
        <w:rPr>
          <w:noProof/>
          <w:webHidden/>
        </w:rPr>
        <w:tab/>
        <w:t>9</w:t>
      </w:r>
    </w:p>
    <w:p w14:paraId="667FCB4B" w14:textId="77777777" w:rsidR="004A489F" w:rsidRPr="00D207EA" w:rsidRDefault="004A489F" w:rsidP="004A489F">
      <w:pPr>
        <w:pStyle w:val="TOC1"/>
        <w:rPr>
          <w:rFonts w:asciiTheme="minorHAnsi" w:eastAsiaTheme="minorEastAsia" w:hAnsiTheme="minorHAnsi" w:cstheme="minorBidi"/>
          <w:noProof/>
          <w:kern w:val="2"/>
          <w:sz w:val="22"/>
          <w14:ligatures w14:val="standardContextual"/>
        </w:rPr>
      </w:pPr>
      <w:r w:rsidRPr="00D207EA">
        <w:rPr>
          <w:noProof/>
        </w:rPr>
        <w:t>3.</w:t>
      </w:r>
      <w:r w:rsidRPr="00D207EA">
        <w:rPr>
          <w:rFonts w:asciiTheme="minorHAnsi" w:hAnsiTheme="minorHAnsi"/>
          <w:noProof/>
          <w:sz w:val="22"/>
        </w:rPr>
        <w:tab/>
      </w:r>
      <w:r w:rsidRPr="00D207EA">
        <w:rPr>
          <w:noProof/>
        </w:rPr>
        <w:t>INCIDENCE FINANCIÈRE ESTIMÉE DE LA PROPOSITION/DE L’INITIATIVE</w:t>
      </w:r>
      <w:r w:rsidRPr="00D207EA">
        <w:rPr>
          <w:noProof/>
          <w:webHidden/>
        </w:rPr>
        <w:tab/>
        <w:t>10</w:t>
      </w:r>
    </w:p>
    <w:p w14:paraId="4FA6DF60" w14:textId="77777777" w:rsidR="004A489F" w:rsidRPr="00D207EA" w:rsidRDefault="004A489F" w:rsidP="004A489F">
      <w:pPr>
        <w:pStyle w:val="TOC2"/>
        <w:rPr>
          <w:rFonts w:asciiTheme="minorHAnsi" w:eastAsiaTheme="minorEastAsia" w:hAnsiTheme="minorHAnsi" w:cstheme="minorBidi"/>
          <w:noProof/>
          <w:kern w:val="2"/>
          <w:sz w:val="22"/>
          <w14:ligatures w14:val="standardContextual"/>
        </w:rPr>
      </w:pPr>
      <w:r w:rsidRPr="00D207EA">
        <w:rPr>
          <w:noProof/>
        </w:rPr>
        <w:t>3.1.</w:t>
      </w:r>
      <w:r w:rsidRPr="00D207EA">
        <w:rPr>
          <w:rFonts w:asciiTheme="minorHAnsi" w:hAnsiTheme="minorHAnsi"/>
          <w:noProof/>
          <w:sz w:val="22"/>
        </w:rPr>
        <w:tab/>
      </w:r>
      <w:r w:rsidRPr="00D207EA">
        <w:rPr>
          <w:noProof/>
        </w:rPr>
        <w:t>Rubrique(s) du cadre financier pluriannuel et ligne(s) budgétaire(s) de dépenses concernée(s)</w:t>
      </w:r>
      <w:r w:rsidRPr="00D207EA">
        <w:rPr>
          <w:noProof/>
          <w:webHidden/>
        </w:rPr>
        <w:tab/>
        <w:t>10</w:t>
      </w:r>
    </w:p>
    <w:p w14:paraId="4FD44BA1" w14:textId="77777777" w:rsidR="004A489F" w:rsidRPr="00D207EA" w:rsidRDefault="004A489F" w:rsidP="004A489F">
      <w:pPr>
        <w:pStyle w:val="TOC2"/>
        <w:rPr>
          <w:rFonts w:asciiTheme="minorHAnsi" w:eastAsiaTheme="minorEastAsia" w:hAnsiTheme="minorHAnsi" w:cstheme="minorBidi"/>
          <w:noProof/>
          <w:kern w:val="2"/>
          <w:sz w:val="22"/>
          <w14:ligatures w14:val="standardContextual"/>
        </w:rPr>
      </w:pPr>
      <w:r w:rsidRPr="00D207EA">
        <w:rPr>
          <w:noProof/>
        </w:rPr>
        <w:t>3.2.</w:t>
      </w:r>
      <w:r w:rsidRPr="00D207EA">
        <w:rPr>
          <w:rFonts w:asciiTheme="minorHAnsi" w:hAnsiTheme="minorHAnsi"/>
          <w:noProof/>
          <w:sz w:val="22"/>
        </w:rPr>
        <w:tab/>
      </w:r>
      <w:r w:rsidRPr="00D207EA">
        <w:rPr>
          <w:noProof/>
        </w:rPr>
        <w:t>Incidence financière estimée de la proposition sur les crédits</w:t>
      </w:r>
      <w:r w:rsidRPr="00D207EA">
        <w:rPr>
          <w:noProof/>
          <w:webHidden/>
        </w:rPr>
        <w:tab/>
        <w:t>12</w:t>
      </w:r>
    </w:p>
    <w:p w14:paraId="1E662C98"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3.2.1.</w:t>
      </w:r>
      <w:r w:rsidRPr="00D207EA">
        <w:rPr>
          <w:rFonts w:asciiTheme="minorHAnsi" w:hAnsiTheme="minorHAnsi"/>
          <w:noProof/>
          <w:sz w:val="22"/>
        </w:rPr>
        <w:tab/>
      </w:r>
      <w:r w:rsidRPr="00D207EA">
        <w:rPr>
          <w:noProof/>
        </w:rPr>
        <w:t>Synthèse de l’incidence estimée sur les crédits opérationnels</w:t>
      </w:r>
      <w:r w:rsidRPr="00D207EA">
        <w:rPr>
          <w:noProof/>
          <w:webHidden/>
        </w:rPr>
        <w:tab/>
        <w:t>12</w:t>
      </w:r>
    </w:p>
    <w:p w14:paraId="50C9732C"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3.2.1.1.</w:t>
      </w:r>
      <w:r w:rsidRPr="00D207EA">
        <w:rPr>
          <w:rFonts w:asciiTheme="minorHAnsi" w:hAnsiTheme="minorHAnsi"/>
          <w:noProof/>
          <w:sz w:val="22"/>
        </w:rPr>
        <w:tab/>
      </w:r>
      <w:r w:rsidRPr="00D207EA">
        <w:rPr>
          <w:noProof/>
        </w:rPr>
        <w:t>Crédits issus du budget voté</w:t>
      </w:r>
      <w:r w:rsidRPr="00D207EA">
        <w:rPr>
          <w:noProof/>
          <w:webHidden/>
        </w:rPr>
        <w:tab/>
        <w:t>12</w:t>
      </w:r>
    </w:p>
    <w:p w14:paraId="5B54426A"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3.2.1.2.</w:t>
      </w:r>
      <w:r w:rsidRPr="00D207EA">
        <w:rPr>
          <w:rFonts w:asciiTheme="minorHAnsi" w:hAnsiTheme="minorHAnsi"/>
          <w:noProof/>
          <w:sz w:val="22"/>
        </w:rPr>
        <w:tab/>
      </w:r>
      <w:r w:rsidRPr="00D207EA">
        <w:rPr>
          <w:noProof/>
        </w:rPr>
        <w:t>Crédits issus de recettes affectées externes</w:t>
      </w:r>
      <w:r w:rsidRPr="00D207EA">
        <w:rPr>
          <w:noProof/>
          <w:webHidden/>
        </w:rPr>
        <w:tab/>
        <w:t>17</w:t>
      </w:r>
    </w:p>
    <w:p w14:paraId="4A84B7C5"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3.2.2.</w:t>
      </w:r>
      <w:r w:rsidRPr="00D207EA">
        <w:rPr>
          <w:rFonts w:asciiTheme="minorHAnsi" w:hAnsiTheme="minorHAnsi"/>
          <w:noProof/>
          <w:sz w:val="22"/>
        </w:rPr>
        <w:tab/>
      </w:r>
      <w:r w:rsidRPr="00D207EA">
        <w:rPr>
          <w:noProof/>
        </w:rPr>
        <w:t>Estimation des réalisations financées à partir des crédits opérationnels</w:t>
      </w:r>
      <w:r w:rsidRPr="00D207EA">
        <w:rPr>
          <w:noProof/>
          <w:webHidden/>
        </w:rPr>
        <w:tab/>
        <w:t>22</w:t>
      </w:r>
    </w:p>
    <w:p w14:paraId="608AE38C"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3.2.3.</w:t>
      </w:r>
      <w:r w:rsidRPr="00D207EA">
        <w:rPr>
          <w:rFonts w:asciiTheme="minorHAnsi" w:hAnsiTheme="minorHAnsi"/>
          <w:noProof/>
          <w:sz w:val="22"/>
        </w:rPr>
        <w:tab/>
      </w:r>
      <w:r w:rsidRPr="00D207EA">
        <w:rPr>
          <w:noProof/>
        </w:rPr>
        <w:t>Synthèse de l’incidence estimée sur les crédits administratifs</w:t>
      </w:r>
      <w:r w:rsidRPr="00D207EA">
        <w:rPr>
          <w:noProof/>
          <w:webHidden/>
        </w:rPr>
        <w:tab/>
        <w:t>24</w:t>
      </w:r>
    </w:p>
    <w:p w14:paraId="4B4849AD"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3.2.3.1. Crédits issus du budget voté</w:t>
      </w:r>
      <w:r w:rsidRPr="00D207EA">
        <w:rPr>
          <w:noProof/>
          <w:webHidden/>
        </w:rPr>
        <w:tab/>
        <w:t>24</w:t>
      </w:r>
    </w:p>
    <w:p w14:paraId="2F3F4731"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3.2.3.2.</w:t>
      </w:r>
      <w:r w:rsidRPr="00D207EA">
        <w:rPr>
          <w:rFonts w:asciiTheme="minorHAnsi" w:hAnsiTheme="minorHAnsi"/>
          <w:noProof/>
          <w:sz w:val="22"/>
        </w:rPr>
        <w:tab/>
      </w:r>
      <w:r w:rsidRPr="00D207EA">
        <w:rPr>
          <w:noProof/>
        </w:rPr>
        <w:t>Crédits issus de recettes affectées externes</w:t>
      </w:r>
      <w:r w:rsidRPr="00D207EA">
        <w:rPr>
          <w:noProof/>
          <w:webHidden/>
        </w:rPr>
        <w:tab/>
        <w:t>24</w:t>
      </w:r>
    </w:p>
    <w:p w14:paraId="299AF85F"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3.2.3.3.</w:t>
      </w:r>
      <w:r w:rsidRPr="00D207EA">
        <w:rPr>
          <w:rFonts w:asciiTheme="minorHAnsi" w:hAnsiTheme="minorHAnsi"/>
          <w:noProof/>
          <w:sz w:val="22"/>
        </w:rPr>
        <w:tab/>
      </w:r>
      <w:r w:rsidRPr="00D207EA">
        <w:rPr>
          <w:noProof/>
        </w:rPr>
        <w:t>Total des crédits</w:t>
      </w:r>
      <w:r w:rsidRPr="00D207EA">
        <w:rPr>
          <w:noProof/>
          <w:webHidden/>
        </w:rPr>
        <w:tab/>
        <w:t>24</w:t>
      </w:r>
    </w:p>
    <w:p w14:paraId="3937189F"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3.2.4.</w:t>
      </w:r>
      <w:r w:rsidRPr="00D207EA">
        <w:rPr>
          <w:rFonts w:asciiTheme="minorHAnsi" w:hAnsiTheme="minorHAnsi"/>
          <w:noProof/>
          <w:sz w:val="22"/>
        </w:rPr>
        <w:tab/>
      </w:r>
      <w:r w:rsidRPr="00D207EA">
        <w:rPr>
          <w:noProof/>
        </w:rPr>
        <w:t>Besoins estimés en ressources humaines</w:t>
      </w:r>
      <w:r w:rsidRPr="00D207EA">
        <w:rPr>
          <w:noProof/>
          <w:webHidden/>
        </w:rPr>
        <w:tab/>
        <w:t>25</w:t>
      </w:r>
    </w:p>
    <w:p w14:paraId="11B869E0"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3.2.4.1.</w:t>
      </w:r>
      <w:r w:rsidRPr="00D207EA">
        <w:rPr>
          <w:rFonts w:asciiTheme="minorHAnsi" w:hAnsiTheme="minorHAnsi"/>
          <w:noProof/>
          <w:sz w:val="22"/>
        </w:rPr>
        <w:tab/>
      </w:r>
      <w:r w:rsidRPr="00D207EA">
        <w:rPr>
          <w:noProof/>
        </w:rPr>
        <w:t>Financement sur le budget voté</w:t>
      </w:r>
      <w:r w:rsidRPr="00D207EA">
        <w:rPr>
          <w:noProof/>
          <w:webHidden/>
        </w:rPr>
        <w:tab/>
        <w:t>25</w:t>
      </w:r>
    </w:p>
    <w:p w14:paraId="6AC26F3E"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3.2.4.2.</w:t>
      </w:r>
      <w:r w:rsidRPr="00D207EA">
        <w:rPr>
          <w:rFonts w:asciiTheme="minorHAnsi" w:hAnsiTheme="minorHAnsi"/>
          <w:noProof/>
          <w:sz w:val="22"/>
        </w:rPr>
        <w:tab/>
      </w:r>
      <w:r w:rsidRPr="00D207EA">
        <w:rPr>
          <w:noProof/>
        </w:rPr>
        <w:t>Financement par des recettes affectées externes</w:t>
      </w:r>
      <w:r w:rsidRPr="00D207EA">
        <w:rPr>
          <w:noProof/>
          <w:webHidden/>
        </w:rPr>
        <w:tab/>
        <w:t>26</w:t>
      </w:r>
    </w:p>
    <w:p w14:paraId="4032988E"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3.2.4.3.</w:t>
      </w:r>
      <w:r w:rsidRPr="00D207EA">
        <w:rPr>
          <w:rFonts w:asciiTheme="minorHAnsi" w:hAnsiTheme="minorHAnsi"/>
          <w:noProof/>
          <w:sz w:val="22"/>
        </w:rPr>
        <w:tab/>
      </w:r>
      <w:r w:rsidRPr="00D207EA">
        <w:rPr>
          <w:noProof/>
        </w:rPr>
        <w:t>Total des besoins en ressources humaines</w:t>
      </w:r>
      <w:r w:rsidRPr="00D207EA">
        <w:rPr>
          <w:noProof/>
          <w:webHidden/>
        </w:rPr>
        <w:tab/>
        <w:t>26</w:t>
      </w:r>
    </w:p>
    <w:p w14:paraId="7013632A"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3.2.5.</w:t>
      </w:r>
      <w:r w:rsidRPr="00D207EA">
        <w:rPr>
          <w:rFonts w:asciiTheme="minorHAnsi" w:hAnsiTheme="minorHAnsi"/>
          <w:noProof/>
          <w:sz w:val="22"/>
        </w:rPr>
        <w:tab/>
      </w:r>
      <w:r w:rsidRPr="00D207EA">
        <w:rPr>
          <w:noProof/>
        </w:rPr>
        <w:t>Vue d’ensemble de l’incidence estimée sur les investissements liés aux technologies numériques</w:t>
      </w:r>
      <w:r w:rsidRPr="00D207EA">
        <w:rPr>
          <w:noProof/>
          <w:webHidden/>
        </w:rPr>
        <w:tab/>
        <w:t>28</w:t>
      </w:r>
    </w:p>
    <w:p w14:paraId="32D02B75"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3.2.6.</w:t>
      </w:r>
      <w:r w:rsidRPr="00D207EA">
        <w:rPr>
          <w:rFonts w:asciiTheme="minorHAnsi" w:hAnsiTheme="minorHAnsi"/>
          <w:noProof/>
          <w:sz w:val="22"/>
        </w:rPr>
        <w:tab/>
      </w:r>
      <w:r w:rsidRPr="00D207EA">
        <w:rPr>
          <w:noProof/>
        </w:rPr>
        <w:t>Compatibilité avec le cadre financier pluriannuel actuel</w:t>
      </w:r>
      <w:r w:rsidRPr="00D207EA">
        <w:rPr>
          <w:noProof/>
          <w:webHidden/>
        </w:rPr>
        <w:tab/>
        <w:t>28</w:t>
      </w:r>
    </w:p>
    <w:p w14:paraId="7720023D" w14:textId="77777777" w:rsidR="004A489F" w:rsidRPr="00D207EA" w:rsidRDefault="004A489F" w:rsidP="004A489F">
      <w:pPr>
        <w:pStyle w:val="TOC3"/>
        <w:rPr>
          <w:rFonts w:asciiTheme="minorHAnsi" w:eastAsiaTheme="minorEastAsia" w:hAnsiTheme="minorHAnsi" w:cstheme="minorBidi"/>
          <w:noProof/>
          <w:kern w:val="2"/>
          <w:sz w:val="22"/>
          <w14:ligatures w14:val="standardContextual"/>
        </w:rPr>
      </w:pPr>
      <w:r w:rsidRPr="00D207EA">
        <w:rPr>
          <w:noProof/>
        </w:rPr>
        <w:t>3.2.7.</w:t>
      </w:r>
      <w:r w:rsidRPr="00D207EA">
        <w:rPr>
          <w:rFonts w:asciiTheme="minorHAnsi" w:hAnsiTheme="minorHAnsi"/>
          <w:noProof/>
          <w:sz w:val="22"/>
        </w:rPr>
        <w:tab/>
      </w:r>
      <w:r w:rsidRPr="00D207EA">
        <w:rPr>
          <w:noProof/>
        </w:rPr>
        <w:t>Participation de tiers au financement</w:t>
      </w:r>
      <w:r w:rsidRPr="00D207EA">
        <w:rPr>
          <w:noProof/>
          <w:webHidden/>
        </w:rPr>
        <w:tab/>
        <w:t>28</w:t>
      </w:r>
    </w:p>
    <w:p w14:paraId="2202DD17" w14:textId="77777777" w:rsidR="004A489F" w:rsidRPr="00D207EA" w:rsidRDefault="004A489F" w:rsidP="004A489F">
      <w:pPr>
        <w:pStyle w:val="TOC2"/>
        <w:rPr>
          <w:rFonts w:asciiTheme="minorHAnsi" w:eastAsiaTheme="minorEastAsia" w:hAnsiTheme="minorHAnsi" w:cstheme="minorBidi"/>
          <w:noProof/>
          <w:kern w:val="2"/>
          <w:sz w:val="22"/>
          <w14:ligatures w14:val="standardContextual"/>
        </w:rPr>
      </w:pPr>
      <w:r w:rsidRPr="00D207EA">
        <w:rPr>
          <w:noProof/>
        </w:rPr>
        <w:t>3.3.</w:t>
      </w:r>
      <w:r w:rsidRPr="00D207EA">
        <w:rPr>
          <w:rFonts w:asciiTheme="minorHAnsi" w:hAnsiTheme="minorHAnsi"/>
          <w:noProof/>
          <w:sz w:val="22"/>
        </w:rPr>
        <w:tab/>
      </w:r>
      <w:r w:rsidRPr="00D207EA">
        <w:rPr>
          <w:noProof/>
        </w:rPr>
        <w:t>Incidence estimée sur les recettes</w:t>
      </w:r>
      <w:r w:rsidRPr="00D207EA">
        <w:rPr>
          <w:noProof/>
          <w:webHidden/>
        </w:rPr>
        <w:tab/>
        <w:t>29</w:t>
      </w:r>
    </w:p>
    <w:p w14:paraId="62E889CE" w14:textId="77777777" w:rsidR="004A489F" w:rsidRPr="00D207EA" w:rsidRDefault="004A489F" w:rsidP="004A489F">
      <w:pPr>
        <w:pStyle w:val="TOC1"/>
        <w:rPr>
          <w:rFonts w:asciiTheme="minorHAnsi" w:eastAsiaTheme="minorEastAsia" w:hAnsiTheme="minorHAnsi" w:cstheme="minorBidi"/>
          <w:noProof/>
          <w:kern w:val="2"/>
          <w:sz w:val="22"/>
          <w14:ligatures w14:val="standardContextual"/>
        </w:rPr>
      </w:pPr>
      <w:r w:rsidRPr="00D207EA">
        <w:rPr>
          <w:noProof/>
        </w:rPr>
        <w:t>4.</w:t>
      </w:r>
      <w:r w:rsidRPr="00D207EA">
        <w:rPr>
          <w:rFonts w:asciiTheme="minorHAnsi" w:hAnsiTheme="minorHAnsi"/>
          <w:noProof/>
          <w:sz w:val="22"/>
        </w:rPr>
        <w:tab/>
      </w:r>
      <w:r w:rsidRPr="00D207EA">
        <w:rPr>
          <w:caps/>
          <w:noProof/>
        </w:rPr>
        <w:t>Dimensions numériques</w:t>
      </w:r>
      <w:r w:rsidRPr="00D207EA">
        <w:rPr>
          <w:noProof/>
          <w:webHidden/>
        </w:rPr>
        <w:tab/>
        <w:t>29</w:t>
      </w:r>
    </w:p>
    <w:p w14:paraId="0DFB847F" w14:textId="77777777" w:rsidR="004A489F" w:rsidRPr="00D207EA" w:rsidRDefault="004A489F" w:rsidP="004A489F">
      <w:pPr>
        <w:pStyle w:val="TOC2"/>
        <w:rPr>
          <w:rFonts w:asciiTheme="minorHAnsi" w:eastAsiaTheme="minorEastAsia" w:hAnsiTheme="minorHAnsi" w:cstheme="minorBidi"/>
          <w:noProof/>
          <w:kern w:val="2"/>
          <w:sz w:val="22"/>
          <w14:ligatures w14:val="standardContextual"/>
        </w:rPr>
      </w:pPr>
      <w:r w:rsidRPr="00D207EA">
        <w:rPr>
          <w:noProof/>
        </w:rPr>
        <w:t>4.1.</w:t>
      </w:r>
      <w:r w:rsidRPr="00D207EA">
        <w:rPr>
          <w:rFonts w:asciiTheme="minorHAnsi" w:hAnsiTheme="minorHAnsi"/>
          <w:noProof/>
          <w:sz w:val="22"/>
        </w:rPr>
        <w:tab/>
      </w:r>
      <w:r w:rsidRPr="00D207EA">
        <w:rPr>
          <w:noProof/>
        </w:rPr>
        <w:t>Exigences pertinentes en matière numérique</w:t>
      </w:r>
      <w:r w:rsidRPr="00D207EA">
        <w:rPr>
          <w:noProof/>
          <w:webHidden/>
        </w:rPr>
        <w:tab/>
        <w:t>30</w:t>
      </w:r>
    </w:p>
    <w:p w14:paraId="0516BBC1" w14:textId="77777777" w:rsidR="004A489F" w:rsidRPr="00D207EA" w:rsidRDefault="004A489F" w:rsidP="004A489F">
      <w:pPr>
        <w:pStyle w:val="TOC2"/>
        <w:rPr>
          <w:rFonts w:asciiTheme="minorHAnsi" w:eastAsiaTheme="minorEastAsia" w:hAnsiTheme="minorHAnsi" w:cstheme="minorBidi"/>
          <w:noProof/>
          <w:kern w:val="2"/>
          <w:sz w:val="22"/>
          <w14:ligatures w14:val="standardContextual"/>
        </w:rPr>
      </w:pPr>
      <w:r w:rsidRPr="00D207EA">
        <w:rPr>
          <w:noProof/>
        </w:rPr>
        <w:t>4.2.</w:t>
      </w:r>
      <w:r w:rsidRPr="00D207EA">
        <w:rPr>
          <w:rFonts w:asciiTheme="minorHAnsi" w:hAnsiTheme="minorHAnsi"/>
          <w:noProof/>
          <w:sz w:val="22"/>
        </w:rPr>
        <w:tab/>
      </w:r>
      <w:r w:rsidRPr="00D207EA">
        <w:rPr>
          <w:noProof/>
        </w:rPr>
        <w:t>Données</w:t>
      </w:r>
      <w:r w:rsidRPr="00D207EA">
        <w:rPr>
          <w:noProof/>
          <w:webHidden/>
        </w:rPr>
        <w:tab/>
        <w:t>30</w:t>
      </w:r>
    </w:p>
    <w:p w14:paraId="542D96C1" w14:textId="77777777" w:rsidR="004A489F" w:rsidRPr="00D207EA" w:rsidRDefault="004A489F" w:rsidP="004A489F">
      <w:pPr>
        <w:pStyle w:val="TOC2"/>
        <w:rPr>
          <w:rFonts w:asciiTheme="minorHAnsi" w:eastAsiaTheme="minorEastAsia" w:hAnsiTheme="minorHAnsi" w:cstheme="minorBidi"/>
          <w:noProof/>
          <w:kern w:val="2"/>
          <w:sz w:val="22"/>
          <w14:ligatures w14:val="standardContextual"/>
        </w:rPr>
      </w:pPr>
      <w:r w:rsidRPr="00D207EA">
        <w:rPr>
          <w:noProof/>
        </w:rPr>
        <w:t>4.3.</w:t>
      </w:r>
      <w:r w:rsidRPr="00D207EA">
        <w:rPr>
          <w:rFonts w:asciiTheme="minorHAnsi" w:hAnsiTheme="minorHAnsi"/>
          <w:noProof/>
          <w:sz w:val="22"/>
        </w:rPr>
        <w:tab/>
      </w:r>
      <w:r w:rsidRPr="00D207EA">
        <w:rPr>
          <w:noProof/>
        </w:rPr>
        <w:t>Solutions numériques</w:t>
      </w:r>
      <w:r w:rsidRPr="00D207EA">
        <w:rPr>
          <w:noProof/>
          <w:webHidden/>
        </w:rPr>
        <w:tab/>
        <w:t>31</w:t>
      </w:r>
    </w:p>
    <w:p w14:paraId="73FD5A6E" w14:textId="77777777" w:rsidR="004A489F" w:rsidRPr="00D207EA" w:rsidRDefault="004A489F" w:rsidP="004A489F">
      <w:pPr>
        <w:pStyle w:val="TOC2"/>
        <w:rPr>
          <w:rFonts w:asciiTheme="minorHAnsi" w:eastAsiaTheme="minorEastAsia" w:hAnsiTheme="minorHAnsi" w:cstheme="minorBidi"/>
          <w:noProof/>
          <w:kern w:val="2"/>
          <w:sz w:val="22"/>
          <w14:ligatures w14:val="standardContextual"/>
        </w:rPr>
      </w:pPr>
      <w:r w:rsidRPr="00D207EA">
        <w:rPr>
          <w:noProof/>
        </w:rPr>
        <w:t>4.4.</w:t>
      </w:r>
      <w:r w:rsidRPr="00D207EA">
        <w:rPr>
          <w:rFonts w:asciiTheme="minorHAnsi" w:hAnsiTheme="minorHAnsi"/>
          <w:noProof/>
          <w:sz w:val="22"/>
        </w:rPr>
        <w:tab/>
      </w:r>
      <w:r w:rsidRPr="00D207EA">
        <w:rPr>
          <w:noProof/>
        </w:rPr>
        <w:t>Évaluation de l’interopérabilité</w:t>
      </w:r>
      <w:r w:rsidRPr="00D207EA">
        <w:rPr>
          <w:noProof/>
          <w:webHidden/>
        </w:rPr>
        <w:tab/>
        <w:t>31</w:t>
      </w:r>
    </w:p>
    <w:p w14:paraId="59831283" w14:textId="77777777" w:rsidR="004A489F" w:rsidRPr="00D207EA" w:rsidRDefault="004A489F" w:rsidP="004A489F">
      <w:pPr>
        <w:pStyle w:val="TOC2"/>
        <w:rPr>
          <w:rFonts w:asciiTheme="minorHAnsi" w:eastAsiaTheme="minorEastAsia" w:hAnsiTheme="minorHAnsi" w:cstheme="minorBidi"/>
          <w:noProof/>
          <w:kern w:val="2"/>
          <w:sz w:val="22"/>
          <w14:ligatures w14:val="standardContextual"/>
        </w:rPr>
      </w:pPr>
      <w:r w:rsidRPr="00D207EA">
        <w:rPr>
          <w:noProof/>
        </w:rPr>
        <w:t>4.5.</w:t>
      </w:r>
      <w:r w:rsidRPr="00D207EA">
        <w:rPr>
          <w:rFonts w:asciiTheme="minorHAnsi" w:hAnsiTheme="minorHAnsi"/>
          <w:noProof/>
          <w:sz w:val="22"/>
        </w:rPr>
        <w:tab/>
      </w:r>
      <w:r w:rsidRPr="00D207EA">
        <w:rPr>
          <w:noProof/>
        </w:rPr>
        <w:t>Mesures de soutien de la mise en œuvre numérique</w:t>
      </w:r>
      <w:r w:rsidRPr="00D207EA">
        <w:rPr>
          <w:noProof/>
          <w:webHidden/>
        </w:rPr>
        <w:tab/>
        <w:t>32</w:t>
      </w:r>
    </w:p>
    <w:p w14:paraId="146A22CE" w14:textId="77777777" w:rsidR="004A489F" w:rsidRPr="00D207EA" w:rsidRDefault="004A489F" w:rsidP="004A489F">
      <w:pPr>
        <w:pStyle w:val="TOC1"/>
        <w:ind w:left="0" w:firstLine="0"/>
        <w:rPr>
          <w:noProof/>
        </w:rPr>
        <w:sectPr w:rsidR="004A489F" w:rsidRPr="00D207EA" w:rsidSect="00972E68">
          <w:pgSz w:w="11907" w:h="16840" w:code="9"/>
          <w:pgMar w:top="1134" w:right="1418" w:bottom="1134" w:left="1418" w:header="709" w:footer="709" w:gutter="0"/>
          <w:pgNumType w:start="1"/>
          <w:cols w:space="720"/>
          <w:docGrid w:linePitch="360"/>
        </w:sectPr>
      </w:pPr>
    </w:p>
    <w:p w14:paraId="46C5EBF0" w14:textId="007981DE" w:rsidR="004A489F" w:rsidRPr="00D207EA" w:rsidRDefault="004A489F" w:rsidP="004A489F">
      <w:pPr>
        <w:pStyle w:val="ManualHeading1"/>
        <w:rPr>
          <w:noProof/>
        </w:rPr>
      </w:pPr>
      <w:bookmarkStart w:id="16" w:name="_Toc514938007"/>
      <w:bookmarkStart w:id="17" w:name="_Toc520485025"/>
      <w:bookmarkStart w:id="18" w:name="_Toc160804567"/>
      <w:bookmarkStart w:id="19" w:name="_Toc167220259"/>
      <w:bookmarkStart w:id="20" w:name="_Toc177548992"/>
      <w:r w:rsidRPr="00D207EA">
        <w:rPr>
          <w:noProof/>
        </w:rPr>
        <w:t>1.</w:t>
      </w:r>
      <w:r w:rsidRPr="00D207EA">
        <w:rPr>
          <w:noProof/>
        </w:rPr>
        <w:tab/>
        <w:t>CADRE DE LA PROPOSITION/DE L’INITIATIVE</w:t>
      </w:r>
      <w:bookmarkEnd w:id="16"/>
      <w:bookmarkEnd w:id="17"/>
      <w:bookmarkEnd w:id="18"/>
      <w:bookmarkEnd w:id="19"/>
      <w:bookmarkEnd w:id="20"/>
    </w:p>
    <w:p w14:paraId="31F92B62" w14:textId="77777777" w:rsidR="004A489F" w:rsidRPr="00D207EA" w:rsidRDefault="004A489F" w:rsidP="004A489F">
      <w:pPr>
        <w:pStyle w:val="ManualHeading2"/>
        <w:rPr>
          <w:noProof/>
        </w:rPr>
      </w:pPr>
      <w:bookmarkStart w:id="21" w:name="_Toc514938008"/>
      <w:bookmarkStart w:id="22" w:name="_Toc520485026"/>
      <w:bookmarkStart w:id="23" w:name="_Toc160804568"/>
      <w:bookmarkStart w:id="24" w:name="_Toc167220260"/>
      <w:bookmarkStart w:id="25" w:name="_Toc177548993"/>
      <w:r w:rsidRPr="00D207EA">
        <w:rPr>
          <w:noProof/>
        </w:rPr>
        <w:t>1.1.</w:t>
      </w:r>
      <w:r w:rsidRPr="00D207EA">
        <w:rPr>
          <w:noProof/>
        </w:rPr>
        <w:tab/>
        <w:t>Dénomination de la proposition/de l’initiative</w:t>
      </w:r>
      <w:bookmarkEnd w:id="21"/>
      <w:bookmarkEnd w:id="22"/>
      <w:bookmarkEnd w:id="23"/>
      <w:bookmarkEnd w:id="24"/>
      <w:bookmarkEnd w:id="25"/>
    </w:p>
    <w:p w14:paraId="3F02163C" w14:textId="77777777" w:rsidR="004A489F" w:rsidRPr="00D207EA" w:rsidRDefault="007B2694"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Proposition de règlement du Parlement européen et du Conseil établissant le Fonds européen pour la cohésion économique, sociale et territoriale, l’agriculture et la prospérité et la sécurité dans le secteur rural, maritime et de la pêche pour la période 2028–2034  </w:t>
      </w:r>
      <w:bookmarkStart w:id="26" w:name="_Toc514938011"/>
      <w:bookmarkStart w:id="27" w:name="_Toc520485027"/>
      <w:bookmarkStart w:id="28" w:name="_Toc160804569"/>
      <w:bookmarkStart w:id="29" w:name="_Toc167220261"/>
      <w:bookmarkStart w:id="30" w:name="_Toc177548994"/>
    </w:p>
    <w:p w14:paraId="4E1BC826" w14:textId="5077D460" w:rsidR="004A489F" w:rsidRPr="00D207EA" w:rsidRDefault="004A489F" w:rsidP="004A489F">
      <w:pPr>
        <w:pStyle w:val="ManualHeading2"/>
        <w:rPr>
          <w:i/>
          <w:noProof/>
        </w:rPr>
      </w:pPr>
      <w:r w:rsidRPr="00D207EA">
        <w:rPr>
          <w:noProof/>
        </w:rPr>
        <w:t>1.2.</w:t>
      </w:r>
      <w:r w:rsidRPr="00D207EA">
        <w:rPr>
          <w:noProof/>
        </w:rPr>
        <w:tab/>
        <w:t>Domaine(s) politique(s) concerné(s)</w:t>
      </w:r>
      <w:bookmarkEnd w:id="26"/>
      <w:bookmarkEnd w:id="27"/>
      <w:bookmarkEnd w:id="28"/>
      <w:bookmarkEnd w:id="29"/>
      <w:bookmarkEnd w:id="30"/>
    </w:p>
    <w:p w14:paraId="1ADA372B" w14:textId="5F91881E"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Compétitivité</w:t>
      </w:r>
    </w:p>
    <w:p w14:paraId="40832C89" w14:textId="6D1FC0F6"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Développement régional</w:t>
      </w:r>
    </w:p>
    <w:p w14:paraId="03505B4A" w14:textId="763A83F1"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Affaires sociales</w:t>
      </w:r>
    </w:p>
    <w:p w14:paraId="3CCADF5A" w14:textId="3DE4A804"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Agriculture</w:t>
      </w:r>
    </w:p>
    <w:p w14:paraId="4DE765C0" w14:textId="77777777"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Défense</w:t>
      </w:r>
    </w:p>
    <w:p w14:paraId="4137505D" w14:textId="77777777" w:rsidR="00AC3633" w:rsidRPr="00D207EA" w:rsidRDefault="00AC3633"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Préparation</w:t>
      </w:r>
    </w:p>
    <w:p w14:paraId="0212E2EB" w14:textId="080E77D9"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Affaires intérieures</w:t>
      </w:r>
    </w:p>
    <w:p w14:paraId="299810C3" w14:textId="2E1883DE"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Affaires maritimes et pêche</w:t>
      </w:r>
    </w:p>
    <w:p w14:paraId="49C7D5F1" w14:textId="7D87B2C9"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Environnement et action climatique</w:t>
      </w:r>
    </w:p>
    <w:p w14:paraId="12676BE0" w14:textId="77777777" w:rsidR="006D3F48" w:rsidRPr="00D207EA" w:rsidRDefault="00DE793C"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Démocratie, culture et valeurs de l’Union</w:t>
      </w:r>
    </w:p>
    <w:p w14:paraId="24A22461" w14:textId="77777777" w:rsidR="004A489F" w:rsidRPr="00D207EA" w:rsidRDefault="004A489F" w:rsidP="004A489F">
      <w:pPr>
        <w:pStyle w:val="ManualHeading2"/>
        <w:rPr>
          <w:noProof/>
        </w:rPr>
      </w:pPr>
      <w:bookmarkStart w:id="31" w:name="_Toc514938015"/>
      <w:bookmarkStart w:id="32" w:name="_Toc520485029"/>
      <w:bookmarkStart w:id="33" w:name="_Toc160804571"/>
      <w:bookmarkStart w:id="34" w:name="_Toc167220263"/>
      <w:bookmarkStart w:id="35" w:name="_Toc177548995"/>
      <w:r w:rsidRPr="00D207EA">
        <w:rPr>
          <w:noProof/>
        </w:rPr>
        <w:t>1.3.</w:t>
      </w:r>
      <w:r w:rsidRPr="00D207EA">
        <w:rPr>
          <w:noProof/>
        </w:rPr>
        <w:tab/>
        <w:t>Objectifs</w:t>
      </w:r>
      <w:bookmarkEnd w:id="31"/>
      <w:bookmarkEnd w:id="32"/>
      <w:bookmarkEnd w:id="33"/>
      <w:bookmarkEnd w:id="34"/>
      <w:bookmarkEnd w:id="35"/>
    </w:p>
    <w:p w14:paraId="7B5A52F5" w14:textId="77777777" w:rsidR="004A489F" w:rsidRPr="00D207EA" w:rsidRDefault="004A489F" w:rsidP="004A489F">
      <w:pPr>
        <w:pStyle w:val="ManualHeading3"/>
        <w:rPr>
          <w:noProof/>
        </w:rPr>
      </w:pPr>
      <w:bookmarkStart w:id="36" w:name="_Toc514938016"/>
      <w:bookmarkStart w:id="37" w:name="_Toc520485030"/>
      <w:bookmarkStart w:id="38" w:name="_Toc160804572"/>
      <w:bookmarkStart w:id="39" w:name="_Toc167220264"/>
      <w:bookmarkStart w:id="40" w:name="_Toc177548996"/>
      <w:r w:rsidRPr="00D207EA">
        <w:rPr>
          <w:noProof/>
        </w:rPr>
        <w:t>1.3.1.</w:t>
      </w:r>
      <w:r w:rsidRPr="00D207EA">
        <w:rPr>
          <w:noProof/>
        </w:rPr>
        <w:tab/>
        <w:t>Objectifs généraux</w:t>
      </w:r>
      <w:bookmarkEnd w:id="36"/>
      <w:bookmarkEnd w:id="37"/>
      <w:bookmarkEnd w:id="38"/>
      <w:bookmarkEnd w:id="39"/>
      <w:bookmarkEnd w:id="40"/>
    </w:p>
    <w:p w14:paraId="532D8A46" w14:textId="77777777"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Le Fonds vise à: </w:t>
      </w:r>
    </w:p>
    <w:p w14:paraId="151E7048" w14:textId="77777777"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 réduire les déséquilibres régionaux dans l’Union et le retard des régions les moins favorisées et promouvoir la coopération territoriale européenne;</w:t>
      </w:r>
    </w:p>
    <w:p w14:paraId="4BC62D42" w14:textId="77777777"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 soutenir l’emploi de qualité, l’éducation et les compétences ainsi que l’inclusion sociale et contribuer à une transition socialement équitable vers la neutralité climatique;  </w:t>
      </w:r>
    </w:p>
    <w:p w14:paraId="0CC3122C" w14:textId="77777777"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 soutenir la mise en œuvre de la politique agricole commune de l’Union;  </w:t>
      </w:r>
    </w:p>
    <w:p w14:paraId="329CE99E" w14:textId="77777777" w:rsidR="004D1848" w:rsidRPr="00D207EA" w:rsidRDefault="004D1848"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 soutenir la mise en œuvre de la politique commune de la pêche de l’Union;</w:t>
      </w:r>
    </w:p>
    <w:p w14:paraId="48BB1EC0" w14:textId="59E2D2BD"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 protéger et renforcer la démocratie dans l’Union et défendre ses valeurs.</w:t>
      </w:r>
    </w:p>
    <w:p w14:paraId="4D97891C" w14:textId="77777777" w:rsidR="004A489F" w:rsidRPr="00D207EA" w:rsidRDefault="004A489F" w:rsidP="004A489F">
      <w:pPr>
        <w:pStyle w:val="ManualHeading3"/>
        <w:rPr>
          <w:noProof/>
        </w:rPr>
      </w:pPr>
      <w:bookmarkStart w:id="41" w:name="_Toc514938018"/>
      <w:bookmarkStart w:id="42" w:name="_Toc520485031"/>
      <w:bookmarkStart w:id="43" w:name="_Toc160804573"/>
      <w:bookmarkStart w:id="44" w:name="_Toc167220265"/>
      <w:bookmarkStart w:id="45" w:name="_Toc177548997"/>
      <w:r w:rsidRPr="00D207EA">
        <w:rPr>
          <w:noProof/>
        </w:rPr>
        <w:t>1.3.2.</w:t>
      </w:r>
      <w:r w:rsidRPr="00D207EA">
        <w:rPr>
          <w:noProof/>
        </w:rPr>
        <w:tab/>
        <w:t>Objectifs spécifiques</w:t>
      </w:r>
      <w:bookmarkEnd w:id="41"/>
      <w:bookmarkEnd w:id="42"/>
      <w:bookmarkEnd w:id="43"/>
      <w:bookmarkEnd w:id="44"/>
      <w:bookmarkEnd w:id="45"/>
    </w:p>
    <w:p w14:paraId="4973DD73" w14:textId="201B3F98"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Les objectifs spécifiques du Fonds s’articulent autour de cinq piliers et visent à contribuer à la prospérité durable de l’Europe dans toutes les régions, à renforcer ses capacités de défense et sa sécurité; à soutenir les personnes et à consolider les sociétés de l’Union et son modèle social; à soutenir la qualité de la vie dans l’Union; à protéger et à renforcer les droits fondamentaux, la démocratie et l’état de droit, et à défendre les valeurs de l’Union.</w:t>
      </w:r>
    </w:p>
    <w:p w14:paraId="7D035C4A" w14:textId="77777777" w:rsidR="004A489F" w:rsidRPr="00D207EA" w:rsidRDefault="004A489F" w:rsidP="004A489F">
      <w:pPr>
        <w:pStyle w:val="ManualHeading3"/>
        <w:rPr>
          <w:noProof/>
        </w:rPr>
      </w:pPr>
      <w:bookmarkStart w:id="46" w:name="_Toc514938019"/>
      <w:bookmarkStart w:id="47" w:name="_Toc520485032"/>
      <w:bookmarkStart w:id="48" w:name="_Toc160804574"/>
      <w:bookmarkStart w:id="49" w:name="_Toc167220266"/>
      <w:bookmarkStart w:id="50" w:name="_Toc177548998"/>
      <w:r w:rsidRPr="00D207EA">
        <w:rPr>
          <w:noProof/>
        </w:rPr>
        <w:t>1.3.3.</w:t>
      </w:r>
      <w:r w:rsidRPr="00D207EA">
        <w:rPr>
          <w:noProof/>
        </w:rPr>
        <w:tab/>
        <w:t>Résultat(s) et incidence(s) attendus</w:t>
      </w:r>
      <w:bookmarkEnd w:id="46"/>
      <w:bookmarkEnd w:id="47"/>
      <w:bookmarkEnd w:id="48"/>
      <w:bookmarkEnd w:id="49"/>
      <w:bookmarkEnd w:id="50"/>
    </w:p>
    <w:p w14:paraId="04F88915" w14:textId="6DBB711A" w:rsidR="004A489F" w:rsidRPr="00D207EA" w:rsidRDefault="007B2694"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Le règlement proposé établit les règles financières pour le soutien de l’Union fourni dans le cadre du Fonds européen pour la cohésion économique, sociale et territoriale, l’agriculture et la prospérité et la sécurité dans le secteur rural, maritime et de la pêche au moyen des plans de partenariat national et régional (les «plans»), du plan Interreg et de la Facilité de l’UE. Il prévoit les ressources financières pour la période de programmation 2028-2034.</w:t>
      </w:r>
    </w:p>
    <w:p w14:paraId="4DAFAA64" w14:textId="4AEEE77C"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Ce nouveau Fonds vise à renforcer la cohésion économique, sociale et territoriale de l’Union, à soutenir la mise en œuvre de la politique agricole commune et de la politique commune de la pêche, à stimuler la compétitivité de l’Union, à renforcer la gestion des migrations et des frontières, ainsi qu’à améliorer la défense et la sécurité et à protéger la démocratie européenne. Il contribuera également à d’autres priorités transversales de l’Union, telles que la protection de l’environnement et la lutte contre le changement climatique, la préparation, la promotion de l’état de droit et l’achèvement du marché unique, en synergie avec d’autres programmes budgétaires de l’Union.</w:t>
      </w:r>
    </w:p>
    <w:p w14:paraId="6728AE45" w14:textId="4A334F65"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Le soutien apporté dans le cadre des plans de partenariat national et régional sera adapté aux besoins et aux contextes locaux, tout en garantissant l’alignement sur les priorités de l’Union. En s’alignant sur d’autres politiques et en facilitant la mise en œuvre pour tous les bénéficiaires, les politiques dans les domaines de la cohésion, de l’agriculture et des affaires intérieures ainsi que la politique sociale devraient gagner en efficacité et en résilience.</w:t>
      </w:r>
    </w:p>
    <w:p w14:paraId="1EB27525" w14:textId="2D79BD3E"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Avec son règlement unique et son nombre réduit de documents de programmation, le but du Fonds est de simplifier considérablement les procédures et de réduire la charge administrative pour les bénéficiaires, les États membres et la Commission, tout en fournissant des garanties solides sur l’utilisation régulière et efficace des fonds de l’Union.</w:t>
      </w:r>
    </w:p>
    <w:p w14:paraId="3F44CB62" w14:textId="325DCE6A"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La mise en œuvre fondée sur des objectifs et la combinaison de réformes et d’investissements se renforçant mutuellement produiront des effets plus importants et permettront de bénéficier d’un meilleur rapport qualité/prix. Les paiements seront subordonnés à la réalisation d’objectifs convenus à l’avance, ce qui devrait permettre de débloquer des fonds et d’obtenir des résultats plus efficacement et plus rapidement.</w:t>
      </w:r>
    </w:p>
    <w:p w14:paraId="4D3B3841" w14:textId="53C478A5"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Les plans intégreront des mesures visant à faciliter leur mise en œuvre, que ce soit au niveau de leur conception, de leur mise en œuvre ou de leur suivi. Le Fonds offrira également une flexibilité suffisante, que ce soit, par exemple, au moyen d’allocations échelonnées et d’une meilleure réactivité aux crises imprévues, notamment au moyen de la Facilité de l’UE.</w:t>
      </w:r>
    </w:p>
    <w:p w14:paraId="73EA04A7" w14:textId="77777777" w:rsidR="004A489F" w:rsidRPr="00D207EA" w:rsidRDefault="004A489F" w:rsidP="004A489F">
      <w:pPr>
        <w:pStyle w:val="ManualHeading3"/>
        <w:rPr>
          <w:noProof/>
        </w:rPr>
      </w:pPr>
      <w:bookmarkStart w:id="51" w:name="_Toc514938023"/>
      <w:bookmarkStart w:id="52" w:name="_Toc520485033"/>
      <w:bookmarkStart w:id="53" w:name="_Toc160804575"/>
      <w:bookmarkStart w:id="54" w:name="_Toc167220267"/>
      <w:bookmarkStart w:id="55" w:name="_Toc177548999"/>
      <w:r w:rsidRPr="00D207EA">
        <w:rPr>
          <w:noProof/>
        </w:rPr>
        <w:t>1.3.4.</w:t>
      </w:r>
      <w:r w:rsidRPr="00D207EA">
        <w:rPr>
          <w:noProof/>
        </w:rPr>
        <w:tab/>
        <w:t>Indicateurs de performance</w:t>
      </w:r>
      <w:bookmarkEnd w:id="51"/>
      <w:bookmarkEnd w:id="52"/>
      <w:bookmarkEnd w:id="53"/>
      <w:bookmarkEnd w:id="54"/>
      <w:bookmarkEnd w:id="55"/>
    </w:p>
    <w:p w14:paraId="73C18236" w14:textId="33553E5D"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Les indicateurs de réalisation et de résultat permettant de suivre les progrès et les réussites du présent programme correspondront aux indicateurs communs prévus par le règlement (UE, Euratom) 202X/XXXX [règlement relatif à la performance] proposé parallèlement au présent règlement.</w:t>
      </w:r>
    </w:p>
    <w:p w14:paraId="61AD4215" w14:textId="77777777" w:rsidR="004A489F" w:rsidRPr="00D207EA" w:rsidRDefault="004A489F" w:rsidP="004A489F">
      <w:pPr>
        <w:pStyle w:val="ManualHeading2"/>
        <w:ind w:left="0" w:firstLine="0"/>
        <w:rPr>
          <w:noProof/>
        </w:rPr>
      </w:pPr>
      <w:bookmarkStart w:id="56" w:name="_Toc177549000"/>
      <w:r w:rsidRPr="00D207EA">
        <w:rPr>
          <w:noProof/>
        </w:rPr>
        <w:t>1.4.</w:t>
      </w:r>
      <w:r w:rsidRPr="00D207EA">
        <w:rPr>
          <w:noProof/>
        </w:rPr>
        <w:tab/>
        <w:t>La proposition/l’initiative porte sur:</w:t>
      </w:r>
      <w:bookmarkEnd w:id="56"/>
      <w:r w:rsidRPr="00D207EA">
        <w:rPr>
          <w:noProof/>
        </w:rPr>
        <w:t xml:space="preserve"> </w:t>
      </w:r>
    </w:p>
    <w:p w14:paraId="4ECD1232" w14:textId="50636B8E" w:rsidR="004A489F" w:rsidRPr="00D207EA" w:rsidRDefault="004A489F" w:rsidP="004A489F">
      <w:pPr>
        <w:pStyle w:val="Text1"/>
        <w:rPr>
          <w:noProof/>
          <w:sz w:val="22"/>
        </w:rPr>
      </w:pPr>
      <w:r w:rsidRPr="00D207EA">
        <w:rPr>
          <w:rFonts w:ascii="Wingdings" w:hAnsi="Wingdings"/>
          <w:noProof/>
          <w:sz w:val="22"/>
        </w:rPr>
        <w:t></w:t>
      </w:r>
      <w:r w:rsidRPr="00D207EA">
        <w:rPr>
          <w:i/>
          <w:noProof/>
          <w:sz w:val="22"/>
        </w:rPr>
        <w:t xml:space="preserve"> </w:t>
      </w:r>
      <w:r w:rsidRPr="00D207EA">
        <w:rPr>
          <w:noProof/>
        </w:rPr>
        <w:t>une action nouvelle</w:t>
      </w:r>
    </w:p>
    <w:p w14:paraId="2C3FD797" w14:textId="11220F6A" w:rsidR="004A489F" w:rsidRPr="00D207EA" w:rsidRDefault="004A489F" w:rsidP="004A489F">
      <w:pPr>
        <w:pStyle w:val="Text1"/>
        <w:rPr>
          <w:noProof/>
          <w:sz w:val="22"/>
        </w:rPr>
      </w:pPr>
      <w:r w:rsidRPr="00D207EA">
        <w:rPr>
          <w:rFonts w:ascii="Wingdings" w:hAnsi="Wingdings"/>
          <w:noProof/>
          <w:sz w:val="22"/>
        </w:rPr>
        <w:t></w:t>
      </w:r>
      <w:r w:rsidRPr="00D207EA">
        <w:rPr>
          <w:i/>
          <w:noProof/>
          <w:sz w:val="22"/>
        </w:rPr>
        <w:t xml:space="preserve"> </w:t>
      </w:r>
      <w:r w:rsidRPr="00D207EA">
        <w:rPr>
          <w:noProof/>
        </w:rPr>
        <w:t>une action nouvelle suite à un projet pilote/une action préparatoire</w:t>
      </w:r>
      <w:r w:rsidRPr="00D207EA">
        <w:rPr>
          <w:rStyle w:val="FootnoteReference"/>
          <w:noProof/>
        </w:rPr>
        <w:footnoteReference w:id="31"/>
      </w:r>
    </w:p>
    <w:p w14:paraId="283E8403" w14:textId="62B60D67" w:rsidR="004A489F" w:rsidRPr="00D207EA" w:rsidRDefault="004A489F" w:rsidP="004A489F">
      <w:pPr>
        <w:pStyle w:val="Text1"/>
        <w:rPr>
          <w:noProof/>
          <w:sz w:val="22"/>
        </w:rPr>
      </w:pPr>
      <w:r w:rsidRPr="00D207EA">
        <w:rPr>
          <w:rFonts w:ascii="Wingdings" w:hAnsi="Wingdings"/>
          <w:noProof/>
          <w:sz w:val="22"/>
        </w:rPr>
        <w:t></w:t>
      </w:r>
      <w:r w:rsidRPr="00D207EA">
        <w:rPr>
          <w:i/>
          <w:noProof/>
          <w:sz w:val="22"/>
        </w:rPr>
        <w:t xml:space="preserve"> </w:t>
      </w:r>
      <w:r w:rsidRPr="00D207EA">
        <w:rPr>
          <w:noProof/>
        </w:rPr>
        <w:t>la prolongation d’une action existante</w:t>
      </w:r>
    </w:p>
    <w:p w14:paraId="015B3DDC" w14:textId="77777777" w:rsidR="004A489F" w:rsidRPr="00D207EA" w:rsidRDefault="004A489F" w:rsidP="004A489F">
      <w:pPr>
        <w:pStyle w:val="Text1"/>
        <w:rPr>
          <w:noProof/>
        </w:rPr>
      </w:pPr>
      <w:r w:rsidRPr="00D207EA">
        <w:rPr>
          <w:rFonts w:ascii="Wingdings" w:hAnsi="Wingdings"/>
          <w:noProof/>
          <w:sz w:val="22"/>
        </w:rPr>
        <w:t></w:t>
      </w:r>
      <w:r w:rsidRPr="00D207EA">
        <w:rPr>
          <w:i/>
          <w:noProof/>
          <w:sz w:val="22"/>
        </w:rPr>
        <w:t xml:space="preserve"> </w:t>
      </w:r>
      <w:r w:rsidRPr="00D207EA">
        <w:rPr>
          <w:noProof/>
        </w:rPr>
        <w:t>une fusion ou une réorientation d’une ou de plusieurs actions vers une autre action/une action nouvelle</w:t>
      </w:r>
    </w:p>
    <w:p w14:paraId="2460E170" w14:textId="7D2D1596" w:rsidR="004A489F" w:rsidRPr="00D207EA" w:rsidRDefault="004A489F" w:rsidP="004A489F">
      <w:pPr>
        <w:pStyle w:val="ManualHeading2"/>
        <w:rPr>
          <w:bCs/>
          <w:noProof/>
          <w:szCs w:val="24"/>
        </w:rPr>
      </w:pPr>
      <w:bookmarkStart w:id="57" w:name="_Toc514938025"/>
      <w:bookmarkStart w:id="58" w:name="_Toc520485034"/>
      <w:bookmarkStart w:id="59" w:name="_Toc160804576"/>
      <w:bookmarkStart w:id="60" w:name="_Toc167220268"/>
      <w:bookmarkStart w:id="61" w:name="_Toc177549001"/>
      <w:r w:rsidRPr="00D207EA">
        <w:rPr>
          <w:noProof/>
        </w:rPr>
        <w:t>1.5.</w:t>
      </w:r>
      <w:r w:rsidRPr="00D207EA">
        <w:rPr>
          <w:noProof/>
        </w:rPr>
        <w:tab/>
        <w:t>Justification(s) de la proposition/de l’initiative</w:t>
      </w:r>
      <w:bookmarkEnd w:id="57"/>
      <w:bookmarkEnd w:id="58"/>
      <w:bookmarkEnd w:id="59"/>
      <w:bookmarkEnd w:id="60"/>
      <w:bookmarkEnd w:id="61"/>
    </w:p>
    <w:p w14:paraId="33B5483A" w14:textId="77777777" w:rsidR="004A489F" w:rsidRPr="00D207EA" w:rsidRDefault="004A489F" w:rsidP="004A489F">
      <w:pPr>
        <w:pStyle w:val="ManualHeading3"/>
        <w:rPr>
          <w:noProof/>
        </w:rPr>
      </w:pPr>
      <w:bookmarkStart w:id="62" w:name="_Toc514938026"/>
      <w:bookmarkStart w:id="63" w:name="_Toc520485035"/>
      <w:bookmarkStart w:id="64" w:name="_Toc160804577"/>
      <w:bookmarkStart w:id="65" w:name="_Toc167220269"/>
      <w:bookmarkStart w:id="66" w:name="_Toc177549002"/>
      <w:r w:rsidRPr="00D207EA">
        <w:rPr>
          <w:noProof/>
        </w:rPr>
        <w:t>1.5.1.</w:t>
      </w:r>
      <w:r w:rsidRPr="00D207EA">
        <w:rPr>
          <w:noProof/>
        </w:rPr>
        <w:tab/>
        <w:t>Besoins à satisfaire à court ou à long terme, assorti(s) d’un calendrier détaillé pour la mise en œuvre de l’initiative</w:t>
      </w:r>
      <w:bookmarkEnd w:id="62"/>
      <w:bookmarkEnd w:id="63"/>
      <w:bookmarkEnd w:id="64"/>
      <w:bookmarkEnd w:id="65"/>
      <w:bookmarkEnd w:id="66"/>
    </w:p>
    <w:p w14:paraId="4CA0A370" w14:textId="68464941"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Le Fonds est applicable à partir de 2028 pour toute la durée du cadre financier pluriannuel.</w:t>
      </w:r>
    </w:p>
    <w:p w14:paraId="49AAD106" w14:textId="6B7529CA"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Les États membres programment leurs dotations budgétaires conformément aux exigences énoncées dans le règlement, compte tenu, en particulier, des défis spécifiques à chaque pays définis, entre autres, dans le cadre du Semestre européen et d’autres documents pertinents officiellement adoptés en rapport avec les objectifs soutenus par le Fonds.</w:t>
      </w:r>
    </w:p>
    <w:p w14:paraId="3921A05B" w14:textId="08D108CC"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La nouvelle période de programmation débutera le 1</w:t>
      </w:r>
      <w:r w:rsidRPr="00D207EA">
        <w:rPr>
          <w:noProof/>
          <w:vertAlign w:val="superscript"/>
        </w:rPr>
        <w:t>er</w:t>
      </w:r>
      <w:r w:rsidRPr="00D207EA">
        <w:rPr>
          <w:noProof/>
        </w:rPr>
        <w:t> janvier 2028 et les États membres sont censés présenter leur plan initial avant le 31 janvier 2028 afin d’assurer le lancement de la nouvelle période de programmation dans les délais impartis.</w:t>
      </w:r>
    </w:p>
    <w:p w14:paraId="5A11A058" w14:textId="564B287D"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La mise en œuvre de la gestion directe dans le cadre de la Facilité de l’UE commencera également immédiatement après l’entrée en vigueur du programme.</w:t>
      </w:r>
    </w:p>
    <w:p w14:paraId="71412F46" w14:textId="77777777" w:rsidR="004A489F" w:rsidRPr="00D207EA" w:rsidRDefault="004A489F" w:rsidP="004A489F">
      <w:pPr>
        <w:pStyle w:val="ManualHeading3"/>
        <w:rPr>
          <w:bCs/>
          <w:noProof/>
          <w:szCs w:val="24"/>
        </w:rPr>
      </w:pPr>
      <w:bookmarkStart w:id="67" w:name="_Toc514938029"/>
      <w:bookmarkStart w:id="68" w:name="_Toc520485036"/>
      <w:bookmarkStart w:id="69" w:name="_Toc160804578"/>
      <w:bookmarkStart w:id="70" w:name="_Toc167220270"/>
      <w:bookmarkStart w:id="71" w:name="_Toc177549003"/>
      <w:r w:rsidRPr="00D207EA">
        <w:rPr>
          <w:noProof/>
        </w:rPr>
        <w:t>1.5.2.</w:t>
      </w:r>
      <w:r w:rsidRPr="00D207EA">
        <w:rPr>
          <w:noProof/>
        </w:rPr>
        <w:tab/>
        <w:t>Valeur ajoutée de l’intervention de l’UE (celle-ci peut résulter de différents facteurs, par exemple gains de coordination, sécurité juridique, efficacité accrue, complémentarités, etc.). Aux fins de la présente section, on entend par «valeur ajoutée de l’intervention de l’UE» la valeur découlant de l’intervention de l’UE qui vient s’ajouter à la valeur qui, sans cela, aurait été générée par la seule action des États membres.</w:t>
      </w:r>
      <w:bookmarkEnd w:id="67"/>
      <w:bookmarkEnd w:id="68"/>
      <w:bookmarkEnd w:id="69"/>
      <w:bookmarkEnd w:id="70"/>
      <w:bookmarkEnd w:id="71"/>
    </w:p>
    <w:p w14:paraId="6CBF926E" w14:textId="1C5D2DF6"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u w:val="single"/>
        </w:rPr>
        <w:t>Justification de l’action au niveau européen (ex ante):</w:t>
      </w:r>
      <w:r w:rsidRPr="00D207EA">
        <w:rPr>
          <w:noProof/>
        </w:rPr>
        <w:t xml:space="preserve"> la valeur ajoutée de l’Union est générée en proposant des investissements et des réformes qui n’auraient pas lieu autrement, en élargissant le champ d’application des actions existantes, en soutenant l’intégration des innovations et en renforçant les capacités des administrations des États membres. Il est amplement démontré que les politiques de l’Union n’auraient pas été mises en œuvre sans les investissements complémentaires de l’Union. Grâce aux fonds européens, les États membres et leurs régions ont investi dans des zones, des groupes cibles et des réformes d’une manière qui aurait été impossible avec le seul financement national. Alors que la compétence pour traiter certaines des politiques couvertes par le présent Fonds incombe principalement au niveau national, compte tenu de l’ampleur et des effets des défis, l’action s’est avérée plus efficiente et efficace si l’Union soutient les efforts des États membres et contribue à promouvoir des réformes bénéfiques pour chaque pays et pour l’ensemble de l’Union.</w:t>
      </w:r>
    </w:p>
    <w:p w14:paraId="0C61657F" w14:textId="3DB8F515"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u w:val="single"/>
        </w:rPr>
        <w:t>Valeur ajoutée de l’Union escomptée (ex post):</w:t>
      </w:r>
      <w:r w:rsidRPr="00D207EA">
        <w:rPr>
          <w:noProof/>
        </w:rPr>
        <w:t xml:space="preserve"> comme l’ont montré les crises récentes, les nombreux défis auxquels sont confrontées les économies et les sociétés européennes, notamment en ce qui concerne l’agriculture, la sécurité, la cohésion sociale et territoriale ou l’adaptation au changement climatique, exigent de poursuivre les investissements et les réformes dans ces domaines. L’initiative devrait contribuer à la mise en œuvre coordonnée et cohérente des politiques et priorités de l’Union dans ces domaines, promouvoir les bonnes pratiques et la coopération (pour améliorer la capacité d’élaboration et de mise en œuvre des politiques, faciliter la coopération transnationale), promouvoir les valeurs de l’Union (telles que l’état de droit et les droits fondamentaux) et aider les États membres à surmonter les obstacles institutionnels et réglementaires qui entravent la réalisation des priorités politiques de l’Union, notamment la mise en œuvre de l’acquis de l’Union et l’achèvement du marché unique. Le financement au niveau de l’Union doit également soutenir les biens publics de l’Union, tels que les politiques stratégiques sur lesquelles les États membres ne se concentrent peut-être pas suffisamment du fait, par exemple, de défaillances du marché, mais qui présentent des avantages considérables à l’échelle de l’Union. Il s’agit notamment de projets bénéficiant à plus d’un État membre, tels que les projets à caractère transfrontalier ou les projets importants d’intérêt européen commun.</w:t>
      </w:r>
    </w:p>
    <w:p w14:paraId="0F7F8365" w14:textId="77777777" w:rsidR="004A489F" w:rsidRPr="00D207EA" w:rsidRDefault="004A489F" w:rsidP="004A489F">
      <w:pPr>
        <w:pStyle w:val="ManualHeading3"/>
        <w:rPr>
          <w:noProof/>
        </w:rPr>
      </w:pPr>
      <w:bookmarkStart w:id="72" w:name="_Toc514938030"/>
      <w:bookmarkStart w:id="73" w:name="_Toc520485037"/>
      <w:bookmarkStart w:id="74" w:name="_Toc160804579"/>
      <w:bookmarkStart w:id="75" w:name="_Toc167220271"/>
      <w:bookmarkStart w:id="76" w:name="_Toc177549004"/>
      <w:r w:rsidRPr="00D207EA">
        <w:rPr>
          <w:noProof/>
        </w:rPr>
        <w:t>1.5.3.</w:t>
      </w:r>
      <w:r w:rsidRPr="00D207EA">
        <w:rPr>
          <w:noProof/>
        </w:rPr>
        <w:tab/>
        <w:t>Leçons tirées d’expériences similaires</w:t>
      </w:r>
      <w:bookmarkEnd w:id="72"/>
      <w:bookmarkEnd w:id="73"/>
      <w:bookmarkEnd w:id="74"/>
      <w:bookmarkEnd w:id="75"/>
      <w:bookmarkEnd w:id="76"/>
    </w:p>
    <w:p w14:paraId="29E06D65" w14:textId="4F4B95EB"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Le présent Fonds s’appuie sur l’expérience acquise lors de la mise en œuvre d’autres financements pertinents de l’Union au cours de la période de programmation 2021-2027, qui a permis de tirer les principaux enseignements suivants:</w:t>
      </w:r>
    </w:p>
    <w:p w14:paraId="21D17BE8" w14:textId="7B9F01BD"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 xml:space="preserve">1) </w:t>
      </w:r>
      <w:r w:rsidRPr="00D207EA">
        <w:rPr>
          <w:noProof/>
          <w:u w:val="single"/>
        </w:rPr>
        <w:t>Simplification:</w:t>
      </w:r>
      <w:r w:rsidRPr="00D207EA">
        <w:rPr>
          <w:noProof/>
        </w:rPr>
        <w:t xml:space="preserve"> il est nécessaire de réduire la complexité, la charge administrative et les coûts pour les autorités des États membres, les bénéficiaires et la Commission, en raison de la fragmentation actuelle du soutien de l’Union et de la coexistence de règles d’éligibilité, de modèles de mise en œuvre et de systèmes d’assurance différents.</w:t>
      </w:r>
    </w:p>
    <w:p w14:paraId="7C8B404E" w14:textId="6E864DC8"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2)·</w:t>
      </w:r>
      <w:r w:rsidRPr="00D207EA">
        <w:rPr>
          <w:noProof/>
          <w:u w:val="single"/>
        </w:rPr>
        <w:t>Flexibilité:</w:t>
      </w:r>
      <w:r w:rsidRPr="00D207EA">
        <w:rPr>
          <w:noProof/>
        </w:rPr>
        <w:t xml:space="preserve"> il est nécessaire d’avoir un budget plus flexible, capable de répondre aux nouveaux besoins et aux priorités qui apparaissent tout au long de la période de programmation. Ces flexibilités devraient être intégrées dans la conception du Fonds tout en garantissant la prévisibilité du financement de l’Union et la réalisation des objectifs stratégiques à long terme.</w:t>
      </w:r>
    </w:p>
    <w:p w14:paraId="052EE60D" w14:textId="4D398B4F"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 xml:space="preserve">3) </w:t>
      </w:r>
      <w:r w:rsidRPr="00D207EA">
        <w:rPr>
          <w:noProof/>
          <w:u w:val="single"/>
        </w:rPr>
        <w:t>Cohérence</w:t>
      </w:r>
      <w:r w:rsidRPr="00D207EA">
        <w:rPr>
          <w:noProof/>
        </w:rPr>
        <w:t>: il est nécessaire de renforcer la cohérence entre les fonds et les cadres d’action. Le budget de l’Union devrait tirer pleinement parti de son importance pour encourager les investissements et les réformes qui contribuent aux objectifs de l’Union et permettent de relever les défis nationaux et régionaux d’une manière plus globale et coordonnée. Cela devrait améliorer la cohérence entre les priorités de l’Union et les actions nationales et régionales, ainsi que l’optimisation des ressources.</w:t>
      </w:r>
    </w:p>
    <w:p w14:paraId="733C41FB" w14:textId="77777777" w:rsidR="004A489F" w:rsidRPr="00D207EA" w:rsidRDefault="004A489F" w:rsidP="004A489F">
      <w:pPr>
        <w:pStyle w:val="ManualHeading3"/>
        <w:rPr>
          <w:noProof/>
        </w:rPr>
      </w:pPr>
      <w:bookmarkStart w:id="77" w:name="_Toc514938033"/>
      <w:bookmarkStart w:id="78" w:name="_Toc520485038"/>
      <w:bookmarkStart w:id="79" w:name="_Toc160804580"/>
      <w:bookmarkStart w:id="80" w:name="_Toc167220272"/>
      <w:bookmarkStart w:id="81" w:name="_Toc177549005"/>
      <w:r w:rsidRPr="00D207EA">
        <w:rPr>
          <w:noProof/>
        </w:rPr>
        <w:t>1.5.4.</w:t>
      </w:r>
      <w:r w:rsidRPr="00D207EA">
        <w:rPr>
          <w:noProof/>
        </w:rPr>
        <w:tab/>
        <w:t>Compatibilité avec le cadre financier pluriannuel et synergies éventuelles avec d’autres instruments appropriés</w:t>
      </w:r>
      <w:bookmarkEnd w:id="77"/>
      <w:bookmarkEnd w:id="78"/>
      <w:bookmarkEnd w:id="79"/>
      <w:bookmarkEnd w:id="80"/>
      <w:bookmarkEnd w:id="81"/>
    </w:p>
    <w:p w14:paraId="69BC4267" w14:textId="33A23143"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La cohérence et la complémentarité entre le Fonds et les autres fonds de l’Union, notamment le Fonds européen pour la compétitivité, le mécanisme pour l’interconnexion en Europe (MIE), Erasmus et le Fonds «L’Europe dans le monde», sont assurées, en particulier, par le mécanisme directeur qui fournira des orientations sur les principales priorités politiques à financer dans le cadre de chaque procédure budgétaire annuelle. Les synergies potentielles avec le Fonds européen pour la compétitivité, le Fonds «L’Europe dans le monde» et le MIE découlent de la possibilité de soutenir, dans le cadre du Fonds, des réformes et des investissements contribuant aux initiatives transfrontalières et à la compétitivité européenne.</w:t>
      </w:r>
    </w:p>
    <w:p w14:paraId="764C4BF2" w14:textId="7048AFD4"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La Commission et les États membres devraient garantir i) la complémentarité et la cohérence entre les différents instruments aux niveaux national, régional et de l’Union, tant lors de la phase de planification que durant la mise en œuvre; ii) une coopération étroite entre les autorités responsables de la mise en œuvre et du contrôle aux niveaux national, régional et de l’Union pour atteindre les objectifs du Fonds.</w:t>
      </w:r>
    </w:p>
    <w:p w14:paraId="680A7DA5" w14:textId="2F8E45B6"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Le soutien financier accordé au titre du Fonds complétera le soutien fourni au titre d’autres fonds et programmes de l’Union. Les opérations peuvent bénéficier du soutien d’autres programmes et instruments de l’Union, à condition que ce soutien ne couvre pas les mêmes coûts. À cette fin, les États membres et la Commission devraient coopérer dans la conception et la mise en œuvre des opérations qui sont financées de manière cumulative par le plan de partenariat national et régional et par d’autres programmes de l’Union, afin d’éviter un double financement.</w:t>
      </w:r>
    </w:p>
    <w:p w14:paraId="75831128" w14:textId="77777777" w:rsidR="004A489F" w:rsidRPr="00D207EA" w:rsidRDefault="004A489F" w:rsidP="004A489F">
      <w:pPr>
        <w:pStyle w:val="ManualHeading3"/>
        <w:rPr>
          <w:noProof/>
        </w:rPr>
      </w:pPr>
      <w:bookmarkStart w:id="82" w:name="_Toc514938036"/>
      <w:bookmarkStart w:id="83" w:name="_Toc520485039"/>
      <w:bookmarkStart w:id="84" w:name="_Toc160804581"/>
      <w:bookmarkStart w:id="85" w:name="_Toc167220273"/>
      <w:bookmarkStart w:id="86" w:name="_Toc177549006"/>
      <w:r w:rsidRPr="00D207EA">
        <w:rPr>
          <w:noProof/>
        </w:rPr>
        <w:t>1.5.5.</w:t>
      </w:r>
      <w:r w:rsidRPr="00D207EA">
        <w:rPr>
          <w:noProof/>
        </w:rPr>
        <w:tab/>
        <w:t>Évaluation des différentes possibilités de financement disponibles, y compris des possibilités de redéploiement</w:t>
      </w:r>
      <w:bookmarkEnd w:id="82"/>
      <w:bookmarkEnd w:id="83"/>
      <w:bookmarkEnd w:id="84"/>
      <w:bookmarkEnd w:id="85"/>
      <w:bookmarkEnd w:id="86"/>
    </w:p>
    <w:p w14:paraId="40363327" w14:textId="00152DF7"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Le Fonds fournira, à la demande des États membres, un soutien financier non remboursable et des prêts pour appuyer la réalisation de ses objectifs. Il peut également fournir des financements sous forme d’instruments financiers.</w:t>
      </w:r>
    </w:p>
    <w:p w14:paraId="7A553050" w14:textId="4790FDD9"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Les plans de partenariat national et régional et le plan Interreg seront mis en œuvre dans le cadre d’une gestion partagée, tandis que la Facilité aura la possibilité de recourir à une gestion partagée, directe ou indirecte, en fonction du type de mesure et de la ligne de conduite la plus efficace.</w:t>
      </w:r>
    </w:p>
    <w:p w14:paraId="312B6267" w14:textId="77777777" w:rsidR="004A489F" w:rsidRPr="00D207EA" w:rsidRDefault="004A489F" w:rsidP="004A489F">
      <w:pPr>
        <w:pStyle w:val="ManualHeading2"/>
        <w:rPr>
          <w:bCs/>
          <w:noProof/>
          <w:szCs w:val="24"/>
        </w:rPr>
      </w:pPr>
      <w:r w:rsidRPr="00D207EA">
        <w:rPr>
          <w:noProof/>
        </w:rPr>
        <w:br w:type="page"/>
      </w:r>
      <w:bookmarkStart w:id="87" w:name="_Toc514938039"/>
      <w:bookmarkStart w:id="88" w:name="_Toc520485040"/>
      <w:bookmarkStart w:id="89" w:name="_Toc160804582"/>
      <w:bookmarkStart w:id="90" w:name="_Toc167220274"/>
      <w:bookmarkStart w:id="91" w:name="_Toc177549007"/>
      <w:r w:rsidRPr="00D207EA">
        <w:rPr>
          <w:noProof/>
        </w:rPr>
        <w:t>1.6.</w:t>
      </w:r>
      <w:r w:rsidRPr="00D207EA">
        <w:rPr>
          <w:noProof/>
        </w:rPr>
        <w:tab/>
        <w:t>Durée de la proposition/de l’initiative</w:t>
      </w:r>
      <w:bookmarkEnd w:id="87"/>
      <w:bookmarkEnd w:id="88"/>
      <w:r w:rsidRPr="00D207EA">
        <w:rPr>
          <w:noProof/>
        </w:rPr>
        <w:t xml:space="preserve"> et de son incidence financière</w:t>
      </w:r>
      <w:bookmarkEnd w:id="89"/>
      <w:bookmarkEnd w:id="90"/>
      <w:bookmarkEnd w:id="91"/>
    </w:p>
    <w:p w14:paraId="686ACE46" w14:textId="45A20E48" w:rsidR="004A489F" w:rsidRPr="00D207EA" w:rsidRDefault="004A489F" w:rsidP="004A489F">
      <w:pPr>
        <w:pStyle w:val="Text1"/>
        <w:rPr>
          <w:noProof/>
        </w:rPr>
      </w:pPr>
      <w:r w:rsidRPr="00D207EA">
        <w:rPr>
          <w:rFonts w:ascii="Wingdings" w:hAnsi="Wingdings"/>
          <w:noProof/>
        </w:rPr>
        <w:t></w:t>
      </w:r>
      <w:r w:rsidRPr="00D207EA">
        <w:rPr>
          <w:b/>
          <w:i/>
          <w:noProof/>
        </w:rPr>
        <w:t xml:space="preserve"> </w:t>
      </w:r>
      <w:r w:rsidRPr="00D207EA">
        <w:rPr>
          <w:b/>
          <w:noProof/>
        </w:rPr>
        <w:t>durée limitée</w:t>
      </w:r>
    </w:p>
    <w:p w14:paraId="647850DC" w14:textId="750AC47B" w:rsidR="004A489F" w:rsidRPr="00D207EA" w:rsidRDefault="004A489F" w:rsidP="004A489F">
      <w:pPr>
        <w:pStyle w:val="ListDash2"/>
        <w:rPr>
          <w:noProof/>
        </w:rPr>
      </w:pPr>
      <w:r w:rsidRPr="00D207EA">
        <w:rPr>
          <w:rFonts w:ascii="Wingdings" w:hAnsi="Wingdings"/>
          <w:noProof/>
        </w:rPr>
        <w:t></w:t>
      </w:r>
      <w:r w:rsidRPr="00D207EA">
        <w:rPr>
          <w:noProof/>
        </w:rPr>
        <w:tab/>
        <w:t>en vigueur à partir de/du [JJ/MM]AAAA jusqu’en/au [JJ/MM]AAAA</w:t>
      </w:r>
    </w:p>
    <w:p w14:paraId="76C2E44E" w14:textId="3920AB34" w:rsidR="004A489F" w:rsidRPr="00D207EA" w:rsidRDefault="004A489F" w:rsidP="004A489F">
      <w:pPr>
        <w:pStyle w:val="ListDash2"/>
        <w:rPr>
          <w:noProof/>
        </w:rPr>
      </w:pPr>
      <w:r w:rsidRPr="00D207EA">
        <w:rPr>
          <w:rFonts w:ascii="Wingdings" w:hAnsi="Wingdings"/>
          <w:noProof/>
        </w:rPr>
        <w:t></w:t>
      </w:r>
      <w:r w:rsidRPr="00D207EA">
        <w:rPr>
          <w:noProof/>
        </w:rPr>
        <w:tab/>
        <w:t>incidence financière de 2028 à 2034 pour les crédits d’engagement et de 2028 à 2035 pour les crédits de paiement</w:t>
      </w:r>
    </w:p>
    <w:p w14:paraId="2DBD831E" w14:textId="77777777" w:rsidR="004A489F" w:rsidRPr="00D207EA" w:rsidRDefault="004A489F" w:rsidP="004A489F">
      <w:pPr>
        <w:pStyle w:val="Text1"/>
        <w:rPr>
          <w:noProof/>
        </w:rPr>
      </w:pPr>
      <w:r w:rsidRPr="00D207EA">
        <w:rPr>
          <w:rFonts w:ascii="Wingdings" w:hAnsi="Wingdings"/>
          <w:noProof/>
        </w:rPr>
        <w:t></w:t>
      </w:r>
      <w:r w:rsidRPr="00D207EA">
        <w:rPr>
          <w:b/>
          <w:i/>
          <w:noProof/>
        </w:rPr>
        <w:t xml:space="preserve"> </w:t>
      </w:r>
      <w:r w:rsidRPr="00D207EA">
        <w:rPr>
          <w:b/>
          <w:noProof/>
        </w:rPr>
        <w:t>durée illimitée</w:t>
      </w:r>
    </w:p>
    <w:p w14:paraId="5A5BD643" w14:textId="77777777" w:rsidR="004A489F" w:rsidRPr="00D207EA" w:rsidRDefault="004A489F" w:rsidP="004A489F">
      <w:pPr>
        <w:pStyle w:val="ListDash1"/>
        <w:rPr>
          <w:noProof/>
        </w:rPr>
      </w:pPr>
      <w:r w:rsidRPr="00D207EA">
        <w:rPr>
          <w:noProof/>
        </w:rPr>
        <w:t>Mise en œuvre avec une période de montée en puissance de AAAA jusqu’en AAAA,</w:t>
      </w:r>
    </w:p>
    <w:p w14:paraId="1037A34E" w14:textId="77777777" w:rsidR="004A489F" w:rsidRPr="00D207EA" w:rsidRDefault="004A489F" w:rsidP="004A489F">
      <w:pPr>
        <w:pStyle w:val="ListDash1"/>
        <w:rPr>
          <w:noProof/>
        </w:rPr>
      </w:pPr>
      <w:r w:rsidRPr="00D207EA">
        <w:rPr>
          <w:noProof/>
        </w:rPr>
        <w:t>puis un fonctionnement en rythme de croisière au-delà.</w:t>
      </w:r>
    </w:p>
    <w:p w14:paraId="4180AE71" w14:textId="3554C1EF" w:rsidR="004A489F" w:rsidRPr="00D207EA" w:rsidRDefault="004A489F" w:rsidP="004A489F">
      <w:pPr>
        <w:pStyle w:val="ManualHeading2"/>
        <w:rPr>
          <w:bCs/>
          <w:noProof/>
          <w:szCs w:val="24"/>
        </w:rPr>
      </w:pPr>
      <w:bookmarkStart w:id="92" w:name="_Toc514938040"/>
      <w:bookmarkStart w:id="93" w:name="_Toc520485041"/>
      <w:bookmarkStart w:id="94" w:name="_Toc160804583"/>
      <w:bookmarkStart w:id="95" w:name="_Toc167220275"/>
      <w:bookmarkStart w:id="96" w:name="_Toc177549008"/>
      <w:r w:rsidRPr="00D207EA">
        <w:rPr>
          <w:noProof/>
        </w:rPr>
        <w:t>1.7.</w:t>
      </w:r>
      <w:r w:rsidRPr="00D207EA">
        <w:rPr>
          <w:noProof/>
        </w:rPr>
        <w:tab/>
        <w:t>Mode(s) d’exécution budgétaire prévu(s)</w:t>
      </w:r>
      <w:bookmarkEnd w:id="92"/>
      <w:bookmarkEnd w:id="93"/>
      <w:bookmarkEnd w:id="94"/>
      <w:bookmarkEnd w:id="95"/>
      <w:bookmarkEnd w:id="96"/>
    </w:p>
    <w:p w14:paraId="00B10D5B" w14:textId="77777777" w:rsidR="004A489F" w:rsidRPr="00D207EA" w:rsidRDefault="004A489F" w:rsidP="004A489F">
      <w:pPr>
        <w:pStyle w:val="Text1"/>
        <w:rPr>
          <w:noProof/>
        </w:rPr>
      </w:pPr>
      <w:r w:rsidRPr="00D207EA">
        <w:rPr>
          <w:rFonts w:ascii="Wingdings" w:hAnsi="Wingdings"/>
          <w:noProof/>
        </w:rPr>
        <w:t></w:t>
      </w:r>
      <w:r w:rsidRPr="00D207EA">
        <w:rPr>
          <w:i/>
          <w:noProof/>
        </w:rPr>
        <w:t xml:space="preserve"> </w:t>
      </w:r>
      <w:r w:rsidRPr="00D207EA">
        <w:rPr>
          <w:b/>
          <w:noProof/>
        </w:rPr>
        <w:t>Gestion directe</w:t>
      </w:r>
      <w:r w:rsidRPr="00D207EA">
        <w:rPr>
          <w:noProof/>
        </w:rPr>
        <w:t xml:space="preserve"> par la Commission</w:t>
      </w:r>
    </w:p>
    <w:p w14:paraId="235A098B" w14:textId="77777777" w:rsidR="004A489F" w:rsidRPr="00D207EA" w:rsidRDefault="004A489F" w:rsidP="004A489F">
      <w:pPr>
        <w:pStyle w:val="ListDash2"/>
        <w:rPr>
          <w:rFonts w:cs="EUAlbertina"/>
          <w:noProof/>
        </w:rPr>
      </w:pPr>
      <w:r w:rsidRPr="00D207EA">
        <w:rPr>
          <w:rFonts w:ascii="Wingdings" w:hAnsi="Wingdings"/>
          <w:noProof/>
        </w:rPr>
        <w:t></w:t>
      </w:r>
      <w:r w:rsidRPr="00D207EA">
        <w:rPr>
          <w:noProof/>
        </w:rPr>
        <w:t xml:space="preserve"> dans ses services, y compris par l’intermédiaire de son personnel dans les délégations de l’Union; </w:t>
      </w:r>
    </w:p>
    <w:p w14:paraId="502CD6CA" w14:textId="0FA0B1B6" w:rsidR="004A489F" w:rsidRPr="00D207EA" w:rsidRDefault="006B72A6" w:rsidP="004A489F">
      <w:pPr>
        <w:pStyle w:val="ListDash2"/>
        <w:rPr>
          <w:noProof/>
        </w:rPr>
      </w:pPr>
      <w:r w:rsidRPr="00D207EA">
        <w:rPr>
          <w:rFonts w:ascii="Wingdings" w:hAnsi="Wingdings"/>
          <w:noProof/>
        </w:rPr>
        <w:t></w:t>
      </w:r>
      <w:r w:rsidRPr="00D207EA">
        <w:rPr>
          <w:noProof/>
        </w:rPr>
        <w:tab/>
        <w:t>par les agences exécutives</w:t>
      </w:r>
      <w:r w:rsidR="004A489F" w:rsidRPr="00D207EA">
        <w:rPr>
          <w:rStyle w:val="FootnoteReference"/>
          <w:noProof/>
        </w:rPr>
        <w:footnoteReference w:id="32"/>
      </w:r>
      <w:r w:rsidRPr="00D207EA">
        <w:rPr>
          <w:noProof/>
        </w:rPr>
        <w:t>.</w:t>
      </w:r>
    </w:p>
    <w:p w14:paraId="6338D8B0" w14:textId="22CE5C53" w:rsidR="004A489F" w:rsidRPr="00D207EA" w:rsidRDefault="004A489F" w:rsidP="004A489F">
      <w:pPr>
        <w:pStyle w:val="Text1"/>
        <w:rPr>
          <w:noProof/>
        </w:rPr>
      </w:pPr>
      <w:r w:rsidRPr="00D207EA">
        <w:rPr>
          <w:rFonts w:ascii="Wingdings" w:hAnsi="Wingdings"/>
          <w:noProof/>
        </w:rPr>
        <w:t></w:t>
      </w:r>
      <w:r w:rsidRPr="00D207EA">
        <w:rPr>
          <w:b/>
          <w:i/>
          <w:noProof/>
        </w:rPr>
        <w:t xml:space="preserve"> </w:t>
      </w:r>
      <w:r w:rsidRPr="00D207EA">
        <w:rPr>
          <w:b/>
          <w:noProof/>
        </w:rPr>
        <w:t>Gestion partagée</w:t>
      </w:r>
      <w:r w:rsidRPr="00D207EA">
        <w:rPr>
          <w:noProof/>
        </w:rPr>
        <w:t xml:space="preserve"> avec les États membres</w:t>
      </w:r>
    </w:p>
    <w:p w14:paraId="16DDBD3E" w14:textId="77777777" w:rsidR="004A489F" w:rsidRPr="00D207EA" w:rsidRDefault="004A489F" w:rsidP="004A489F">
      <w:pPr>
        <w:pStyle w:val="Text1"/>
        <w:rPr>
          <w:noProof/>
        </w:rPr>
      </w:pPr>
      <w:r w:rsidRPr="00D207EA">
        <w:rPr>
          <w:rFonts w:ascii="Wingdings" w:hAnsi="Wingdings"/>
          <w:noProof/>
        </w:rPr>
        <w:t></w:t>
      </w:r>
      <w:r w:rsidRPr="00D207EA">
        <w:rPr>
          <w:i/>
          <w:noProof/>
        </w:rPr>
        <w:t xml:space="preserve"> </w:t>
      </w:r>
      <w:r w:rsidRPr="00D207EA">
        <w:rPr>
          <w:b/>
          <w:noProof/>
        </w:rPr>
        <w:t>Gestion indirecte</w:t>
      </w:r>
      <w:r w:rsidRPr="00D207EA">
        <w:rPr>
          <w:noProof/>
        </w:rPr>
        <w:t xml:space="preserve"> en confiant des tâches d’exécution budgétaire:</w:t>
      </w:r>
    </w:p>
    <w:p w14:paraId="53B1BD2D" w14:textId="77777777" w:rsidR="004A489F" w:rsidRPr="00D207EA" w:rsidRDefault="004A489F" w:rsidP="004A489F">
      <w:pPr>
        <w:pStyle w:val="ListDash2"/>
        <w:rPr>
          <w:noProof/>
        </w:rPr>
      </w:pPr>
      <w:r w:rsidRPr="00D207EA">
        <w:rPr>
          <w:rFonts w:ascii="Wingdings" w:hAnsi="Wingdings"/>
          <w:noProof/>
        </w:rPr>
        <w:t></w:t>
      </w:r>
      <w:r w:rsidRPr="00D207EA">
        <w:rPr>
          <w:noProof/>
        </w:rPr>
        <w:t xml:space="preserve"> à des pays tiers ou des organismes qu’ils ont désignés</w:t>
      </w:r>
    </w:p>
    <w:p w14:paraId="64B35664" w14:textId="77777777" w:rsidR="004A489F" w:rsidRPr="00D207EA" w:rsidRDefault="004A489F" w:rsidP="004A489F">
      <w:pPr>
        <w:pStyle w:val="ListDash2"/>
        <w:rPr>
          <w:noProof/>
        </w:rPr>
      </w:pPr>
      <w:r w:rsidRPr="00D207EA">
        <w:rPr>
          <w:rFonts w:ascii="Wingdings" w:hAnsi="Wingdings"/>
          <w:noProof/>
        </w:rPr>
        <w:t></w:t>
      </w:r>
      <w:r w:rsidRPr="00D207EA">
        <w:rPr>
          <w:noProof/>
        </w:rPr>
        <w:t xml:space="preserve"> à des organisations internationales et à leurs agences (à préciser)</w:t>
      </w:r>
    </w:p>
    <w:p w14:paraId="4F061B82" w14:textId="77777777" w:rsidR="004A489F" w:rsidRPr="00D207EA" w:rsidRDefault="004A489F" w:rsidP="004A489F">
      <w:pPr>
        <w:pStyle w:val="ListDash2"/>
        <w:rPr>
          <w:noProof/>
        </w:rPr>
      </w:pPr>
      <w:r w:rsidRPr="00D207EA">
        <w:rPr>
          <w:rFonts w:ascii="Wingdings" w:hAnsi="Wingdings"/>
          <w:noProof/>
        </w:rPr>
        <w:t></w:t>
      </w:r>
      <w:r w:rsidRPr="00D207EA">
        <w:rPr>
          <w:noProof/>
        </w:rPr>
        <w:t xml:space="preserve"> à la Banque européenne d’investissement et au Fonds européen d’investissement</w:t>
      </w:r>
    </w:p>
    <w:p w14:paraId="385A3A9F" w14:textId="77777777" w:rsidR="004A489F" w:rsidRPr="00D207EA" w:rsidRDefault="004A489F" w:rsidP="004A489F">
      <w:pPr>
        <w:pStyle w:val="ListDash2"/>
        <w:rPr>
          <w:noProof/>
        </w:rPr>
      </w:pPr>
      <w:r w:rsidRPr="00D207EA">
        <w:rPr>
          <w:rFonts w:ascii="Wingdings" w:hAnsi="Wingdings"/>
          <w:noProof/>
        </w:rPr>
        <w:t></w:t>
      </w:r>
      <w:r w:rsidRPr="00D207EA">
        <w:rPr>
          <w:noProof/>
        </w:rPr>
        <w:t xml:space="preserve"> aux organismes visés aux articles 70 et 71 du règlement financier</w:t>
      </w:r>
    </w:p>
    <w:p w14:paraId="7887AAEB" w14:textId="77777777" w:rsidR="004A489F" w:rsidRPr="00D207EA" w:rsidRDefault="004A489F" w:rsidP="004A489F">
      <w:pPr>
        <w:pStyle w:val="ListDash2"/>
        <w:rPr>
          <w:noProof/>
        </w:rPr>
      </w:pPr>
      <w:r w:rsidRPr="00D207EA">
        <w:rPr>
          <w:rFonts w:ascii="Wingdings" w:hAnsi="Wingdings"/>
          <w:noProof/>
        </w:rPr>
        <w:t></w:t>
      </w:r>
      <w:r w:rsidRPr="00D207EA">
        <w:rPr>
          <w:noProof/>
        </w:rPr>
        <w:t xml:space="preserve"> à des établissements de droit public</w:t>
      </w:r>
    </w:p>
    <w:p w14:paraId="07B4EC51" w14:textId="77777777" w:rsidR="004A489F" w:rsidRPr="00D207EA" w:rsidRDefault="004A489F" w:rsidP="004A489F">
      <w:pPr>
        <w:pStyle w:val="ListDash2"/>
        <w:rPr>
          <w:noProof/>
        </w:rPr>
      </w:pPr>
      <w:r w:rsidRPr="00D207EA">
        <w:rPr>
          <w:rFonts w:ascii="Wingdings" w:hAnsi="Wingdings"/>
          <w:noProof/>
        </w:rPr>
        <w:t></w:t>
      </w:r>
      <w:r w:rsidRPr="00D207EA">
        <w:rPr>
          <w:noProof/>
        </w:rPr>
        <w:t xml:space="preserve"> à des entités de droit privé investies d’une mission de service public, pour autant qu’elles soient dotées de garanties financières suffisantes</w:t>
      </w:r>
    </w:p>
    <w:p w14:paraId="42DA851D" w14:textId="77777777" w:rsidR="004A489F" w:rsidRPr="00D207EA" w:rsidRDefault="004A489F" w:rsidP="004A489F">
      <w:pPr>
        <w:pStyle w:val="ListDash2"/>
        <w:rPr>
          <w:noProof/>
        </w:rPr>
      </w:pPr>
      <w:r w:rsidRPr="00D207EA">
        <w:rPr>
          <w:rFonts w:ascii="Wingdings" w:hAnsi="Wingdings"/>
          <w:noProof/>
        </w:rPr>
        <w:t></w:t>
      </w:r>
      <w:r w:rsidRPr="00D207EA">
        <w:rPr>
          <w:noProof/>
        </w:rPr>
        <w:t xml:space="preserve"> à des entités de droit privé d’un État membre qui sont chargées de la mise en œuvre d’un partenariat public-privé et dotées de garanties financières suffisantes</w:t>
      </w:r>
    </w:p>
    <w:p w14:paraId="54319163" w14:textId="77777777" w:rsidR="004A489F" w:rsidRPr="00D207EA" w:rsidRDefault="004A489F" w:rsidP="004A489F">
      <w:pPr>
        <w:pStyle w:val="ListDash2"/>
        <w:rPr>
          <w:noProof/>
        </w:rPr>
      </w:pPr>
      <w:r w:rsidRPr="00D207EA">
        <w:rPr>
          <w:rFonts w:ascii="Wingdings" w:hAnsi="Wingdings"/>
          <w:noProof/>
        </w:rPr>
        <w:t></w:t>
      </w:r>
      <w:r w:rsidRPr="00D207EA">
        <w:rPr>
          <w:noProof/>
        </w:rPr>
        <w:t xml:space="preserve"> à des organismes ou des personnes chargés de l’exécution d’actions spécifiques relevant de la politique étrangère et de sécurité commune, en vertu du titre V du traité sur l’Union européenne, identifiés dans l’acte de base concerné</w:t>
      </w:r>
    </w:p>
    <w:p w14:paraId="0CA3535E" w14:textId="77777777" w:rsidR="004A489F" w:rsidRPr="00D207EA" w:rsidRDefault="006B72A6" w:rsidP="004A489F">
      <w:pPr>
        <w:pStyle w:val="ListDash2"/>
        <w:rPr>
          <w:noProof/>
        </w:rPr>
      </w:pPr>
      <w:r w:rsidRPr="00D207EA">
        <w:rPr>
          <w:rFonts w:ascii="Wingdings" w:hAnsi="Wingdings"/>
          <w:noProof/>
        </w:rPr>
        <w:t></w:t>
      </w:r>
      <w:r w:rsidRPr="00D207EA">
        <w:rPr>
          <w:rFonts w:ascii="Wingdings" w:hAnsi="Wingdings"/>
          <w:noProof/>
        </w:rPr>
        <w:t></w:t>
      </w:r>
      <w:r w:rsidRPr="00D207EA">
        <w:rPr>
          <w:noProof/>
        </w:rPr>
        <w:t xml:space="preserve"> à des entités établies dans un État membre, régies par le droit privé d’un État membre ou par le droit de l’Union et qui peuvent se voir confier, conformément à la réglementation sectorielle, l’exécution des fonds de l’Union ou des garanties budgétaires, dans la mesure où ces entités sont contrôlées par des établissements de droit public ou par des entités de droit privé investies d’une mission de service public et disposent des garanties financières appropriées sous la forme d’une responsabilité solidaire des entités de contrôle ou des garanties financières équivalentes et qui peuvent être, pour chaque action, limitées au montant maximal du soutien de l’Union.</w:t>
      </w:r>
    </w:p>
    <w:p w14:paraId="70C1ECCD" w14:textId="61B8A162" w:rsidR="004A489F" w:rsidRPr="00D207EA" w:rsidRDefault="004A489F" w:rsidP="004A489F">
      <w:pPr>
        <w:rPr>
          <w:noProof/>
        </w:rPr>
      </w:pPr>
      <w:r w:rsidRPr="00D207EA">
        <w:rPr>
          <w:noProof/>
        </w:rPr>
        <w:t>Remarques</w:t>
      </w:r>
    </w:p>
    <w:p w14:paraId="5AA66264" w14:textId="77777777" w:rsidR="004A489F" w:rsidRPr="00D207EA" w:rsidRDefault="004A489F" w:rsidP="004A489F">
      <w:pPr>
        <w:pBdr>
          <w:top w:val="single" w:sz="4" w:space="1" w:color="auto"/>
          <w:left w:val="single" w:sz="4" w:space="4" w:color="auto"/>
          <w:bottom w:val="single" w:sz="4" w:space="1" w:color="auto"/>
          <w:right w:val="single" w:sz="4" w:space="4" w:color="auto"/>
        </w:pBdr>
        <w:rPr>
          <w:noProof/>
        </w:rPr>
      </w:pPr>
    </w:p>
    <w:p w14:paraId="3C198227" w14:textId="77777777" w:rsidR="004A489F" w:rsidRPr="00D207EA" w:rsidRDefault="004A489F" w:rsidP="004A489F">
      <w:pPr>
        <w:rPr>
          <w:noProof/>
        </w:rPr>
        <w:sectPr w:rsidR="004A489F" w:rsidRPr="00D207EA" w:rsidSect="00972E68">
          <w:pgSz w:w="11907" w:h="16840" w:code="9"/>
          <w:pgMar w:top="1134" w:right="1418" w:bottom="1134" w:left="1418" w:header="709" w:footer="709" w:gutter="0"/>
          <w:cols w:space="708"/>
          <w:docGrid w:linePitch="360"/>
        </w:sectPr>
      </w:pPr>
    </w:p>
    <w:p w14:paraId="39A2D441" w14:textId="03142684" w:rsidR="004A489F" w:rsidRPr="00D207EA" w:rsidRDefault="004A489F" w:rsidP="004A489F">
      <w:pPr>
        <w:pStyle w:val="ManualHeading1"/>
        <w:rPr>
          <w:bCs/>
          <w:noProof/>
          <w:szCs w:val="24"/>
        </w:rPr>
      </w:pPr>
      <w:bookmarkStart w:id="97" w:name="_Toc514938041"/>
      <w:bookmarkStart w:id="98" w:name="_Toc520485042"/>
      <w:bookmarkStart w:id="99" w:name="_Toc160804584"/>
      <w:bookmarkStart w:id="100" w:name="_Toc167220276"/>
      <w:bookmarkStart w:id="101" w:name="_Toc177549009"/>
      <w:r w:rsidRPr="00D207EA">
        <w:rPr>
          <w:noProof/>
        </w:rPr>
        <w:t>2.</w:t>
      </w:r>
      <w:r w:rsidRPr="00D207EA">
        <w:rPr>
          <w:noProof/>
        </w:rPr>
        <w:tab/>
        <w:t>MESURES DE GESTION</w:t>
      </w:r>
      <w:bookmarkEnd w:id="97"/>
      <w:bookmarkEnd w:id="98"/>
      <w:bookmarkEnd w:id="99"/>
      <w:bookmarkEnd w:id="100"/>
      <w:bookmarkEnd w:id="101"/>
    </w:p>
    <w:p w14:paraId="36B5A365" w14:textId="3716375F" w:rsidR="004A489F" w:rsidRPr="00D207EA" w:rsidRDefault="004A489F" w:rsidP="004A489F">
      <w:pPr>
        <w:pStyle w:val="ManualHeading2"/>
        <w:rPr>
          <w:noProof/>
        </w:rPr>
      </w:pPr>
      <w:bookmarkStart w:id="102" w:name="_Toc514938042"/>
      <w:bookmarkStart w:id="103" w:name="_Toc520485043"/>
      <w:bookmarkStart w:id="104" w:name="_Toc160804585"/>
      <w:bookmarkStart w:id="105" w:name="_Toc167220277"/>
      <w:bookmarkStart w:id="106" w:name="_Toc177549010"/>
      <w:r w:rsidRPr="00D207EA">
        <w:rPr>
          <w:noProof/>
        </w:rPr>
        <w:t>2.1.</w:t>
      </w:r>
      <w:r w:rsidRPr="00D207EA">
        <w:rPr>
          <w:noProof/>
        </w:rPr>
        <w:tab/>
        <w:t>Dispositions en matière de suivi et de compte rendu</w:t>
      </w:r>
      <w:bookmarkEnd w:id="102"/>
      <w:bookmarkEnd w:id="103"/>
      <w:bookmarkEnd w:id="104"/>
      <w:bookmarkEnd w:id="105"/>
      <w:bookmarkEnd w:id="106"/>
    </w:p>
    <w:p w14:paraId="714A351A" w14:textId="77777777"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Aux fins du suivi des résultats de la mise en œuvre du Fonds, un système de demande et d’exécution des paiements du Fonds sera mis en place.</w:t>
      </w:r>
    </w:p>
    <w:p w14:paraId="46E4175D" w14:textId="77777777"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Pour recevoir un financement du Fonds, les États membres devraient présenter leurs plans de partenariat national et régional afin de définir les réformes, les investissements et les autres interventions à financer. La Commission évalue ces plans sur la base des exigences énoncées dans le présent règlement. Le versement de la contribution financière fera suite à la réalisation d’objectifs préétablis convenus avec l’État membre concerné. À cette fin, les États membres peuvent présenter une demande de paiement jusqu’à six fois par an, conformément au modèle reproduit en annexe du présent règlement.</w:t>
      </w:r>
    </w:p>
    <w:p w14:paraId="37611A6F" w14:textId="77777777"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La performance du Fonds sera contrôlée au moyen du cadre de performance prévu dans le règlement relatif à la performance proposé parallèlement au présent règlement, notamment grâce à la liste commune des domaines d’intervention et des indicateurs de réalisation et de résultat.</w:t>
      </w:r>
    </w:p>
    <w:p w14:paraId="233FF163" w14:textId="6A5711CD"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Un rapport de mise en œuvre sera publié par la Commission au plus tard quatre ans après le début de la mise en œuvre du programme, afin d’évaluer les progrès accomplis dans la réalisation de leurs objectifs. Une évaluation rétrospective sera effectuée par la Commission au plus tard trois ans après la fin de la période de programmation du programme afin d’évaluer l’efficacité, l’efficience, la pertinence, la cohérence et la valeur ajoutée de l’Union du programme.</w:t>
      </w:r>
    </w:p>
    <w:p w14:paraId="671C2D5E" w14:textId="2952D199" w:rsidR="004A489F" w:rsidRPr="00D207EA" w:rsidRDefault="004A489F" w:rsidP="004A489F">
      <w:pPr>
        <w:pStyle w:val="ManualHeading2"/>
        <w:rPr>
          <w:bCs/>
          <w:noProof/>
          <w:szCs w:val="24"/>
        </w:rPr>
      </w:pPr>
      <w:bookmarkStart w:id="107" w:name="_Toc514938045"/>
      <w:bookmarkStart w:id="108" w:name="_Toc520485044"/>
      <w:bookmarkStart w:id="109" w:name="_Toc160804586"/>
      <w:bookmarkStart w:id="110" w:name="_Toc167220278"/>
      <w:bookmarkStart w:id="111" w:name="_Toc177549011"/>
      <w:r w:rsidRPr="00D207EA">
        <w:rPr>
          <w:noProof/>
        </w:rPr>
        <w:t>2.2.</w:t>
      </w:r>
      <w:r w:rsidRPr="00D207EA">
        <w:rPr>
          <w:noProof/>
        </w:rPr>
        <w:tab/>
        <w:t>Système(s) de gestion et de contrôle</w:t>
      </w:r>
      <w:bookmarkEnd w:id="107"/>
      <w:bookmarkEnd w:id="108"/>
      <w:bookmarkEnd w:id="109"/>
      <w:bookmarkEnd w:id="110"/>
      <w:bookmarkEnd w:id="111"/>
    </w:p>
    <w:p w14:paraId="3F055726" w14:textId="77777777" w:rsidR="004A489F" w:rsidRPr="00D207EA" w:rsidRDefault="004A489F" w:rsidP="004A489F">
      <w:pPr>
        <w:pStyle w:val="ManualHeading3"/>
        <w:rPr>
          <w:noProof/>
        </w:rPr>
      </w:pPr>
      <w:bookmarkStart w:id="112" w:name="_Toc514938046"/>
      <w:bookmarkStart w:id="113" w:name="_Toc520485045"/>
      <w:bookmarkStart w:id="114" w:name="_Toc160804587"/>
      <w:bookmarkStart w:id="115" w:name="_Toc167220279"/>
      <w:bookmarkStart w:id="116" w:name="_Toc177549012"/>
      <w:r w:rsidRPr="00D207EA">
        <w:rPr>
          <w:noProof/>
        </w:rPr>
        <w:t>2.2.1.</w:t>
      </w:r>
      <w:r w:rsidRPr="00D207EA">
        <w:rPr>
          <w:noProof/>
        </w:rPr>
        <w:tab/>
        <w:t>Justification du (des) mode(s) d’exécution budgétaire, des mécanismes de mise en œuvre du financement, des modalités de paiement et de la stratégie de contrôle proposée</w:t>
      </w:r>
      <w:bookmarkEnd w:id="112"/>
      <w:bookmarkEnd w:id="113"/>
      <w:bookmarkEnd w:id="114"/>
      <w:bookmarkEnd w:id="115"/>
      <w:bookmarkEnd w:id="116"/>
    </w:p>
    <w:p w14:paraId="4AED2B24" w14:textId="693F922D"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La gestion, le contrôle et l’audit du Fonds seront régis par des règles spécifiques visant à garantir la transparence, la responsabilité et la bonne utilisation des fonds de l’Union, conformément à la législation applicable et au principe de bonne gestion financière.</w:t>
      </w:r>
    </w:p>
    <w:p w14:paraId="079CD1DC" w14:textId="46D7C002"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Le règlement prévoit notamment des garanties solides pour assurer la robustesse et la qualité des systèmes de contrôle nationaux et permettre une action efficace et rapide en cas de défaillance.</w:t>
      </w:r>
    </w:p>
    <w:p w14:paraId="262B86DE" w14:textId="7F8CA864"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Les exigences clés des systèmes de gestion et de contrôle des États membres, notamment en matière de prévention, de détection et de correction des cas de fraude, de corruption et de conflits d’intérêts, ainsi qu’en matière de respect du droit applicable, y compris les règles applicables en matière de passation de marchés publics et d’aides d’État, seront clairement définies ex ante et devront être respectées tout au long de la mise en œuvre. Avant d’approuver chaque plan, la Commission évaluera si les États membres ont mis en place des dispositions appropriées pour se conformer à ces exigences et assurer la protection des intérêts financiers de l’Union. Ces exigences devraient permettre une utilisation maximale des structures existantes déjà en place pour la gestion des fonds de l’Union, avec d’éventuelles adaptations de leurs procédures pour garantir une assurance appropriée. En cas de déficience grave, les États membres devront prendre des mesures correctives avant que les paiements puissent être effectués.</w:t>
      </w:r>
    </w:p>
    <w:p w14:paraId="6EE1B0FC" w14:textId="77777777"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Le niveau et la fréquence des contrôles sont adaptés au modèle de mise en œuvre fondé sur des objectifs du Fonds et reposent sur une répartition claire des tâches entre la Commission et les États membres.</w:t>
      </w:r>
    </w:p>
    <w:p w14:paraId="634FB88B" w14:textId="2067529D"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Conformément au modèle de contrôle unique, les audits de la Commission dans le cadre de la gestion partagée consisteront avant tout en des audits de systèmes afin d’éviter la duplication des contrôles et des audits et de réduire la charge administrative, ce qui répond aux exigences de simplification et de prévisibilité. L’autorité d’audit devrait réaliser des audits et s’assurer que l’avis d’audit transmis à la Commission est fiable. Cet avis d’audit devrait donner à la Commission l’assurance que les systèmes de gestion et de contrôle de l’État membre fonctionnent correctement et que les assertions contenues dans la déclaration de gestion soumise par l’organisme de coordination sont correctes. </w:t>
      </w:r>
    </w:p>
    <w:p w14:paraId="04679639" w14:textId="77777777"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La Commission conservera toutefois la possibilité de procéder à des contrôles plus ciblés, par exemple en cas de risque spécifique ou de soupçon de fraude, de corruption ou de conflit d’intérêts ou de manquement grave de l’État membre à ses obligations, et d’agir en temps utile et de manière proportionnée si les États membres n’ont pas remédié de manière satisfaisante aux lacunes constatées.</w:t>
      </w:r>
    </w:p>
    <w:p w14:paraId="14FAC780" w14:textId="77777777" w:rsidR="004A489F" w:rsidRPr="00D207EA" w:rsidRDefault="004A489F" w:rsidP="004A489F">
      <w:pPr>
        <w:pStyle w:val="ManualHeading3"/>
        <w:rPr>
          <w:bCs/>
          <w:noProof/>
          <w:szCs w:val="24"/>
        </w:rPr>
      </w:pPr>
      <w:bookmarkStart w:id="117" w:name="_Toc514938047"/>
      <w:bookmarkStart w:id="118" w:name="_Toc520485046"/>
      <w:bookmarkStart w:id="119" w:name="_Toc160804588"/>
      <w:bookmarkStart w:id="120" w:name="_Toc167220280"/>
      <w:bookmarkStart w:id="121" w:name="_Toc177549013"/>
      <w:r w:rsidRPr="00D207EA">
        <w:rPr>
          <w:noProof/>
        </w:rPr>
        <w:t>2.2.2.</w:t>
      </w:r>
      <w:r w:rsidRPr="00D207EA">
        <w:rPr>
          <w:noProof/>
        </w:rPr>
        <w:tab/>
        <w:t>Informations sur les risques recensés et sur le(s) système(s) de contrôle interne mis en place pour les atténuer</w:t>
      </w:r>
      <w:bookmarkEnd w:id="117"/>
      <w:bookmarkEnd w:id="118"/>
      <w:bookmarkEnd w:id="119"/>
      <w:bookmarkEnd w:id="120"/>
      <w:bookmarkEnd w:id="121"/>
    </w:p>
    <w:p w14:paraId="73C43537" w14:textId="77777777"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Les risques sont principalement liés à des irrégularités ou à un manquement grave des États membres aux obligations qui leur incombent en vertu du présent règlement, notamment en ce qui concerne la protection des intérêts financiers de l’Union et le respect de l’état de droit et des conditions horizontales relatives à la charte.</w:t>
      </w:r>
    </w:p>
    <w:p w14:paraId="493A7644" w14:textId="0B28F50C"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Afin de préserver les intérêts financiers de l’Union, le règlement proposé établit des mesures proportionnées au niveau des États membres et de la Commission, conformément à leurs responsabilités respectives.</w:t>
      </w:r>
    </w:p>
    <w:p w14:paraId="62D7EF22" w14:textId="77777777"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Les États membres sont tenus de maintenir en place des systèmes de gestion, de contrôle et d’audit solides pour garantir le respect de toutes les exigences clés tout au long de la mise en œuvre et de fournir, chaque année, un dossier «assurance» pour rendre compte de l’utilisation justifiée et régulière des fonds.</w:t>
      </w:r>
    </w:p>
    <w:p w14:paraId="10FDE2CA" w14:textId="36D91DEA"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r w:rsidRPr="00D207EA">
        <w:rPr>
          <w:noProof/>
        </w:rPr>
        <w:t>La Commission effectuera des audits réguliers des travaux réalisés par les autorités nationales afin d’évaluer la solidité et la fiabilité des procédures nationales et émettra, le cas échéant, des recommandations assorties d’un calendrier de mise en œuvre précis afin de remédier aux lacunes. Il sera possible de bloquer les paiements à tout moment au cours de la mise en œuvre conformément au principe de proportionnalité, compte tenu de la nature, de la durée, de la gravité et de l’étendue de la lacune constatée.</w:t>
      </w:r>
    </w:p>
    <w:p w14:paraId="76F22763" w14:textId="3D4D973D" w:rsidR="004A489F" w:rsidRPr="00D207EA" w:rsidRDefault="004A489F" w:rsidP="004A489F">
      <w:pPr>
        <w:pStyle w:val="ManualHeading3"/>
        <w:rPr>
          <w:noProof/>
        </w:rPr>
      </w:pPr>
      <w:bookmarkStart w:id="122" w:name="_Toc514938048"/>
      <w:bookmarkStart w:id="123" w:name="_Toc520485047"/>
      <w:bookmarkStart w:id="124" w:name="_Toc160804589"/>
      <w:bookmarkStart w:id="125" w:name="_Toc167220281"/>
      <w:bookmarkStart w:id="126" w:name="_Toc177549014"/>
      <w:r w:rsidRPr="00D207EA">
        <w:rPr>
          <w:noProof/>
        </w:rPr>
        <w:t>2.2.3.</w:t>
      </w:r>
      <w:r w:rsidRPr="00D207EA">
        <w:rPr>
          <w:noProof/>
        </w:rPr>
        <w:tab/>
        <w:t>Estimation et justification du rapport coût/efficacité des contrôles (rapport entre les coûts du contrôle et la valeur des fonds gérés concernés), et évaluation du niveau attendu de risque d’erreur (lors du paiement et lors de la clôture)</w:t>
      </w:r>
      <w:bookmarkEnd w:id="122"/>
      <w:bookmarkEnd w:id="123"/>
      <w:bookmarkEnd w:id="124"/>
      <w:bookmarkEnd w:id="125"/>
      <w:bookmarkEnd w:id="126"/>
    </w:p>
    <w:p w14:paraId="42DDF029" w14:textId="77777777" w:rsidR="00C104B5" w:rsidRPr="00D207EA" w:rsidRDefault="00C104B5" w:rsidP="000458B2">
      <w:pPr>
        <w:pStyle w:val="Text1"/>
        <w:pBdr>
          <w:top w:val="single" w:sz="4" w:space="1" w:color="auto"/>
          <w:left w:val="single" w:sz="4" w:space="4" w:color="auto"/>
          <w:bottom w:val="single" w:sz="4" w:space="0" w:color="auto"/>
          <w:right w:val="single" w:sz="4" w:space="4" w:color="auto"/>
        </w:pBdr>
        <w:rPr>
          <w:noProof/>
        </w:rPr>
      </w:pPr>
    </w:p>
    <w:p w14:paraId="57531DA6" w14:textId="77777777" w:rsidR="007A4833" w:rsidRPr="00D207EA" w:rsidRDefault="007A4833" w:rsidP="000458B2">
      <w:pPr>
        <w:pStyle w:val="Text1"/>
        <w:pBdr>
          <w:top w:val="single" w:sz="4" w:space="1" w:color="auto"/>
          <w:left w:val="single" w:sz="4" w:space="4" w:color="auto"/>
          <w:bottom w:val="single" w:sz="4" w:space="0" w:color="auto"/>
          <w:right w:val="single" w:sz="4" w:space="4" w:color="auto"/>
        </w:pBdr>
        <w:rPr>
          <w:noProof/>
        </w:rPr>
      </w:pPr>
      <w:r w:rsidRPr="00D207EA">
        <w:rPr>
          <w:noProof/>
        </w:rPr>
        <w:t>L’évaluation par la Commission du niveau de risque au moment du paiement et à la clôture s’appuiera sur une série de critères, par exemple le profil de risque des valeurs intermédiaires et des valeurs cibles, les informations incluses dans le dossier «assurance» annuel soumis par les États membres, notamment le résumé des audits réalisés par les autorités nationales, les résultats des audits effectués par la Commission elle-même, ainsi que les conclusions des audits du service d’audit interne et de la Cour des comptes européenne. Étant donné la nouveauté de l’approche, les niveaux de dépenses à faible risque considérés comme équivalents au seuil de signification seront établis une fois que la mise en œuvre aura commencé.</w:t>
      </w:r>
    </w:p>
    <w:p w14:paraId="2AA55175" w14:textId="64AFDCBE" w:rsidR="002F794C" w:rsidRPr="00D207EA" w:rsidRDefault="002669A8" w:rsidP="006125B0">
      <w:pPr>
        <w:pStyle w:val="Text1"/>
        <w:pBdr>
          <w:top w:val="single" w:sz="4" w:space="1" w:color="auto"/>
          <w:left w:val="single" w:sz="4" w:space="4" w:color="auto"/>
          <w:bottom w:val="single" w:sz="4" w:space="0" w:color="auto"/>
          <w:right w:val="single" w:sz="4" w:space="4" w:color="auto"/>
        </w:pBdr>
        <w:rPr>
          <w:noProof/>
        </w:rPr>
      </w:pPr>
      <w:r w:rsidRPr="00D207EA">
        <w:rPr>
          <w:noProof/>
        </w:rPr>
        <w:t>Afin de garantir que les contrôles restent économiquement efficients, la Commission cherche à trouver un juste équilibre entre l’efficacité, l’efficience et la rentabilité. L’application concrète du modèle de contrôle unique devrait être mise en œuvre pour le Fonds afin de réduire la charge administrative et les coûts pour les bénéficiaires du financement de l’Union et d’éviter la duplication des audits et des vérifications de gestion pour les mêmes mesures.</w:t>
      </w:r>
    </w:p>
    <w:p w14:paraId="2332BB6A" w14:textId="49B46035" w:rsidR="004A489F" w:rsidRPr="00D207EA" w:rsidRDefault="004A489F" w:rsidP="004A489F">
      <w:pPr>
        <w:pStyle w:val="ManualHeading2"/>
        <w:rPr>
          <w:bCs/>
          <w:noProof/>
          <w:szCs w:val="24"/>
        </w:rPr>
      </w:pPr>
      <w:bookmarkStart w:id="127" w:name="_Toc514938049"/>
      <w:bookmarkStart w:id="128" w:name="_Toc520485048"/>
      <w:bookmarkStart w:id="129" w:name="_Toc160804590"/>
      <w:bookmarkStart w:id="130" w:name="_Toc167220282"/>
      <w:bookmarkStart w:id="131" w:name="_Toc177549015"/>
      <w:r w:rsidRPr="00D207EA">
        <w:rPr>
          <w:noProof/>
        </w:rPr>
        <w:t>2.3.</w:t>
      </w:r>
      <w:r w:rsidRPr="00D207EA">
        <w:rPr>
          <w:noProof/>
        </w:rPr>
        <w:tab/>
        <w:t>Mesures de prévention des fraudes et irrégularités</w:t>
      </w:r>
      <w:bookmarkEnd w:id="127"/>
      <w:bookmarkEnd w:id="128"/>
      <w:bookmarkEnd w:id="129"/>
      <w:bookmarkEnd w:id="130"/>
      <w:bookmarkEnd w:id="131"/>
    </w:p>
    <w:p w14:paraId="6C4C970A" w14:textId="77777777" w:rsidR="004A489F" w:rsidRPr="00D207EA" w:rsidRDefault="004A489F" w:rsidP="004A489F">
      <w:pPr>
        <w:pStyle w:val="Text1"/>
        <w:pBdr>
          <w:top w:val="single" w:sz="4" w:space="1" w:color="auto"/>
          <w:left w:val="single" w:sz="4" w:space="4" w:color="auto"/>
          <w:bottom w:val="single" w:sz="4" w:space="0" w:color="auto"/>
          <w:right w:val="single" w:sz="4" w:space="4" w:color="auto"/>
        </w:pBdr>
        <w:rPr>
          <w:noProof/>
        </w:rPr>
      </w:pPr>
      <w:r w:rsidRPr="00D207EA">
        <w:rPr>
          <w:noProof/>
        </w:rPr>
        <w:t>Le règlement contient les dispositions nécessaires pour garantir que la mise en œuvre du Fonds est compatible avec la protection des intérêts financiers de l’Union.</w:t>
      </w:r>
    </w:p>
    <w:p w14:paraId="514B4A0D" w14:textId="77777777" w:rsidR="004A489F" w:rsidRPr="00D207EA" w:rsidRDefault="004A489F" w:rsidP="004A489F">
      <w:pPr>
        <w:pStyle w:val="Text1"/>
        <w:pBdr>
          <w:top w:val="single" w:sz="4" w:space="1" w:color="auto"/>
          <w:left w:val="single" w:sz="4" w:space="4" w:color="auto"/>
          <w:bottom w:val="single" w:sz="4" w:space="0" w:color="auto"/>
          <w:right w:val="single" w:sz="4" w:space="4" w:color="auto"/>
        </w:pBdr>
        <w:rPr>
          <w:noProof/>
        </w:rPr>
      </w:pPr>
      <w:r w:rsidRPr="00D207EA">
        <w:rPr>
          <w:noProof/>
        </w:rPr>
        <w:t xml:space="preserve">Les intérêts financiers de l’Union doivent être protégés par des mesures proportionnées, y compris des mesures relatives à la prévention, à la détection, à la correction et à l’investigation de la fraude, de la corruption et des conflits d’intérêts et, le cas échéant, à l’imposition de sanctions administratives. En particulier, l’Office européen de lutte antifraude (OLAF) a le pouvoir de mener des enquêtes administratives, y compris des inspections et des vérifications sur place, en vue d’établir l’existence éventuelle d’une fraude, d’un acte de corruption ou de toute autre activité illégale portant atteinte aux intérêts financiers de l’Union. Le Parquet européen est compétent pour mener des enquêtes et engager des poursuites en cas de fraudes et d’autres infractions pénales portant atteinte aux intérêts financiers de l’Union. Toute personne ou entité qui reçoit des fonds de l’Union doit coopérer pleinement à la protection des intérêts financiers de l’Union et accorder les droits et accès nécessaires à la Commission, à l’OLAF, au Parquet européen et à la Cour des comptes européenne, et veiller à ce que tout tiers participant à l’exécution des fonds de l’Union accorde des droits équivalents. Il convient que les États membres fassent rapidement rapport à la Commission sur les irrégularités détectées, y compris les fraudes, et sur le suivi des mesures prises en ce qui concerne lesdites irrégularités et en ce qui concerne les enquêtes de l’OLAF. </w:t>
      </w:r>
      <w:r w:rsidRPr="00D207EA">
        <w:rPr>
          <w:noProof/>
          <w:u w:val="single"/>
        </w:rPr>
        <w:t>Les autorités compétentes des États membres participant à la coopération renforcée pour la mise en place du Parquet européen en vertu du règlement (UE) 2017/1939 devraient également lui signaler, dans les meilleurs délais, tout comportement délictueux à l’égard duquel il pourrait exercer sa compétence, conformément audit règlement.</w:t>
      </w:r>
    </w:p>
    <w:p w14:paraId="5064B275" w14:textId="77777777" w:rsidR="004A489F" w:rsidRPr="00D207EA" w:rsidRDefault="004A489F" w:rsidP="004A489F">
      <w:pPr>
        <w:rPr>
          <w:noProof/>
        </w:rPr>
        <w:sectPr w:rsidR="004A489F" w:rsidRPr="00D207EA" w:rsidSect="00972E68">
          <w:pgSz w:w="11907" w:h="16840" w:code="9"/>
          <w:pgMar w:top="1134" w:right="1418" w:bottom="1134" w:left="1418" w:header="709" w:footer="709" w:gutter="0"/>
          <w:cols w:space="708"/>
          <w:docGrid w:linePitch="360"/>
        </w:sectPr>
      </w:pPr>
    </w:p>
    <w:p w14:paraId="421F1542" w14:textId="27DB9C69" w:rsidR="004A489F" w:rsidRPr="00D207EA" w:rsidRDefault="004A489F" w:rsidP="004A489F">
      <w:pPr>
        <w:pStyle w:val="ManualHeading1"/>
        <w:rPr>
          <w:bCs/>
          <w:noProof/>
          <w:szCs w:val="24"/>
        </w:rPr>
      </w:pPr>
      <w:bookmarkStart w:id="132" w:name="_Toc514938050"/>
      <w:bookmarkStart w:id="133" w:name="_Toc520485049"/>
      <w:bookmarkStart w:id="134" w:name="_Toc160804591"/>
      <w:bookmarkStart w:id="135" w:name="_Toc167220283"/>
      <w:bookmarkStart w:id="136" w:name="_Toc177549016"/>
      <w:r w:rsidRPr="00D207EA">
        <w:rPr>
          <w:noProof/>
        </w:rPr>
        <w:t>3.</w:t>
      </w:r>
      <w:r w:rsidRPr="00D207EA">
        <w:rPr>
          <w:noProof/>
        </w:rPr>
        <w:tab/>
        <w:t>INCIDENCE FINANCIÈRE ESTIMÉE DE LA PROPOSITION/DE L’INITIATIVE</w:t>
      </w:r>
      <w:bookmarkEnd w:id="132"/>
      <w:bookmarkEnd w:id="133"/>
      <w:bookmarkEnd w:id="134"/>
      <w:bookmarkEnd w:id="135"/>
      <w:bookmarkEnd w:id="136"/>
    </w:p>
    <w:p w14:paraId="3D7F6E40" w14:textId="2F0C22BD" w:rsidR="004A489F" w:rsidRPr="00D207EA" w:rsidRDefault="004A489F" w:rsidP="004A489F">
      <w:pPr>
        <w:pStyle w:val="ManualHeading2"/>
        <w:rPr>
          <w:noProof/>
        </w:rPr>
      </w:pPr>
      <w:bookmarkStart w:id="137" w:name="_Toc514938051"/>
      <w:bookmarkStart w:id="138" w:name="_Toc520485050"/>
      <w:bookmarkStart w:id="139" w:name="_Toc160804592"/>
      <w:bookmarkStart w:id="140" w:name="_Toc167220284"/>
      <w:bookmarkStart w:id="141" w:name="_Toc177549017"/>
      <w:r w:rsidRPr="00D207EA">
        <w:rPr>
          <w:noProof/>
        </w:rPr>
        <w:t>3.1.</w:t>
      </w:r>
      <w:r w:rsidRPr="00D207EA">
        <w:rPr>
          <w:noProof/>
        </w:rPr>
        <w:tab/>
      </w:r>
      <w:bookmarkStart w:id="142" w:name="_Hlk203293023"/>
      <w:r w:rsidRPr="00D207EA">
        <w:rPr>
          <w:noProof/>
        </w:rPr>
        <w:t>Rubrique(s) du cadre financier pluriannuel et ligne(s) budgétaire(s) de dépenses concernée(s)</w:t>
      </w:r>
    </w:p>
    <w:tbl>
      <w:tblPr>
        <w:tblW w:w="5000" w:type="pct"/>
        <w:tblCellMar>
          <w:top w:w="15" w:type="dxa"/>
          <w:bottom w:w="15" w:type="dxa"/>
        </w:tblCellMar>
        <w:tblLook w:val="04A0" w:firstRow="1" w:lastRow="0" w:firstColumn="1" w:lastColumn="0" w:noHBand="0" w:noVBand="1"/>
      </w:tblPr>
      <w:tblGrid>
        <w:gridCol w:w="945"/>
        <w:gridCol w:w="4078"/>
        <w:gridCol w:w="848"/>
        <w:gridCol w:w="848"/>
        <w:gridCol w:w="871"/>
        <w:gridCol w:w="848"/>
        <w:gridCol w:w="849"/>
      </w:tblGrid>
      <w:tr w:rsidR="001A7D7F" w:rsidRPr="00D207EA" w14:paraId="1B400F39" w14:textId="77777777" w:rsidTr="006125B0">
        <w:trPr>
          <w:trHeight w:val="315"/>
        </w:trPr>
        <w:tc>
          <w:tcPr>
            <w:tcW w:w="471" w:type="pct"/>
            <w:vMerge w:val="restart"/>
            <w:tcBorders>
              <w:top w:val="single" w:sz="8" w:space="0" w:color="auto"/>
              <w:left w:val="single" w:sz="8" w:space="0" w:color="auto"/>
              <w:bottom w:val="nil"/>
              <w:right w:val="single" w:sz="8" w:space="0" w:color="auto"/>
            </w:tcBorders>
            <w:vAlign w:val="center"/>
            <w:hideMark/>
          </w:tcPr>
          <w:bookmarkEnd w:id="142"/>
          <w:p w14:paraId="5CB56EF4"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Rubrique du cadre financier pluriannuel</w:t>
            </w:r>
          </w:p>
        </w:tc>
        <w:tc>
          <w:tcPr>
            <w:tcW w:w="2204" w:type="pct"/>
            <w:vMerge w:val="restart"/>
            <w:tcBorders>
              <w:top w:val="single" w:sz="8" w:space="0" w:color="auto"/>
              <w:left w:val="single" w:sz="8" w:space="0" w:color="auto"/>
              <w:bottom w:val="nil"/>
              <w:right w:val="single" w:sz="8" w:space="0" w:color="auto"/>
            </w:tcBorders>
            <w:vAlign w:val="center"/>
            <w:hideMark/>
          </w:tcPr>
          <w:p w14:paraId="376E8173"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Ligne budgétaire</w:t>
            </w:r>
          </w:p>
        </w:tc>
        <w:tc>
          <w:tcPr>
            <w:tcW w:w="465" w:type="pct"/>
            <w:tcBorders>
              <w:top w:val="single" w:sz="8" w:space="0" w:color="auto"/>
              <w:left w:val="single" w:sz="8" w:space="0" w:color="auto"/>
              <w:bottom w:val="single" w:sz="8" w:space="0" w:color="FFFFFF"/>
              <w:right w:val="single" w:sz="8" w:space="0" w:color="auto"/>
            </w:tcBorders>
            <w:vAlign w:val="center"/>
            <w:hideMark/>
          </w:tcPr>
          <w:p w14:paraId="2568E774" w14:textId="7F9D8825" w:rsidR="004A489F" w:rsidRPr="00D207EA" w:rsidRDefault="004A489F">
            <w:pPr>
              <w:spacing w:before="0" w:after="0"/>
              <w:jc w:val="center"/>
              <w:rPr>
                <w:rFonts w:eastAsia="Times New Roman"/>
                <w:noProof/>
                <w:color w:val="000000"/>
                <w:sz w:val="16"/>
                <w:szCs w:val="16"/>
              </w:rPr>
            </w:pPr>
            <w:r w:rsidRPr="00D207EA">
              <w:rPr>
                <w:noProof/>
                <w:color w:val="000000"/>
                <w:sz w:val="16"/>
              </w:rPr>
              <w:t>Nature de la</w:t>
            </w:r>
          </w:p>
        </w:tc>
        <w:tc>
          <w:tcPr>
            <w:tcW w:w="1860" w:type="pct"/>
            <w:gridSpan w:val="4"/>
            <w:vMerge w:val="restart"/>
            <w:tcBorders>
              <w:top w:val="single" w:sz="8" w:space="0" w:color="auto"/>
              <w:left w:val="single" w:sz="8" w:space="0" w:color="auto"/>
              <w:bottom w:val="nil"/>
              <w:right w:val="nil"/>
            </w:tcBorders>
            <w:vAlign w:val="center"/>
            <w:hideMark/>
          </w:tcPr>
          <w:p w14:paraId="44841C57" w14:textId="597CEB53" w:rsidR="004A489F" w:rsidRPr="00D207EA" w:rsidRDefault="004A489F">
            <w:pPr>
              <w:spacing w:before="0" w:after="0"/>
              <w:jc w:val="center"/>
              <w:rPr>
                <w:rFonts w:eastAsia="Times New Roman"/>
                <w:noProof/>
                <w:color w:val="000000"/>
                <w:sz w:val="16"/>
                <w:szCs w:val="16"/>
              </w:rPr>
            </w:pPr>
            <w:r w:rsidRPr="00D207EA">
              <w:rPr>
                <w:noProof/>
                <w:color w:val="000000"/>
                <w:sz w:val="16"/>
              </w:rPr>
              <w:t>Participation</w:t>
            </w:r>
          </w:p>
        </w:tc>
      </w:tr>
      <w:tr w:rsidR="004A489F" w:rsidRPr="00D207EA" w14:paraId="3B4E10C5" w14:textId="77777777" w:rsidTr="006125B0">
        <w:trPr>
          <w:trHeight w:val="300"/>
        </w:trPr>
        <w:tc>
          <w:tcPr>
            <w:tcW w:w="471" w:type="pct"/>
            <w:vMerge/>
            <w:tcBorders>
              <w:top w:val="single" w:sz="8" w:space="0" w:color="auto"/>
              <w:left w:val="single" w:sz="8" w:space="0" w:color="auto"/>
              <w:bottom w:val="nil"/>
              <w:right w:val="single" w:sz="8" w:space="0" w:color="auto"/>
            </w:tcBorders>
            <w:vAlign w:val="center"/>
            <w:hideMark/>
          </w:tcPr>
          <w:p w14:paraId="0394BA7A" w14:textId="77777777" w:rsidR="004A489F" w:rsidRPr="00D207EA" w:rsidRDefault="004A489F">
            <w:pPr>
              <w:spacing w:before="0" w:after="0"/>
              <w:jc w:val="left"/>
              <w:rPr>
                <w:rFonts w:eastAsia="Times New Roman"/>
                <w:noProof/>
                <w:color w:val="000000"/>
                <w:sz w:val="16"/>
                <w:szCs w:val="16"/>
                <w:lang w:eastAsia="en-IE"/>
              </w:rPr>
            </w:pPr>
          </w:p>
        </w:tc>
        <w:tc>
          <w:tcPr>
            <w:tcW w:w="2204" w:type="pct"/>
            <w:vMerge/>
            <w:tcBorders>
              <w:top w:val="single" w:sz="8" w:space="0" w:color="auto"/>
              <w:left w:val="single" w:sz="8" w:space="0" w:color="auto"/>
              <w:bottom w:val="nil"/>
              <w:right w:val="single" w:sz="8" w:space="0" w:color="auto"/>
            </w:tcBorders>
            <w:vAlign w:val="center"/>
            <w:hideMark/>
          </w:tcPr>
          <w:p w14:paraId="7BC299B5" w14:textId="77777777" w:rsidR="004A489F" w:rsidRPr="00D207EA" w:rsidRDefault="004A489F">
            <w:pPr>
              <w:spacing w:before="0" w:after="0"/>
              <w:jc w:val="left"/>
              <w:rPr>
                <w:rFonts w:eastAsia="Times New Roman"/>
                <w:noProof/>
                <w:color w:val="000000"/>
                <w:sz w:val="16"/>
                <w:szCs w:val="16"/>
                <w:lang w:eastAsia="en-IE"/>
              </w:rPr>
            </w:pPr>
          </w:p>
        </w:tc>
        <w:tc>
          <w:tcPr>
            <w:tcW w:w="465" w:type="pct"/>
            <w:tcBorders>
              <w:top w:val="single" w:sz="8" w:space="0" w:color="FFFFFF"/>
              <w:left w:val="single" w:sz="8" w:space="0" w:color="auto"/>
              <w:bottom w:val="single" w:sz="8" w:space="0" w:color="auto"/>
              <w:right w:val="single" w:sz="8" w:space="0" w:color="auto"/>
            </w:tcBorders>
            <w:vAlign w:val="center"/>
            <w:hideMark/>
          </w:tcPr>
          <w:p w14:paraId="738FA837"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dépense</w:t>
            </w:r>
          </w:p>
        </w:tc>
        <w:tc>
          <w:tcPr>
            <w:tcW w:w="1860" w:type="pct"/>
            <w:gridSpan w:val="4"/>
            <w:vMerge/>
            <w:tcBorders>
              <w:top w:val="single" w:sz="8" w:space="0" w:color="FFFFFF"/>
              <w:left w:val="single" w:sz="8" w:space="0" w:color="auto"/>
              <w:bottom w:val="single" w:sz="8" w:space="0" w:color="auto"/>
              <w:right w:val="single" w:sz="8" w:space="0" w:color="auto"/>
            </w:tcBorders>
            <w:vAlign w:val="center"/>
            <w:hideMark/>
          </w:tcPr>
          <w:p w14:paraId="693542BC" w14:textId="77777777" w:rsidR="004A489F" w:rsidRPr="00D207EA" w:rsidRDefault="004A489F">
            <w:pPr>
              <w:spacing w:before="0" w:after="0"/>
              <w:jc w:val="left"/>
              <w:rPr>
                <w:rFonts w:eastAsia="Times New Roman"/>
                <w:noProof/>
                <w:color w:val="000000"/>
                <w:sz w:val="16"/>
                <w:szCs w:val="16"/>
                <w:lang w:eastAsia="en-IE"/>
              </w:rPr>
            </w:pPr>
          </w:p>
        </w:tc>
      </w:tr>
      <w:tr w:rsidR="004A489F" w:rsidRPr="00D207EA" w14:paraId="73F0A98D" w14:textId="77777777" w:rsidTr="006125B0">
        <w:trPr>
          <w:trHeight w:val="900"/>
        </w:trPr>
        <w:tc>
          <w:tcPr>
            <w:tcW w:w="471" w:type="pct"/>
            <w:vMerge/>
            <w:tcBorders>
              <w:top w:val="single" w:sz="8" w:space="0" w:color="auto"/>
              <w:left w:val="single" w:sz="8" w:space="0" w:color="auto"/>
              <w:bottom w:val="nil"/>
              <w:right w:val="single" w:sz="8" w:space="0" w:color="auto"/>
            </w:tcBorders>
            <w:vAlign w:val="center"/>
            <w:hideMark/>
          </w:tcPr>
          <w:p w14:paraId="3CE633AD" w14:textId="77777777" w:rsidR="004A489F" w:rsidRPr="00D207EA" w:rsidRDefault="004A489F">
            <w:pPr>
              <w:spacing w:before="0" w:after="0"/>
              <w:jc w:val="left"/>
              <w:rPr>
                <w:rFonts w:eastAsia="Times New Roman"/>
                <w:noProof/>
                <w:color w:val="000000"/>
                <w:sz w:val="16"/>
                <w:szCs w:val="16"/>
                <w:lang w:eastAsia="en-IE"/>
              </w:rPr>
            </w:pPr>
          </w:p>
        </w:tc>
        <w:tc>
          <w:tcPr>
            <w:tcW w:w="2204" w:type="pct"/>
            <w:tcBorders>
              <w:top w:val="nil"/>
              <w:left w:val="nil"/>
              <w:bottom w:val="nil"/>
              <w:right w:val="single" w:sz="8" w:space="0" w:color="auto"/>
            </w:tcBorders>
            <w:vAlign w:val="center"/>
            <w:hideMark/>
          </w:tcPr>
          <w:p w14:paraId="66595314" w14:textId="21C3343C" w:rsidR="004A489F" w:rsidRPr="00D207EA" w:rsidRDefault="004A489F">
            <w:pPr>
              <w:spacing w:before="0" w:after="0"/>
              <w:rPr>
                <w:rFonts w:eastAsia="Times New Roman"/>
                <w:noProof/>
                <w:color w:val="000000"/>
                <w:sz w:val="16"/>
                <w:szCs w:val="16"/>
              </w:rPr>
            </w:pPr>
            <w:r w:rsidRPr="00D207EA">
              <w:rPr>
                <w:noProof/>
                <w:color w:val="000000"/>
                <w:sz w:val="16"/>
              </w:rPr>
              <w:t>Numéro</w:t>
            </w:r>
          </w:p>
        </w:tc>
        <w:bookmarkStart w:id="143" w:name="3.1!C7"/>
        <w:tc>
          <w:tcPr>
            <w:tcW w:w="465" w:type="pct"/>
            <w:tcBorders>
              <w:top w:val="nil"/>
              <w:left w:val="nil"/>
              <w:bottom w:val="nil"/>
              <w:right w:val="single" w:sz="8" w:space="0" w:color="auto"/>
            </w:tcBorders>
            <w:vAlign w:val="center"/>
            <w:hideMark/>
          </w:tcPr>
          <w:p w14:paraId="0BD5214D" w14:textId="77777777" w:rsidR="004A489F" w:rsidRPr="00D207EA" w:rsidRDefault="004A489F">
            <w:pPr>
              <w:spacing w:before="0" w:after="0"/>
              <w:jc w:val="center"/>
              <w:rPr>
                <w:rFonts w:ascii="Calibri" w:eastAsia="Times New Roman" w:hAnsi="Calibri" w:cs="Calibri"/>
                <w:noProof/>
                <w:color w:val="0563C1"/>
                <w:sz w:val="16"/>
                <w:szCs w:val="16"/>
                <w:u w:val="single"/>
              </w:rPr>
            </w:pPr>
            <w:r w:rsidRPr="00D207EA">
              <w:rPr>
                <w:rFonts w:ascii="Calibri" w:eastAsia="Times New Roman" w:hAnsi="Calibri" w:cs="Calibri"/>
                <w:noProof/>
                <w:color w:val="0563C1"/>
                <w:sz w:val="16"/>
                <w:u w:val="single"/>
              </w:rPr>
              <w:fldChar w:fldCharType="begin" w:fldLock="1"/>
            </w:r>
            <w:r w:rsidRPr="00D207EA">
              <w:rPr>
                <w:rFonts w:ascii="Calibri" w:eastAsia="Times New Roman" w:hAnsi="Calibri" w:cs="Calibri"/>
                <w:noProof/>
                <w:color w:val="0563C1"/>
                <w:sz w:val="16"/>
                <w:u w:val="single"/>
              </w:rPr>
              <w:instrText>HYPERLINK "" \l "3.1!A50"</w:instrText>
            </w:r>
            <w:r w:rsidRPr="00D207EA">
              <w:rPr>
                <w:rFonts w:ascii="Calibri" w:eastAsia="Times New Roman" w:hAnsi="Calibri" w:cs="Calibri"/>
                <w:noProof/>
                <w:color w:val="0563C1"/>
                <w:sz w:val="16"/>
                <w:u w:val="single"/>
              </w:rPr>
              <w:fldChar w:fldCharType="separate"/>
            </w:r>
            <w:r w:rsidRPr="00D207EA">
              <w:rPr>
                <w:rFonts w:ascii="Calibri" w:hAnsi="Calibri"/>
                <w:noProof/>
                <w:color w:val="0563C1"/>
                <w:sz w:val="16"/>
                <w:u w:val="single"/>
              </w:rPr>
              <w:t>CD/CND [1]</w:t>
            </w:r>
            <w:r w:rsidRPr="00D207EA">
              <w:rPr>
                <w:rFonts w:ascii="Calibri" w:eastAsia="Times New Roman" w:hAnsi="Calibri" w:cs="Calibri"/>
                <w:noProof/>
                <w:color w:val="0563C1"/>
                <w:sz w:val="16"/>
                <w:u w:val="single"/>
              </w:rPr>
              <w:fldChar w:fldCharType="end"/>
            </w:r>
            <w:bookmarkEnd w:id="143"/>
          </w:p>
        </w:tc>
        <w:bookmarkStart w:id="144" w:name="3.1!D7"/>
        <w:tc>
          <w:tcPr>
            <w:tcW w:w="465" w:type="pct"/>
            <w:tcBorders>
              <w:top w:val="nil"/>
              <w:left w:val="nil"/>
              <w:bottom w:val="nil"/>
              <w:right w:val="single" w:sz="8" w:space="0" w:color="auto"/>
            </w:tcBorders>
            <w:vAlign w:val="center"/>
            <w:hideMark/>
          </w:tcPr>
          <w:p w14:paraId="0A6B4431" w14:textId="77777777" w:rsidR="004A489F" w:rsidRPr="00D207EA" w:rsidRDefault="004A489F">
            <w:pPr>
              <w:spacing w:before="0" w:after="0"/>
              <w:jc w:val="center"/>
              <w:rPr>
                <w:rFonts w:ascii="Calibri" w:eastAsia="Times New Roman" w:hAnsi="Calibri" w:cs="Calibri"/>
                <w:noProof/>
                <w:color w:val="0563C1"/>
                <w:sz w:val="16"/>
                <w:szCs w:val="16"/>
                <w:u w:val="single"/>
              </w:rPr>
            </w:pPr>
            <w:r w:rsidRPr="00D207EA">
              <w:rPr>
                <w:rFonts w:ascii="Calibri" w:eastAsia="Times New Roman" w:hAnsi="Calibri" w:cs="Calibri"/>
                <w:noProof/>
                <w:color w:val="0563C1"/>
                <w:sz w:val="16"/>
                <w:u w:val="single"/>
              </w:rPr>
              <w:fldChar w:fldCharType="begin" w:fldLock="1"/>
            </w:r>
            <w:r w:rsidRPr="00D207EA">
              <w:rPr>
                <w:rFonts w:ascii="Calibri" w:eastAsia="Times New Roman" w:hAnsi="Calibri" w:cs="Calibri"/>
                <w:noProof/>
                <w:color w:val="0563C1"/>
                <w:sz w:val="16"/>
                <w:u w:val="single"/>
              </w:rPr>
              <w:instrText>HYPERLINK "" \l "3.1!A51"</w:instrText>
            </w:r>
            <w:r w:rsidRPr="00D207EA">
              <w:rPr>
                <w:rFonts w:ascii="Calibri" w:eastAsia="Times New Roman" w:hAnsi="Calibri" w:cs="Calibri"/>
                <w:noProof/>
                <w:color w:val="0563C1"/>
                <w:sz w:val="16"/>
                <w:u w:val="single"/>
              </w:rPr>
              <w:fldChar w:fldCharType="separate"/>
            </w:r>
            <w:r w:rsidRPr="00D207EA">
              <w:rPr>
                <w:rFonts w:ascii="Calibri" w:hAnsi="Calibri"/>
                <w:noProof/>
                <w:color w:val="0563C1"/>
                <w:sz w:val="16"/>
                <w:u w:val="single"/>
              </w:rPr>
              <w:t>de pays AELE [2]</w:t>
            </w:r>
            <w:r w:rsidRPr="00D207EA">
              <w:rPr>
                <w:rFonts w:ascii="Calibri" w:eastAsia="Times New Roman" w:hAnsi="Calibri" w:cs="Calibri"/>
                <w:noProof/>
                <w:color w:val="0563C1"/>
                <w:sz w:val="16"/>
                <w:u w:val="single"/>
              </w:rPr>
              <w:fldChar w:fldCharType="end"/>
            </w:r>
            <w:bookmarkEnd w:id="144"/>
          </w:p>
        </w:tc>
        <w:bookmarkStart w:id="145" w:name="3.1!E7"/>
        <w:tc>
          <w:tcPr>
            <w:tcW w:w="465" w:type="pct"/>
            <w:tcBorders>
              <w:top w:val="nil"/>
              <w:left w:val="nil"/>
              <w:bottom w:val="nil"/>
              <w:right w:val="single" w:sz="8" w:space="0" w:color="auto"/>
            </w:tcBorders>
            <w:vAlign w:val="center"/>
            <w:hideMark/>
          </w:tcPr>
          <w:p w14:paraId="5023CEA3" w14:textId="77777777" w:rsidR="004A489F" w:rsidRPr="00D207EA" w:rsidRDefault="004A489F">
            <w:pPr>
              <w:spacing w:before="0" w:after="0"/>
              <w:jc w:val="center"/>
              <w:rPr>
                <w:rFonts w:ascii="Calibri" w:eastAsia="Times New Roman" w:hAnsi="Calibri" w:cs="Calibri"/>
                <w:noProof/>
                <w:color w:val="0563C1"/>
                <w:sz w:val="16"/>
                <w:szCs w:val="16"/>
                <w:u w:val="single"/>
              </w:rPr>
            </w:pPr>
            <w:r w:rsidRPr="00D207EA">
              <w:rPr>
                <w:rFonts w:ascii="Calibri" w:eastAsia="Times New Roman" w:hAnsi="Calibri" w:cs="Calibri"/>
                <w:noProof/>
                <w:color w:val="0563C1"/>
                <w:sz w:val="16"/>
                <w:u w:val="single"/>
              </w:rPr>
              <w:fldChar w:fldCharType="begin" w:fldLock="1"/>
            </w:r>
            <w:r w:rsidRPr="00D207EA">
              <w:rPr>
                <w:rFonts w:ascii="Calibri" w:eastAsia="Times New Roman" w:hAnsi="Calibri" w:cs="Calibri"/>
                <w:noProof/>
                <w:color w:val="0563C1"/>
                <w:sz w:val="16"/>
                <w:u w:val="single"/>
              </w:rPr>
              <w:instrText>HYPERLINK "" \l "3.1!A52"</w:instrText>
            </w:r>
            <w:r w:rsidRPr="00D207EA">
              <w:rPr>
                <w:rFonts w:ascii="Calibri" w:eastAsia="Times New Roman" w:hAnsi="Calibri" w:cs="Calibri"/>
                <w:noProof/>
                <w:color w:val="0563C1"/>
                <w:sz w:val="16"/>
                <w:u w:val="single"/>
              </w:rPr>
              <w:fldChar w:fldCharType="separate"/>
            </w:r>
            <w:r w:rsidRPr="00D207EA">
              <w:rPr>
                <w:rFonts w:ascii="Calibri" w:hAnsi="Calibri"/>
                <w:noProof/>
                <w:color w:val="0563C1"/>
                <w:sz w:val="16"/>
                <w:u w:val="single"/>
              </w:rPr>
              <w:t>de pays candidats et pays candidats potentiels [3]</w:t>
            </w:r>
            <w:r w:rsidRPr="00D207EA">
              <w:rPr>
                <w:rFonts w:ascii="Calibri" w:eastAsia="Times New Roman" w:hAnsi="Calibri" w:cs="Calibri"/>
                <w:noProof/>
                <w:color w:val="0563C1"/>
                <w:sz w:val="16"/>
                <w:u w:val="single"/>
              </w:rPr>
              <w:fldChar w:fldCharType="end"/>
            </w:r>
            <w:bookmarkEnd w:id="145"/>
          </w:p>
        </w:tc>
        <w:tc>
          <w:tcPr>
            <w:tcW w:w="465" w:type="pct"/>
            <w:tcBorders>
              <w:top w:val="nil"/>
              <w:left w:val="nil"/>
              <w:bottom w:val="nil"/>
              <w:right w:val="single" w:sz="8" w:space="0" w:color="auto"/>
            </w:tcBorders>
            <w:vAlign w:val="center"/>
            <w:hideMark/>
          </w:tcPr>
          <w:p w14:paraId="08BB1DF5"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d’autres pays tiers</w:t>
            </w:r>
          </w:p>
        </w:tc>
        <w:tc>
          <w:tcPr>
            <w:tcW w:w="465" w:type="pct"/>
            <w:tcBorders>
              <w:top w:val="nil"/>
              <w:left w:val="nil"/>
              <w:bottom w:val="nil"/>
              <w:right w:val="single" w:sz="8" w:space="0" w:color="auto"/>
            </w:tcBorders>
            <w:vAlign w:val="center"/>
            <w:hideMark/>
          </w:tcPr>
          <w:p w14:paraId="0D78F236" w14:textId="285CC0F8" w:rsidR="004A489F" w:rsidRPr="00D207EA" w:rsidRDefault="004A489F">
            <w:pPr>
              <w:spacing w:before="0" w:after="0"/>
              <w:jc w:val="center"/>
              <w:rPr>
                <w:rFonts w:eastAsia="Times New Roman"/>
                <w:noProof/>
                <w:color w:val="000000"/>
                <w:sz w:val="16"/>
                <w:szCs w:val="16"/>
              </w:rPr>
            </w:pPr>
            <w:r w:rsidRPr="00D207EA">
              <w:rPr>
                <w:noProof/>
                <w:color w:val="000000"/>
                <w:sz w:val="16"/>
              </w:rPr>
              <w:t>autres recettes affectées</w:t>
            </w:r>
          </w:p>
        </w:tc>
      </w:tr>
      <w:tr w:rsidR="004A489F" w:rsidRPr="00D207EA" w14:paraId="6F14EE8E" w14:textId="77777777" w:rsidTr="006125B0">
        <w:trPr>
          <w:trHeight w:val="300"/>
        </w:trPr>
        <w:tc>
          <w:tcPr>
            <w:tcW w:w="471" w:type="pct"/>
            <w:tcBorders>
              <w:top w:val="single" w:sz="8" w:space="0" w:color="000000"/>
              <w:left w:val="single" w:sz="8" w:space="0" w:color="000000"/>
              <w:bottom w:val="nil"/>
              <w:right w:val="single" w:sz="8" w:space="0" w:color="auto"/>
            </w:tcBorders>
            <w:shd w:val="clear" w:color="000000" w:fill="BFBFBF"/>
            <w:vAlign w:val="center"/>
            <w:hideMark/>
          </w:tcPr>
          <w:p w14:paraId="72A57F4E" w14:textId="77777777" w:rsidR="004A489F" w:rsidRPr="00D207EA" w:rsidRDefault="004A489F">
            <w:pPr>
              <w:spacing w:before="0" w:after="0"/>
              <w:jc w:val="center"/>
              <w:rPr>
                <w:rFonts w:eastAsia="Times New Roman"/>
                <w:noProof/>
                <w:color w:val="0000FF"/>
                <w:sz w:val="16"/>
                <w:szCs w:val="16"/>
              </w:rPr>
            </w:pPr>
            <w:r w:rsidRPr="00D207E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shd w:val="clear" w:color="000000" w:fill="BFBFBF"/>
            <w:vAlign w:val="center"/>
            <w:hideMark/>
          </w:tcPr>
          <w:p w14:paraId="5211C18E" w14:textId="77777777" w:rsidR="004A489F" w:rsidRPr="00D207EA" w:rsidRDefault="004A489F">
            <w:pPr>
              <w:spacing w:before="0" w:after="0"/>
              <w:rPr>
                <w:rFonts w:eastAsia="Times New Roman"/>
                <w:noProof/>
                <w:color w:val="000000"/>
                <w:sz w:val="16"/>
                <w:szCs w:val="16"/>
              </w:rPr>
            </w:pPr>
            <w:r w:rsidRPr="00D207EA">
              <w:rPr>
                <w:noProof/>
                <w:color w:val="000000"/>
                <w:sz w:val="16"/>
              </w:rPr>
              <w:t xml:space="preserve">02. </w:t>
            </w:r>
            <w:r w:rsidRPr="00D207EA">
              <w:rPr>
                <w:noProof/>
                <w:sz w:val="16"/>
              </w:rPr>
              <w:t>Fonds européen pour la cohésion économique, sociale et territoriale, l’agriculture et la prospérité et la sécurité dans le secteur rural, maritime et de la pêche</w:t>
            </w:r>
          </w:p>
        </w:tc>
        <w:tc>
          <w:tcPr>
            <w:tcW w:w="465" w:type="pct"/>
            <w:tcBorders>
              <w:top w:val="single" w:sz="8" w:space="0" w:color="000000"/>
              <w:left w:val="single" w:sz="8" w:space="0" w:color="auto"/>
              <w:bottom w:val="nil"/>
              <w:right w:val="single" w:sz="8" w:space="0" w:color="auto"/>
            </w:tcBorders>
            <w:shd w:val="clear" w:color="000000" w:fill="BFBFBF"/>
            <w:vAlign w:val="center"/>
            <w:hideMark/>
          </w:tcPr>
          <w:p w14:paraId="0E3B45EC" w14:textId="77777777" w:rsidR="004A489F" w:rsidRPr="00D207EA" w:rsidRDefault="004A489F">
            <w:pPr>
              <w:spacing w:before="0" w:after="0"/>
              <w:jc w:val="center"/>
              <w:rPr>
                <w:rFonts w:eastAsia="Times New Roman"/>
                <w:b/>
                <w:noProof/>
                <w:color w:val="000000"/>
                <w:sz w:val="16"/>
                <w:szCs w:val="16"/>
              </w:rPr>
            </w:pPr>
            <w:r w:rsidRPr="00D207EA">
              <w:rPr>
                <w:b/>
                <w:noProof/>
                <w:color w:val="000000"/>
                <w:sz w:val="16"/>
              </w:rPr>
              <w:t>CD</w:t>
            </w:r>
          </w:p>
        </w:tc>
        <w:tc>
          <w:tcPr>
            <w:tcW w:w="465" w:type="pct"/>
            <w:tcBorders>
              <w:top w:val="single" w:sz="8" w:space="0" w:color="000000"/>
              <w:left w:val="single" w:sz="8" w:space="0" w:color="auto"/>
              <w:bottom w:val="nil"/>
              <w:right w:val="single" w:sz="8" w:space="0" w:color="auto"/>
            </w:tcBorders>
            <w:shd w:val="clear" w:color="000000" w:fill="BFBFBF"/>
            <w:vAlign w:val="center"/>
            <w:hideMark/>
          </w:tcPr>
          <w:p w14:paraId="12F62057" w14:textId="77777777" w:rsidR="004A489F" w:rsidRPr="00D207EA" w:rsidRDefault="004A489F">
            <w:pPr>
              <w:spacing w:before="0" w:after="0"/>
              <w:jc w:val="center"/>
              <w:rPr>
                <w:rFonts w:eastAsia="Times New Roman"/>
                <w:b/>
                <w:noProof/>
                <w:color w:val="000000"/>
                <w:sz w:val="16"/>
                <w:szCs w:val="16"/>
              </w:rPr>
            </w:pPr>
            <w:r w:rsidRPr="00D207EA">
              <w:rPr>
                <w:b/>
                <w:noProof/>
                <w:color w:val="000000"/>
                <w:sz w:val="16"/>
              </w:rPr>
              <w:t>OUI</w:t>
            </w:r>
          </w:p>
        </w:tc>
        <w:tc>
          <w:tcPr>
            <w:tcW w:w="465" w:type="pct"/>
            <w:tcBorders>
              <w:top w:val="single" w:sz="8" w:space="0" w:color="000000"/>
              <w:left w:val="single" w:sz="8" w:space="0" w:color="auto"/>
              <w:bottom w:val="nil"/>
              <w:right w:val="single" w:sz="8" w:space="0" w:color="auto"/>
            </w:tcBorders>
            <w:shd w:val="clear" w:color="000000" w:fill="BFBFBF"/>
            <w:vAlign w:val="center"/>
            <w:hideMark/>
          </w:tcPr>
          <w:p w14:paraId="07436687" w14:textId="77777777" w:rsidR="004A489F" w:rsidRPr="00D207EA" w:rsidRDefault="004A489F">
            <w:pPr>
              <w:spacing w:before="0" w:after="0"/>
              <w:jc w:val="center"/>
              <w:rPr>
                <w:rFonts w:eastAsia="Times New Roman"/>
                <w:b/>
                <w:noProof/>
                <w:color w:val="000000"/>
                <w:sz w:val="16"/>
                <w:szCs w:val="16"/>
              </w:rPr>
            </w:pPr>
            <w:r w:rsidRPr="00D207EA">
              <w:rPr>
                <w:b/>
                <w:noProof/>
                <w:color w:val="000000"/>
                <w:sz w:val="16"/>
              </w:rPr>
              <w:t>OUI</w:t>
            </w:r>
          </w:p>
        </w:tc>
        <w:tc>
          <w:tcPr>
            <w:tcW w:w="465" w:type="pct"/>
            <w:tcBorders>
              <w:top w:val="single" w:sz="8" w:space="0" w:color="000000"/>
              <w:left w:val="single" w:sz="8" w:space="0" w:color="auto"/>
              <w:bottom w:val="nil"/>
              <w:right w:val="single" w:sz="8" w:space="0" w:color="auto"/>
            </w:tcBorders>
            <w:shd w:val="clear" w:color="000000" w:fill="BFBFBF"/>
            <w:vAlign w:val="center"/>
            <w:hideMark/>
          </w:tcPr>
          <w:p w14:paraId="3FC0F002" w14:textId="77777777" w:rsidR="004A489F" w:rsidRPr="00D207EA" w:rsidRDefault="004A489F">
            <w:pPr>
              <w:spacing w:before="0" w:after="0"/>
              <w:jc w:val="center"/>
              <w:rPr>
                <w:rFonts w:eastAsia="Times New Roman"/>
                <w:b/>
                <w:noProof/>
                <w:color w:val="000000"/>
                <w:sz w:val="16"/>
                <w:szCs w:val="16"/>
              </w:rPr>
            </w:pPr>
            <w:r w:rsidRPr="00D207EA">
              <w:rPr>
                <w:b/>
                <w:noProof/>
                <w:color w:val="000000"/>
                <w:sz w:val="16"/>
              </w:rPr>
              <w:t>OUI</w:t>
            </w:r>
          </w:p>
        </w:tc>
        <w:tc>
          <w:tcPr>
            <w:tcW w:w="465" w:type="pct"/>
            <w:tcBorders>
              <w:top w:val="single" w:sz="8" w:space="0" w:color="000000"/>
              <w:left w:val="single" w:sz="8" w:space="0" w:color="auto"/>
              <w:bottom w:val="nil"/>
              <w:right w:val="single" w:sz="8" w:space="0" w:color="000000"/>
            </w:tcBorders>
            <w:shd w:val="clear" w:color="000000" w:fill="BFBFBF"/>
            <w:vAlign w:val="center"/>
            <w:hideMark/>
          </w:tcPr>
          <w:p w14:paraId="67C44195" w14:textId="77777777" w:rsidR="004A489F" w:rsidRPr="00D207EA" w:rsidRDefault="004A489F">
            <w:pPr>
              <w:spacing w:before="0" w:after="0"/>
              <w:jc w:val="center"/>
              <w:rPr>
                <w:rFonts w:eastAsia="Times New Roman"/>
                <w:b/>
                <w:noProof/>
                <w:color w:val="000000"/>
                <w:sz w:val="16"/>
                <w:szCs w:val="16"/>
              </w:rPr>
            </w:pPr>
            <w:r w:rsidRPr="00D207EA">
              <w:rPr>
                <w:b/>
                <w:noProof/>
                <w:color w:val="000000"/>
                <w:sz w:val="16"/>
              </w:rPr>
              <w:t>OUI</w:t>
            </w:r>
          </w:p>
        </w:tc>
      </w:tr>
      <w:tr w:rsidR="004A489F" w:rsidRPr="00D207EA" w14:paraId="1D0ACC85" w14:textId="77777777" w:rsidTr="006125B0">
        <w:trPr>
          <w:trHeight w:val="300"/>
        </w:trPr>
        <w:tc>
          <w:tcPr>
            <w:tcW w:w="471" w:type="pct"/>
            <w:tcBorders>
              <w:top w:val="single" w:sz="8" w:space="0" w:color="auto"/>
              <w:left w:val="single" w:sz="8" w:space="0" w:color="000000"/>
              <w:bottom w:val="nil"/>
              <w:right w:val="single" w:sz="8" w:space="0" w:color="auto"/>
            </w:tcBorders>
            <w:shd w:val="clear" w:color="000000" w:fill="D9D9D9"/>
            <w:vAlign w:val="center"/>
            <w:hideMark/>
          </w:tcPr>
          <w:p w14:paraId="1110C057" w14:textId="77777777" w:rsidR="004A489F" w:rsidRPr="00D207EA" w:rsidRDefault="004A489F">
            <w:pPr>
              <w:spacing w:before="0" w:after="0"/>
              <w:jc w:val="center"/>
              <w:rPr>
                <w:rFonts w:eastAsia="Times New Roman"/>
                <w:noProof/>
                <w:color w:val="0000FF"/>
                <w:sz w:val="16"/>
                <w:szCs w:val="16"/>
              </w:rPr>
            </w:pPr>
            <w:r w:rsidRPr="00D207E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AF7BBB" w14:textId="77777777" w:rsidR="004A489F" w:rsidRPr="00D207EA" w:rsidRDefault="004A489F">
            <w:pPr>
              <w:spacing w:before="0" w:after="0"/>
              <w:rPr>
                <w:rFonts w:eastAsia="Times New Roman"/>
                <w:noProof/>
                <w:color w:val="000000"/>
                <w:sz w:val="16"/>
                <w:szCs w:val="16"/>
              </w:rPr>
            </w:pPr>
            <w:r w:rsidRPr="00D207EA">
              <w:rPr>
                <w:noProof/>
                <w:color w:val="000000"/>
                <w:sz w:val="16"/>
              </w:rPr>
              <w:t>02.01 Soutien aux dépenses du Fonds de partenariat national et régional</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492AA2A1"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CND</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03ADD156"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3E44715C"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62BDBB33"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c>
          <w:tcPr>
            <w:tcW w:w="465" w:type="pct"/>
            <w:tcBorders>
              <w:top w:val="single" w:sz="8" w:space="0" w:color="auto"/>
              <w:left w:val="single" w:sz="8" w:space="0" w:color="auto"/>
              <w:bottom w:val="nil"/>
              <w:right w:val="single" w:sz="8" w:space="0" w:color="000000"/>
            </w:tcBorders>
            <w:shd w:val="clear" w:color="000000" w:fill="D9D9D9"/>
            <w:vAlign w:val="center"/>
            <w:hideMark/>
          </w:tcPr>
          <w:p w14:paraId="23C37922"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r>
      <w:tr w:rsidR="004A489F" w:rsidRPr="00D207EA" w14:paraId="52D0F236" w14:textId="77777777" w:rsidTr="006125B0">
        <w:trPr>
          <w:trHeight w:val="300"/>
        </w:trPr>
        <w:tc>
          <w:tcPr>
            <w:tcW w:w="471" w:type="pct"/>
            <w:tcBorders>
              <w:top w:val="single" w:sz="8" w:space="0" w:color="auto"/>
              <w:left w:val="single" w:sz="8" w:space="0" w:color="000000"/>
              <w:bottom w:val="nil"/>
              <w:right w:val="single" w:sz="8" w:space="0" w:color="auto"/>
            </w:tcBorders>
            <w:shd w:val="clear" w:color="000000" w:fill="D9D9D9"/>
            <w:vAlign w:val="center"/>
            <w:hideMark/>
          </w:tcPr>
          <w:p w14:paraId="4254C283" w14:textId="77777777" w:rsidR="004A489F" w:rsidRPr="00D207EA" w:rsidRDefault="004A489F">
            <w:pPr>
              <w:spacing w:before="0" w:after="0"/>
              <w:jc w:val="center"/>
              <w:rPr>
                <w:rFonts w:eastAsia="Times New Roman"/>
                <w:noProof/>
                <w:color w:val="0000FF"/>
                <w:sz w:val="16"/>
                <w:szCs w:val="16"/>
              </w:rPr>
            </w:pPr>
            <w:r w:rsidRPr="00D207E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8B6FE45" w14:textId="77777777" w:rsidR="004A489F" w:rsidRPr="00D207EA" w:rsidRDefault="004A489F">
            <w:pPr>
              <w:spacing w:before="0" w:after="0"/>
              <w:rPr>
                <w:rFonts w:eastAsia="Times New Roman"/>
                <w:noProof/>
                <w:color w:val="000000"/>
                <w:sz w:val="16"/>
                <w:szCs w:val="16"/>
              </w:rPr>
            </w:pPr>
            <w:r w:rsidRPr="00D207EA">
              <w:rPr>
                <w:noProof/>
                <w:color w:val="000000"/>
                <w:sz w:val="16"/>
              </w:rPr>
              <w:t>02.02 Plans de partenariat national et régional et plan Interreg – Dépenses opérationnelles</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2F457F60"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CD</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18344558"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2854EEAD"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5D55350B"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c>
          <w:tcPr>
            <w:tcW w:w="465" w:type="pct"/>
            <w:tcBorders>
              <w:top w:val="single" w:sz="8" w:space="0" w:color="auto"/>
              <w:left w:val="single" w:sz="8" w:space="0" w:color="auto"/>
              <w:bottom w:val="nil"/>
              <w:right w:val="single" w:sz="8" w:space="0" w:color="000000"/>
            </w:tcBorders>
            <w:shd w:val="clear" w:color="000000" w:fill="D9D9D9"/>
            <w:vAlign w:val="center"/>
            <w:hideMark/>
          </w:tcPr>
          <w:p w14:paraId="28E0CACD"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r>
      <w:tr w:rsidR="004A489F" w:rsidRPr="00D207EA" w14:paraId="4A90D857"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34E8F65B" w14:textId="77777777" w:rsidR="004A489F" w:rsidRPr="00D207EA" w:rsidRDefault="004A489F">
            <w:pPr>
              <w:spacing w:before="0" w:after="0"/>
              <w:jc w:val="center"/>
              <w:rPr>
                <w:rFonts w:eastAsia="Times New Roman"/>
                <w:noProof/>
                <w:color w:val="0000FF"/>
                <w:sz w:val="16"/>
                <w:szCs w:val="16"/>
              </w:rPr>
            </w:pPr>
            <w:r w:rsidRPr="00D207E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683FDABF" w14:textId="77777777" w:rsidR="004A489F" w:rsidRPr="00D207EA" w:rsidRDefault="004A489F">
            <w:pPr>
              <w:spacing w:before="0" w:after="0"/>
              <w:rPr>
                <w:rFonts w:eastAsia="Times New Roman"/>
                <w:noProof/>
                <w:color w:val="000000"/>
                <w:sz w:val="16"/>
                <w:szCs w:val="16"/>
              </w:rPr>
            </w:pPr>
            <w:r w:rsidRPr="00D207EA">
              <w:rPr>
                <w:noProof/>
                <w:color w:val="000000"/>
                <w:sz w:val="16"/>
              </w:rPr>
              <w:t>02.02.01 Prospérité durable de l’Europe</w:t>
            </w:r>
          </w:p>
        </w:tc>
        <w:tc>
          <w:tcPr>
            <w:tcW w:w="465" w:type="pct"/>
            <w:tcBorders>
              <w:top w:val="single" w:sz="8" w:space="0" w:color="auto"/>
              <w:left w:val="single" w:sz="8" w:space="0" w:color="auto"/>
              <w:bottom w:val="nil"/>
              <w:right w:val="single" w:sz="8" w:space="0" w:color="auto"/>
            </w:tcBorders>
            <w:vAlign w:val="center"/>
            <w:hideMark/>
          </w:tcPr>
          <w:p w14:paraId="74B7BB7B"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CD</w:t>
            </w:r>
          </w:p>
        </w:tc>
        <w:tc>
          <w:tcPr>
            <w:tcW w:w="465" w:type="pct"/>
            <w:tcBorders>
              <w:top w:val="single" w:sz="8" w:space="0" w:color="auto"/>
              <w:left w:val="single" w:sz="8" w:space="0" w:color="auto"/>
              <w:bottom w:val="nil"/>
              <w:right w:val="single" w:sz="8" w:space="0" w:color="auto"/>
            </w:tcBorders>
            <w:vAlign w:val="center"/>
            <w:hideMark/>
          </w:tcPr>
          <w:p w14:paraId="47A065AE"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auto"/>
            </w:tcBorders>
            <w:vAlign w:val="center"/>
            <w:hideMark/>
          </w:tcPr>
          <w:p w14:paraId="6F6991C2"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auto"/>
            </w:tcBorders>
            <w:vAlign w:val="center"/>
            <w:hideMark/>
          </w:tcPr>
          <w:p w14:paraId="4009BF9B"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000000"/>
            </w:tcBorders>
            <w:vAlign w:val="center"/>
            <w:hideMark/>
          </w:tcPr>
          <w:p w14:paraId="51086829"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r>
      <w:tr w:rsidR="004A489F" w:rsidRPr="00D207EA" w14:paraId="3A0D0A64"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31C86D94" w14:textId="77777777" w:rsidR="004A489F" w:rsidRPr="00D207EA" w:rsidRDefault="004A489F">
            <w:pPr>
              <w:spacing w:before="0" w:after="0"/>
              <w:jc w:val="center"/>
              <w:rPr>
                <w:rFonts w:eastAsia="Times New Roman"/>
                <w:noProof/>
                <w:color w:val="0000FF"/>
                <w:sz w:val="16"/>
                <w:szCs w:val="16"/>
              </w:rPr>
            </w:pPr>
            <w:r w:rsidRPr="00D207E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712096C9" w14:textId="77777777" w:rsidR="004A489F" w:rsidRPr="00D207EA" w:rsidRDefault="004A489F">
            <w:pPr>
              <w:spacing w:before="0" w:after="0"/>
              <w:rPr>
                <w:rFonts w:eastAsia="Times New Roman"/>
                <w:noProof/>
                <w:color w:val="000000"/>
                <w:sz w:val="16"/>
                <w:szCs w:val="16"/>
              </w:rPr>
            </w:pPr>
            <w:r w:rsidRPr="00D207EA">
              <w:rPr>
                <w:noProof/>
                <w:color w:val="000000"/>
                <w:sz w:val="16"/>
              </w:rPr>
              <w:t>02.02.02 Capacités de défense et sécurité de l’Europe</w:t>
            </w:r>
          </w:p>
        </w:tc>
        <w:tc>
          <w:tcPr>
            <w:tcW w:w="465" w:type="pct"/>
            <w:tcBorders>
              <w:top w:val="single" w:sz="8" w:space="0" w:color="auto"/>
              <w:left w:val="single" w:sz="8" w:space="0" w:color="auto"/>
              <w:bottom w:val="nil"/>
              <w:right w:val="single" w:sz="8" w:space="0" w:color="auto"/>
            </w:tcBorders>
            <w:vAlign w:val="center"/>
            <w:hideMark/>
          </w:tcPr>
          <w:p w14:paraId="0A459CED"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CD</w:t>
            </w:r>
          </w:p>
        </w:tc>
        <w:tc>
          <w:tcPr>
            <w:tcW w:w="465" w:type="pct"/>
            <w:tcBorders>
              <w:top w:val="single" w:sz="8" w:space="0" w:color="auto"/>
              <w:left w:val="single" w:sz="8" w:space="0" w:color="auto"/>
              <w:bottom w:val="nil"/>
              <w:right w:val="single" w:sz="8" w:space="0" w:color="auto"/>
            </w:tcBorders>
            <w:vAlign w:val="center"/>
            <w:hideMark/>
          </w:tcPr>
          <w:p w14:paraId="2BA1E5F9"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auto"/>
            </w:tcBorders>
            <w:vAlign w:val="center"/>
            <w:hideMark/>
          </w:tcPr>
          <w:p w14:paraId="7D004BEF"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auto"/>
            </w:tcBorders>
            <w:vAlign w:val="center"/>
            <w:hideMark/>
          </w:tcPr>
          <w:p w14:paraId="0F6DFECC"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000000"/>
            </w:tcBorders>
            <w:vAlign w:val="center"/>
            <w:hideMark/>
          </w:tcPr>
          <w:p w14:paraId="09D48C0A"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r>
      <w:tr w:rsidR="004A489F" w:rsidRPr="00D207EA" w14:paraId="1AE057C6"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21545EFE" w14:textId="77777777" w:rsidR="004A489F" w:rsidRPr="00D207EA" w:rsidRDefault="004A489F">
            <w:pPr>
              <w:spacing w:before="0" w:after="0"/>
              <w:jc w:val="center"/>
              <w:rPr>
                <w:rFonts w:eastAsia="Times New Roman"/>
                <w:noProof/>
                <w:color w:val="0000FF"/>
                <w:sz w:val="16"/>
                <w:szCs w:val="16"/>
              </w:rPr>
            </w:pPr>
            <w:r w:rsidRPr="00D207E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3CCD06BF" w14:textId="77777777" w:rsidR="004A489F" w:rsidRPr="00D207EA" w:rsidRDefault="004A489F">
            <w:pPr>
              <w:spacing w:before="0" w:after="0"/>
              <w:rPr>
                <w:rFonts w:eastAsia="Times New Roman"/>
                <w:noProof/>
                <w:color w:val="000000"/>
                <w:sz w:val="16"/>
                <w:szCs w:val="16"/>
              </w:rPr>
            </w:pPr>
            <w:r w:rsidRPr="00D207EA">
              <w:rPr>
                <w:noProof/>
                <w:color w:val="000000"/>
                <w:sz w:val="16"/>
              </w:rPr>
              <w:t>02.02.02.01 Migration, asile, gestion des frontières, visas et sécurité intérieure</w:t>
            </w:r>
          </w:p>
        </w:tc>
        <w:tc>
          <w:tcPr>
            <w:tcW w:w="465" w:type="pct"/>
            <w:tcBorders>
              <w:top w:val="single" w:sz="8" w:space="0" w:color="auto"/>
              <w:left w:val="single" w:sz="8" w:space="0" w:color="auto"/>
              <w:bottom w:val="nil"/>
              <w:right w:val="single" w:sz="8" w:space="0" w:color="auto"/>
            </w:tcBorders>
            <w:vAlign w:val="center"/>
            <w:hideMark/>
          </w:tcPr>
          <w:p w14:paraId="2088AA60"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CD</w:t>
            </w:r>
          </w:p>
        </w:tc>
        <w:tc>
          <w:tcPr>
            <w:tcW w:w="465" w:type="pct"/>
            <w:tcBorders>
              <w:top w:val="single" w:sz="8" w:space="0" w:color="auto"/>
              <w:left w:val="single" w:sz="8" w:space="0" w:color="auto"/>
              <w:bottom w:val="nil"/>
              <w:right w:val="single" w:sz="8" w:space="0" w:color="auto"/>
            </w:tcBorders>
            <w:vAlign w:val="center"/>
            <w:hideMark/>
          </w:tcPr>
          <w:p w14:paraId="35FCE850"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auto"/>
            </w:tcBorders>
            <w:vAlign w:val="center"/>
            <w:hideMark/>
          </w:tcPr>
          <w:p w14:paraId="42690AD2"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auto"/>
            </w:tcBorders>
            <w:vAlign w:val="center"/>
            <w:hideMark/>
          </w:tcPr>
          <w:p w14:paraId="52D0F840"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000000"/>
            </w:tcBorders>
            <w:vAlign w:val="center"/>
            <w:hideMark/>
          </w:tcPr>
          <w:p w14:paraId="35D0808C"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r>
      <w:tr w:rsidR="004A489F" w:rsidRPr="00D207EA" w14:paraId="22B2DEC9"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2B940366" w14:textId="77777777" w:rsidR="004A489F" w:rsidRPr="00D207EA" w:rsidRDefault="004A489F">
            <w:pPr>
              <w:spacing w:before="0" w:after="0"/>
              <w:jc w:val="center"/>
              <w:rPr>
                <w:rFonts w:eastAsia="Times New Roman"/>
                <w:noProof/>
                <w:color w:val="0000FF"/>
                <w:sz w:val="16"/>
                <w:szCs w:val="16"/>
              </w:rPr>
            </w:pPr>
            <w:r w:rsidRPr="00D207E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685329EF" w14:textId="77777777" w:rsidR="004A489F" w:rsidRPr="00D207EA" w:rsidRDefault="004A489F">
            <w:pPr>
              <w:spacing w:before="0" w:after="0"/>
              <w:rPr>
                <w:rFonts w:eastAsia="Times New Roman"/>
                <w:noProof/>
                <w:color w:val="000000"/>
                <w:sz w:val="16"/>
                <w:szCs w:val="16"/>
              </w:rPr>
            </w:pPr>
            <w:r w:rsidRPr="00D207EA">
              <w:rPr>
                <w:noProof/>
                <w:color w:val="000000"/>
                <w:sz w:val="16"/>
              </w:rPr>
              <w:t>02.02.02.02 Autres</w:t>
            </w:r>
          </w:p>
        </w:tc>
        <w:tc>
          <w:tcPr>
            <w:tcW w:w="465" w:type="pct"/>
            <w:tcBorders>
              <w:top w:val="single" w:sz="8" w:space="0" w:color="auto"/>
              <w:left w:val="single" w:sz="8" w:space="0" w:color="auto"/>
              <w:bottom w:val="nil"/>
              <w:right w:val="single" w:sz="8" w:space="0" w:color="auto"/>
            </w:tcBorders>
            <w:vAlign w:val="center"/>
            <w:hideMark/>
          </w:tcPr>
          <w:p w14:paraId="597C9369"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CD</w:t>
            </w:r>
          </w:p>
        </w:tc>
        <w:tc>
          <w:tcPr>
            <w:tcW w:w="465" w:type="pct"/>
            <w:tcBorders>
              <w:top w:val="single" w:sz="8" w:space="0" w:color="auto"/>
              <w:left w:val="single" w:sz="8" w:space="0" w:color="auto"/>
              <w:bottom w:val="nil"/>
              <w:right w:val="single" w:sz="8" w:space="0" w:color="auto"/>
            </w:tcBorders>
            <w:vAlign w:val="center"/>
            <w:hideMark/>
          </w:tcPr>
          <w:p w14:paraId="1B2FF7F7"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auto"/>
            </w:tcBorders>
            <w:vAlign w:val="center"/>
            <w:hideMark/>
          </w:tcPr>
          <w:p w14:paraId="1A4889E3"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auto"/>
            </w:tcBorders>
            <w:vAlign w:val="center"/>
            <w:hideMark/>
          </w:tcPr>
          <w:p w14:paraId="6BDE840E"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000000"/>
            </w:tcBorders>
            <w:vAlign w:val="center"/>
            <w:hideMark/>
          </w:tcPr>
          <w:p w14:paraId="527D0EF0"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r>
      <w:tr w:rsidR="004A489F" w:rsidRPr="00D207EA" w14:paraId="66003A10"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43199771" w14:textId="77777777" w:rsidR="004A489F" w:rsidRPr="00D207EA" w:rsidRDefault="004A489F">
            <w:pPr>
              <w:spacing w:before="0" w:after="0"/>
              <w:jc w:val="center"/>
              <w:rPr>
                <w:rFonts w:eastAsia="Times New Roman"/>
                <w:noProof/>
                <w:color w:val="0000FF"/>
                <w:sz w:val="16"/>
                <w:szCs w:val="16"/>
              </w:rPr>
            </w:pPr>
            <w:r w:rsidRPr="00D207E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47D39C66" w14:textId="77777777" w:rsidR="004A489F" w:rsidRPr="00D207EA" w:rsidRDefault="004A489F">
            <w:pPr>
              <w:spacing w:before="0" w:after="0"/>
              <w:rPr>
                <w:rFonts w:eastAsia="Times New Roman"/>
                <w:noProof/>
                <w:color w:val="000000"/>
                <w:sz w:val="16"/>
                <w:szCs w:val="16"/>
              </w:rPr>
            </w:pPr>
            <w:r w:rsidRPr="00D207EA">
              <w:rPr>
                <w:noProof/>
                <w:color w:val="000000"/>
                <w:sz w:val="16"/>
              </w:rPr>
              <w:t>02.02.03 Soutien aux personnes et renforcement des sociétés européennes et du modèle social européen</w:t>
            </w:r>
          </w:p>
        </w:tc>
        <w:tc>
          <w:tcPr>
            <w:tcW w:w="465" w:type="pct"/>
            <w:tcBorders>
              <w:top w:val="single" w:sz="8" w:space="0" w:color="auto"/>
              <w:left w:val="single" w:sz="8" w:space="0" w:color="auto"/>
              <w:bottom w:val="nil"/>
              <w:right w:val="single" w:sz="8" w:space="0" w:color="auto"/>
            </w:tcBorders>
            <w:vAlign w:val="center"/>
            <w:hideMark/>
          </w:tcPr>
          <w:p w14:paraId="1C23C06F"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CD</w:t>
            </w:r>
          </w:p>
        </w:tc>
        <w:tc>
          <w:tcPr>
            <w:tcW w:w="465" w:type="pct"/>
            <w:tcBorders>
              <w:top w:val="single" w:sz="8" w:space="0" w:color="auto"/>
              <w:left w:val="single" w:sz="8" w:space="0" w:color="auto"/>
              <w:bottom w:val="nil"/>
              <w:right w:val="single" w:sz="8" w:space="0" w:color="auto"/>
            </w:tcBorders>
            <w:vAlign w:val="center"/>
            <w:hideMark/>
          </w:tcPr>
          <w:p w14:paraId="229A31D3"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auto"/>
            </w:tcBorders>
            <w:vAlign w:val="center"/>
            <w:hideMark/>
          </w:tcPr>
          <w:p w14:paraId="10763AC8"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auto"/>
            </w:tcBorders>
            <w:vAlign w:val="center"/>
            <w:hideMark/>
          </w:tcPr>
          <w:p w14:paraId="22B9B6F1"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000000"/>
            </w:tcBorders>
            <w:vAlign w:val="center"/>
            <w:hideMark/>
          </w:tcPr>
          <w:p w14:paraId="49ABFC70"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r>
      <w:tr w:rsidR="004A489F" w:rsidRPr="00D207EA" w14:paraId="693B2C31"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31C06ECD" w14:textId="77777777" w:rsidR="004A489F" w:rsidRPr="00D207EA" w:rsidRDefault="004A489F">
            <w:pPr>
              <w:spacing w:before="0" w:after="0"/>
              <w:jc w:val="center"/>
              <w:rPr>
                <w:rFonts w:eastAsia="Times New Roman"/>
                <w:noProof/>
                <w:color w:val="0000FF"/>
                <w:sz w:val="16"/>
                <w:szCs w:val="16"/>
              </w:rPr>
            </w:pPr>
            <w:r w:rsidRPr="00D207E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3E677308" w14:textId="77777777" w:rsidR="004A489F" w:rsidRPr="00D207EA" w:rsidRDefault="004A489F">
            <w:pPr>
              <w:spacing w:before="0" w:after="0"/>
              <w:rPr>
                <w:rFonts w:eastAsia="Times New Roman"/>
                <w:noProof/>
                <w:color w:val="000000"/>
                <w:sz w:val="16"/>
                <w:szCs w:val="16"/>
              </w:rPr>
            </w:pPr>
            <w:r w:rsidRPr="00D207EA">
              <w:rPr>
                <w:noProof/>
                <w:color w:val="000000"/>
                <w:sz w:val="16"/>
              </w:rPr>
              <w:t>02.02.04 Maintien de la qualité de vie en Europe</w:t>
            </w:r>
          </w:p>
        </w:tc>
        <w:tc>
          <w:tcPr>
            <w:tcW w:w="465" w:type="pct"/>
            <w:tcBorders>
              <w:top w:val="single" w:sz="8" w:space="0" w:color="auto"/>
              <w:left w:val="single" w:sz="8" w:space="0" w:color="auto"/>
              <w:bottom w:val="nil"/>
              <w:right w:val="single" w:sz="8" w:space="0" w:color="auto"/>
            </w:tcBorders>
            <w:vAlign w:val="center"/>
            <w:hideMark/>
          </w:tcPr>
          <w:p w14:paraId="21B4DB77"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CD</w:t>
            </w:r>
          </w:p>
        </w:tc>
        <w:tc>
          <w:tcPr>
            <w:tcW w:w="465" w:type="pct"/>
            <w:tcBorders>
              <w:top w:val="single" w:sz="8" w:space="0" w:color="auto"/>
              <w:left w:val="single" w:sz="8" w:space="0" w:color="auto"/>
              <w:bottom w:val="nil"/>
              <w:right w:val="single" w:sz="8" w:space="0" w:color="auto"/>
            </w:tcBorders>
            <w:vAlign w:val="center"/>
            <w:hideMark/>
          </w:tcPr>
          <w:p w14:paraId="32542ABD"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auto"/>
            </w:tcBorders>
            <w:vAlign w:val="center"/>
            <w:hideMark/>
          </w:tcPr>
          <w:p w14:paraId="61F86B93"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auto"/>
            </w:tcBorders>
            <w:vAlign w:val="center"/>
            <w:hideMark/>
          </w:tcPr>
          <w:p w14:paraId="1243DB38"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000000"/>
            </w:tcBorders>
            <w:vAlign w:val="center"/>
            <w:hideMark/>
          </w:tcPr>
          <w:p w14:paraId="503DADA3"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r>
      <w:tr w:rsidR="004A489F" w:rsidRPr="00D207EA" w14:paraId="40ED287A"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1E1B35CF" w14:textId="77777777" w:rsidR="004A489F" w:rsidRPr="00D207EA" w:rsidRDefault="004A489F">
            <w:pPr>
              <w:spacing w:before="0" w:after="0"/>
              <w:jc w:val="center"/>
              <w:rPr>
                <w:rFonts w:eastAsia="Times New Roman"/>
                <w:noProof/>
                <w:color w:val="0000FF"/>
                <w:sz w:val="16"/>
                <w:szCs w:val="16"/>
              </w:rPr>
            </w:pPr>
            <w:r w:rsidRPr="00D207E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14EC1028" w14:textId="77777777" w:rsidR="004A489F" w:rsidRPr="00D207EA" w:rsidRDefault="004A489F">
            <w:pPr>
              <w:spacing w:before="0" w:after="0"/>
              <w:rPr>
                <w:rFonts w:eastAsia="Times New Roman"/>
                <w:noProof/>
                <w:color w:val="000000"/>
                <w:sz w:val="16"/>
                <w:szCs w:val="16"/>
              </w:rPr>
            </w:pPr>
            <w:r w:rsidRPr="00D207EA">
              <w:rPr>
                <w:noProof/>
                <w:color w:val="000000"/>
                <w:sz w:val="16"/>
              </w:rPr>
              <w:t>02.02.04.01 Interventions au titre de la PAC et de la PCP</w:t>
            </w:r>
          </w:p>
        </w:tc>
        <w:tc>
          <w:tcPr>
            <w:tcW w:w="465" w:type="pct"/>
            <w:tcBorders>
              <w:top w:val="single" w:sz="8" w:space="0" w:color="auto"/>
              <w:left w:val="single" w:sz="8" w:space="0" w:color="auto"/>
              <w:bottom w:val="nil"/>
              <w:right w:val="single" w:sz="8" w:space="0" w:color="auto"/>
            </w:tcBorders>
            <w:vAlign w:val="center"/>
            <w:hideMark/>
          </w:tcPr>
          <w:p w14:paraId="3F348CB9"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CD</w:t>
            </w:r>
          </w:p>
        </w:tc>
        <w:tc>
          <w:tcPr>
            <w:tcW w:w="465" w:type="pct"/>
            <w:tcBorders>
              <w:top w:val="single" w:sz="8" w:space="0" w:color="auto"/>
              <w:left w:val="single" w:sz="8" w:space="0" w:color="auto"/>
              <w:bottom w:val="nil"/>
              <w:right w:val="single" w:sz="8" w:space="0" w:color="auto"/>
            </w:tcBorders>
            <w:vAlign w:val="center"/>
            <w:hideMark/>
          </w:tcPr>
          <w:p w14:paraId="5E0765E7" w14:textId="77777777" w:rsidR="004A489F" w:rsidRPr="00D207EA" w:rsidRDefault="00BF3C65">
            <w:pPr>
              <w:spacing w:before="0" w:after="0"/>
              <w:jc w:val="center"/>
              <w:rPr>
                <w:rFonts w:eastAsia="Times New Roman"/>
                <w:noProof/>
                <w:color w:val="000000"/>
                <w:sz w:val="16"/>
                <w:szCs w:val="16"/>
              </w:rPr>
            </w:pPr>
            <w:r w:rsidRPr="00D207EA">
              <w:rPr>
                <w:noProof/>
                <w:color w:val="000000"/>
                <w:sz w:val="16"/>
              </w:rPr>
              <w:t>NON</w:t>
            </w:r>
          </w:p>
        </w:tc>
        <w:tc>
          <w:tcPr>
            <w:tcW w:w="465" w:type="pct"/>
            <w:tcBorders>
              <w:top w:val="single" w:sz="8" w:space="0" w:color="auto"/>
              <w:left w:val="single" w:sz="8" w:space="0" w:color="auto"/>
              <w:bottom w:val="nil"/>
              <w:right w:val="single" w:sz="8" w:space="0" w:color="auto"/>
            </w:tcBorders>
            <w:vAlign w:val="center"/>
            <w:hideMark/>
          </w:tcPr>
          <w:p w14:paraId="5CDD40CF" w14:textId="77777777" w:rsidR="004A489F" w:rsidRPr="00D207EA" w:rsidRDefault="00BF3C65">
            <w:pPr>
              <w:spacing w:before="0" w:after="0"/>
              <w:jc w:val="center"/>
              <w:rPr>
                <w:rFonts w:eastAsia="Times New Roman"/>
                <w:noProof/>
                <w:color w:val="000000"/>
                <w:sz w:val="16"/>
                <w:szCs w:val="16"/>
              </w:rPr>
            </w:pPr>
            <w:r w:rsidRPr="00D207EA">
              <w:rPr>
                <w:noProof/>
                <w:color w:val="000000"/>
                <w:sz w:val="16"/>
              </w:rPr>
              <w:t>NON</w:t>
            </w:r>
          </w:p>
        </w:tc>
        <w:tc>
          <w:tcPr>
            <w:tcW w:w="465" w:type="pct"/>
            <w:tcBorders>
              <w:top w:val="single" w:sz="8" w:space="0" w:color="auto"/>
              <w:left w:val="single" w:sz="8" w:space="0" w:color="auto"/>
              <w:bottom w:val="nil"/>
              <w:right w:val="single" w:sz="8" w:space="0" w:color="auto"/>
            </w:tcBorders>
            <w:vAlign w:val="center"/>
            <w:hideMark/>
          </w:tcPr>
          <w:p w14:paraId="2F0C22A3" w14:textId="77777777" w:rsidR="004A489F" w:rsidRPr="00D207EA" w:rsidRDefault="00BF3C65">
            <w:pPr>
              <w:spacing w:before="0" w:after="0"/>
              <w:jc w:val="center"/>
              <w:rPr>
                <w:rFonts w:eastAsia="Times New Roman"/>
                <w:noProof/>
                <w:color w:val="000000"/>
                <w:sz w:val="16"/>
                <w:szCs w:val="16"/>
              </w:rPr>
            </w:pPr>
            <w:r w:rsidRPr="00D207EA">
              <w:rPr>
                <w:noProof/>
                <w:color w:val="000000"/>
                <w:sz w:val="16"/>
              </w:rPr>
              <w:t>NON</w:t>
            </w:r>
          </w:p>
        </w:tc>
        <w:tc>
          <w:tcPr>
            <w:tcW w:w="465" w:type="pct"/>
            <w:tcBorders>
              <w:top w:val="single" w:sz="8" w:space="0" w:color="auto"/>
              <w:left w:val="single" w:sz="8" w:space="0" w:color="auto"/>
              <w:bottom w:val="nil"/>
              <w:right w:val="single" w:sz="8" w:space="0" w:color="000000"/>
            </w:tcBorders>
            <w:vAlign w:val="center"/>
            <w:hideMark/>
          </w:tcPr>
          <w:p w14:paraId="7F998E18"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r>
      <w:tr w:rsidR="004A489F" w:rsidRPr="00D207EA" w14:paraId="6CA008BA"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6536B09A" w14:textId="77777777" w:rsidR="004A489F" w:rsidRPr="00D207EA" w:rsidRDefault="004A489F">
            <w:pPr>
              <w:spacing w:before="0" w:after="0"/>
              <w:jc w:val="center"/>
              <w:rPr>
                <w:rFonts w:eastAsia="Times New Roman"/>
                <w:noProof/>
                <w:color w:val="0000FF"/>
                <w:sz w:val="16"/>
                <w:szCs w:val="16"/>
              </w:rPr>
            </w:pPr>
            <w:r w:rsidRPr="00D207E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7E21ED71" w14:textId="77777777" w:rsidR="004A489F" w:rsidRPr="00D207EA" w:rsidRDefault="004A489F">
            <w:pPr>
              <w:spacing w:before="0" w:after="0"/>
              <w:rPr>
                <w:rFonts w:eastAsia="Times New Roman"/>
                <w:noProof/>
                <w:color w:val="000000"/>
                <w:sz w:val="16"/>
                <w:szCs w:val="16"/>
              </w:rPr>
            </w:pPr>
            <w:r w:rsidRPr="00D207EA">
              <w:rPr>
                <w:noProof/>
                <w:color w:val="000000"/>
                <w:sz w:val="16"/>
              </w:rPr>
              <w:t>02.02.04.02 Autres</w:t>
            </w:r>
          </w:p>
        </w:tc>
        <w:tc>
          <w:tcPr>
            <w:tcW w:w="465" w:type="pct"/>
            <w:tcBorders>
              <w:top w:val="single" w:sz="8" w:space="0" w:color="auto"/>
              <w:left w:val="single" w:sz="8" w:space="0" w:color="auto"/>
              <w:bottom w:val="nil"/>
              <w:right w:val="single" w:sz="8" w:space="0" w:color="auto"/>
            </w:tcBorders>
            <w:vAlign w:val="center"/>
            <w:hideMark/>
          </w:tcPr>
          <w:p w14:paraId="769EFEA9"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CD</w:t>
            </w:r>
          </w:p>
        </w:tc>
        <w:tc>
          <w:tcPr>
            <w:tcW w:w="465" w:type="pct"/>
            <w:tcBorders>
              <w:top w:val="single" w:sz="8" w:space="0" w:color="auto"/>
              <w:left w:val="single" w:sz="8" w:space="0" w:color="auto"/>
              <w:bottom w:val="nil"/>
              <w:right w:val="single" w:sz="8" w:space="0" w:color="auto"/>
            </w:tcBorders>
            <w:vAlign w:val="center"/>
            <w:hideMark/>
          </w:tcPr>
          <w:p w14:paraId="4C9C87EA"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auto"/>
            </w:tcBorders>
            <w:vAlign w:val="center"/>
            <w:hideMark/>
          </w:tcPr>
          <w:p w14:paraId="2C16F2DA"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auto"/>
            </w:tcBorders>
            <w:vAlign w:val="center"/>
            <w:hideMark/>
          </w:tcPr>
          <w:p w14:paraId="076F5CAE"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000000"/>
            </w:tcBorders>
            <w:vAlign w:val="center"/>
            <w:hideMark/>
          </w:tcPr>
          <w:p w14:paraId="56433DA0"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r>
      <w:tr w:rsidR="004A489F" w:rsidRPr="00D207EA" w14:paraId="6CD75491"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527BAD19" w14:textId="77777777" w:rsidR="004A489F" w:rsidRPr="00D207EA" w:rsidRDefault="004A489F">
            <w:pPr>
              <w:spacing w:before="0" w:after="0"/>
              <w:jc w:val="center"/>
              <w:rPr>
                <w:rFonts w:eastAsia="Times New Roman"/>
                <w:noProof/>
                <w:color w:val="0000FF"/>
                <w:sz w:val="16"/>
                <w:szCs w:val="16"/>
              </w:rPr>
            </w:pPr>
            <w:r w:rsidRPr="00D207E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6DAC76B7" w14:textId="77777777" w:rsidR="004A489F" w:rsidRPr="00D207EA" w:rsidRDefault="004A489F">
            <w:pPr>
              <w:spacing w:before="0" w:after="0"/>
              <w:rPr>
                <w:rFonts w:eastAsia="Times New Roman"/>
                <w:noProof/>
                <w:color w:val="000000"/>
                <w:sz w:val="16"/>
                <w:szCs w:val="16"/>
              </w:rPr>
            </w:pPr>
            <w:r w:rsidRPr="00D207EA">
              <w:rPr>
                <w:noProof/>
                <w:color w:val="000000"/>
                <w:sz w:val="16"/>
              </w:rPr>
              <w:t>02.02.05 Protection de la démocratie, de l’état de droit et des valeurs de l’Union</w:t>
            </w:r>
          </w:p>
        </w:tc>
        <w:tc>
          <w:tcPr>
            <w:tcW w:w="465" w:type="pct"/>
            <w:tcBorders>
              <w:top w:val="single" w:sz="8" w:space="0" w:color="auto"/>
              <w:left w:val="single" w:sz="8" w:space="0" w:color="auto"/>
              <w:bottom w:val="nil"/>
              <w:right w:val="single" w:sz="8" w:space="0" w:color="auto"/>
            </w:tcBorders>
            <w:vAlign w:val="center"/>
            <w:hideMark/>
          </w:tcPr>
          <w:p w14:paraId="0C533422"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CD</w:t>
            </w:r>
          </w:p>
        </w:tc>
        <w:tc>
          <w:tcPr>
            <w:tcW w:w="465" w:type="pct"/>
            <w:tcBorders>
              <w:top w:val="single" w:sz="8" w:space="0" w:color="auto"/>
              <w:left w:val="single" w:sz="8" w:space="0" w:color="auto"/>
              <w:bottom w:val="nil"/>
              <w:right w:val="single" w:sz="8" w:space="0" w:color="auto"/>
            </w:tcBorders>
            <w:vAlign w:val="center"/>
            <w:hideMark/>
          </w:tcPr>
          <w:p w14:paraId="6F03B452"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auto"/>
            </w:tcBorders>
            <w:vAlign w:val="center"/>
            <w:hideMark/>
          </w:tcPr>
          <w:p w14:paraId="7C29A1ED"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auto"/>
            </w:tcBorders>
            <w:vAlign w:val="center"/>
            <w:hideMark/>
          </w:tcPr>
          <w:p w14:paraId="6435EFEA"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000000"/>
            </w:tcBorders>
            <w:vAlign w:val="center"/>
            <w:hideMark/>
          </w:tcPr>
          <w:p w14:paraId="0441D6BA"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r>
      <w:tr w:rsidR="004A489F" w:rsidRPr="00D207EA" w14:paraId="2325CDA0"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1BD424F5" w14:textId="77777777" w:rsidR="004A489F" w:rsidRPr="00D207EA" w:rsidRDefault="004A489F">
            <w:pPr>
              <w:spacing w:before="0" w:after="0"/>
              <w:jc w:val="center"/>
              <w:rPr>
                <w:rFonts w:eastAsia="Times New Roman"/>
                <w:noProof/>
                <w:color w:val="0000FF"/>
                <w:sz w:val="16"/>
                <w:szCs w:val="16"/>
              </w:rPr>
            </w:pPr>
            <w:r w:rsidRPr="00D207E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349A7C3C" w14:textId="77777777" w:rsidR="004A489F" w:rsidRPr="00D207EA" w:rsidRDefault="004A489F">
            <w:pPr>
              <w:spacing w:before="0" w:after="0"/>
              <w:rPr>
                <w:rFonts w:eastAsia="Times New Roman"/>
                <w:noProof/>
                <w:color w:val="000000"/>
                <w:sz w:val="16"/>
                <w:szCs w:val="16"/>
              </w:rPr>
            </w:pPr>
            <w:r w:rsidRPr="00D207EA">
              <w:rPr>
                <w:noProof/>
                <w:color w:val="000000"/>
                <w:sz w:val="16"/>
              </w:rPr>
              <w:t>02.02.06 Flexibilité</w:t>
            </w:r>
          </w:p>
        </w:tc>
        <w:tc>
          <w:tcPr>
            <w:tcW w:w="465" w:type="pct"/>
            <w:tcBorders>
              <w:top w:val="single" w:sz="8" w:space="0" w:color="auto"/>
              <w:left w:val="single" w:sz="8" w:space="0" w:color="auto"/>
              <w:bottom w:val="nil"/>
              <w:right w:val="single" w:sz="8" w:space="0" w:color="auto"/>
            </w:tcBorders>
            <w:vAlign w:val="center"/>
            <w:hideMark/>
          </w:tcPr>
          <w:p w14:paraId="259CCA3D"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CD</w:t>
            </w:r>
          </w:p>
        </w:tc>
        <w:tc>
          <w:tcPr>
            <w:tcW w:w="465" w:type="pct"/>
            <w:tcBorders>
              <w:top w:val="single" w:sz="8" w:space="0" w:color="auto"/>
              <w:left w:val="single" w:sz="8" w:space="0" w:color="auto"/>
              <w:bottom w:val="nil"/>
              <w:right w:val="single" w:sz="8" w:space="0" w:color="auto"/>
            </w:tcBorders>
            <w:vAlign w:val="center"/>
            <w:hideMark/>
          </w:tcPr>
          <w:p w14:paraId="0B0741BB"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auto"/>
            </w:tcBorders>
            <w:vAlign w:val="center"/>
            <w:hideMark/>
          </w:tcPr>
          <w:p w14:paraId="307165EC"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auto"/>
            </w:tcBorders>
            <w:vAlign w:val="center"/>
            <w:hideMark/>
          </w:tcPr>
          <w:p w14:paraId="095FD10D"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000000"/>
            </w:tcBorders>
            <w:vAlign w:val="center"/>
            <w:hideMark/>
          </w:tcPr>
          <w:p w14:paraId="3BE389AF"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r>
      <w:tr w:rsidR="004A489F" w:rsidRPr="00D207EA" w14:paraId="1E704F1C"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7C4E3ECD" w14:textId="77777777" w:rsidR="004A489F" w:rsidRPr="00D207EA" w:rsidRDefault="004A489F">
            <w:pPr>
              <w:spacing w:before="0" w:after="0"/>
              <w:jc w:val="center"/>
              <w:rPr>
                <w:rFonts w:eastAsia="Times New Roman"/>
                <w:noProof/>
                <w:color w:val="0000FF"/>
                <w:sz w:val="16"/>
                <w:szCs w:val="16"/>
              </w:rPr>
            </w:pPr>
            <w:r w:rsidRPr="00D207E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60CC29D8" w14:textId="77777777" w:rsidR="004A489F" w:rsidRPr="00D207EA" w:rsidRDefault="004A489F">
            <w:pPr>
              <w:spacing w:before="0" w:after="0"/>
              <w:rPr>
                <w:rFonts w:eastAsia="Times New Roman"/>
                <w:noProof/>
                <w:color w:val="000000"/>
                <w:sz w:val="16"/>
                <w:szCs w:val="16"/>
              </w:rPr>
            </w:pPr>
            <w:r w:rsidRPr="00D207EA">
              <w:rPr>
                <w:noProof/>
                <w:color w:val="000000"/>
                <w:sz w:val="16"/>
              </w:rPr>
              <w:t>02.02.07 Plan Interreg</w:t>
            </w:r>
          </w:p>
        </w:tc>
        <w:tc>
          <w:tcPr>
            <w:tcW w:w="465" w:type="pct"/>
            <w:tcBorders>
              <w:top w:val="single" w:sz="8" w:space="0" w:color="auto"/>
              <w:left w:val="single" w:sz="8" w:space="0" w:color="auto"/>
              <w:bottom w:val="nil"/>
              <w:right w:val="single" w:sz="8" w:space="0" w:color="auto"/>
            </w:tcBorders>
            <w:vAlign w:val="center"/>
            <w:hideMark/>
          </w:tcPr>
          <w:p w14:paraId="136E288D"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CD</w:t>
            </w:r>
          </w:p>
        </w:tc>
        <w:tc>
          <w:tcPr>
            <w:tcW w:w="465" w:type="pct"/>
            <w:tcBorders>
              <w:top w:val="single" w:sz="8" w:space="0" w:color="auto"/>
              <w:left w:val="single" w:sz="8" w:space="0" w:color="auto"/>
              <w:bottom w:val="nil"/>
              <w:right w:val="single" w:sz="8" w:space="0" w:color="auto"/>
            </w:tcBorders>
            <w:vAlign w:val="center"/>
            <w:hideMark/>
          </w:tcPr>
          <w:p w14:paraId="04165DFA"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auto"/>
            </w:tcBorders>
            <w:vAlign w:val="center"/>
            <w:hideMark/>
          </w:tcPr>
          <w:p w14:paraId="691FEE80"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auto"/>
            </w:tcBorders>
            <w:vAlign w:val="center"/>
            <w:hideMark/>
          </w:tcPr>
          <w:p w14:paraId="090D8490"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000000"/>
            </w:tcBorders>
            <w:vAlign w:val="center"/>
            <w:hideMark/>
          </w:tcPr>
          <w:p w14:paraId="66A3368B"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r>
      <w:tr w:rsidR="004A489F" w:rsidRPr="00D207EA" w14:paraId="4C668D08"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5597AC21" w14:textId="77777777" w:rsidR="004A489F" w:rsidRPr="00D207EA" w:rsidRDefault="004A489F">
            <w:pPr>
              <w:spacing w:before="0" w:after="0"/>
              <w:jc w:val="center"/>
              <w:rPr>
                <w:rFonts w:eastAsia="Times New Roman"/>
                <w:noProof/>
                <w:color w:val="0000FF"/>
                <w:sz w:val="16"/>
                <w:szCs w:val="16"/>
              </w:rPr>
            </w:pPr>
            <w:r w:rsidRPr="00D207E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36B3485A" w14:textId="77777777" w:rsidR="004A489F" w:rsidRPr="00D207EA" w:rsidRDefault="004A489F">
            <w:pPr>
              <w:spacing w:before="0" w:after="0"/>
              <w:rPr>
                <w:rFonts w:eastAsia="Times New Roman"/>
                <w:noProof/>
                <w:color w:val="000000"/>
                <w:sz w:val="16"/>
                <w:szCs w:val="16"/>
              </w:rPr>
            </w:pPr>
            <w:r w:rsidRPr="00D207EA">
              <w:rPr>
                <w:noProof/>
                <w:color w:val="000000"/>
                <w:sz w:val="16"/>
              </w:rPr>
              <w:t>02.02.08 Assistance technique à l’initiative de la Commission – Dépenses opérationnelles</w:t>
            </w:r>
          </w:p>
        </w:tc>
        <w:tc>
          <w:tcPr>
            <w:tcW w:w="465" w:type="pct"/>
            <w:tcBorders>
              <w:top w:val="single" w:sz="8" w:space="0" w:color="auto"/>
              <w:left w:val="single" w:sz="8" w:space="0" w:color="auto"/>
              <w:bottom w:val="nil"/>
              <w:right w:val="single" w:sz="8" w:space="0" w:color="auto"/>
            </w:tcBorders>
            <w:vAlign w:val="center"/>
            <w:hideMark/>
          </w:tcPr>
          <w:p w14:paraId="16EB80C9"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CD</w:t>
            </w:r>
          </w:p>
        </w:tc>
        <w:tc>
          <w:tcPr>
            <w:tcW w:w="465" w:type="pct"/>
            <w:tcBorders>
              <w:top w:val="single" w:sz="8" w:space="0" w:color="auto"/>
              <w:left w:val="single" w:sz="8" w:space="0" w:color="auto"/>
              <w:bottom w:val="nil"/>
              <w:right w:val="single" w:sz="8" w:space="0" w:color="auto"/>
            </w:tcBorders>
            <w:vAlign w:val="center"/>
            <w:hideMark/>
          </w:tcPr>
          <w:p w14:paraId="63B85B8F"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auto"/>
            </w:tcBorders>
            <w:vAlign w:val="center"/>
            <w:hideMark/>
          </w:tcPr>
          <w:p w14:paraId="329D7429"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auto"/>
            </w:tcBorders>
            <w:vAlign w:val="center"/>
            <w:hideMark/>
          </w:tcPr>
          <w:p w14:paraId="5D7E225C"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nil"/>
              <w:right w:val="single" w:sz="8" w:space="0" w:color="000000"/>
            </w:tcBorders>
            <w:vAlign w:val="center"/>
            <w:hideMark/>
          </w:tcPr>
          <w:p w14:paraId="4AF8F89D"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r>
      <w:tr w:rsidR="004A489F" w:rsidRPr="00D207EA" w14:paraId="2FFD00A8" w14:textId="77777777" w:rsidTr="006125B0">
        <w:trPr>
          <w:trHeight w:val="300"/>
        </w:trPr>
        <w:tc>
          <w:tcPr>
            <w:tcW w:w="471" w:type="pct"/>
            <w:tcBorders>
              <w:top w:val="single" w:sz="8" w:space="0" w:color="auto"/>
              <w:left w:val="single" w:sz="8" w:space="0" w:color="000000"/>
              <w:bottom w:val="single" w:sz="4" w:space="0" w:color="auto"/>
              <w:right w:val="single" w:sz="8" w:space="0" w:color="auto"/>
            </w:tcBorders>
            <w:shd w:val="clear" w:color="000000" w:fill="D9D9D9"/>
            <w:vAlign w:val="center"/>
            <w:hideMark/>
          </w:tcPr>
          <w:p w14:paraId="153D3843" w14:textId="77777777" w:rsidR="004A489F" w:rsidRPr="00D207EA" w:rsidRDefault="004A489F">
            <w:pPr>
              <w:spacing w:before="0" w:after="0"/>
              <w:jc w:val="center"/>
              <w:rPr>
                <w:rFonts w:eastAsia="Times New Roman"/>
                <w:noProof/>
                <w:color w:val="0000FF"/>
                <w:sz w:val="16"/>
                <w:szCs w:val="16"/>
              </w:rPr>
            </w:pPr>
            <w:r w:rsidRPr="00D207EA">
              <w:rPr>
                <w:noProof/>
                <w:color w:val="0000FF"/>
                <w:sz w:val="16"/>
              </w:rPr>
              <w:t>1</w:t>
            </w:r>
          </w:p>
        </w:tc>
        <w:tc>
          <w:tcPr>
            <w:tcW w:w="2204" w:type="pct"/>
            <w:tcBorders>
              <w:top w:val="single" w:sz="8" w:space="0" w:color="auto"/>
              <w:left w:val="single" w:sz="8" w:space="0" w:color="auto"/>
              <w:bottom w:val="single" w:sz="4" w:space="0" w:color="auto"/>
              <w:right w:val="single" w:sz="8" w:space="0" w:color="auto"/>
            </w:tcBorders>
            <w:shd w:val="clear" w:color="000000" w:fill="D9D9D9"/>
            <w:vAlign w:val="center"/>
            <w:hideMark/>
          </w:tcPr>
          <w:p w14:paraId="68A41956" w14:textId="77777777" w:rsidR="004A489F" w:rsidRPr="00D207EA" w:rsidRDefault="004A489F">
            <w:pPr>
              <w:spacing w:before="0" w:after="0"/>
              <w:rPr>
                <w:rFonts w:eastAsia="Times New Roman"/>
                <w:noProof/>
                <w:color w:val="000000"/>
                <w:sz w:val="16"/>
                <w:szCs w:val="16"/>
              </w:rPr>
            </w:pPr>
            <w:r w:rsidRPr="00D207EA">
              <w:rPr>
                <w:noProof/>
                <w:color w:val="000000"/>
                <w:sz w:val="16"/>
              </w:rPr>
              <w:t>02.03 Facilité de l’UE</w:t>
            </w:r>
          </w:p>
        </w:tc>
        <w:tc>
          <w:tcPr>
            <w:tcW w:w="465" w:type="pct"/>
            <w:tcBorders>
              <w:top w:val="single" w:sz="8" w:space="0" w:color="auto"/>
              <w:left w:val="single" w:sz="8" w:space="0" w:color="auto"/>
              <w:bottom w:val="single" w:sz="4" w:space="0" w:color="auto"/>
              <w:right w:val="single" w:sz="8" w:space="0" w:color="auto"/>
            </w:tcBorders>
            <w:shd w:val="clear" w:color="000000" w:fill="D9D9D9"/>
            <w:vAlign w:val="center"/>
            <w:hideMark/>
          </w:tcPr>
          <w:p w14:paraId="7A6CDE84"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CD</w:t>
            </w:r>
          </w:p>
        </w:tc>
        <w:tc>
          <w:tcPr>
            <w:tcW w:w="465" w:type="pct"/>
            <w:tcBorders>
              <w:top w:val="single" w:sz="8" w:space="0" w:color="auto"/>
              <w:left w:val="single" w:sz="8" w:space="0" w:color="auto"/>
              <w:bottom w:val="single" w:sz="4" w:space="0" w:color="auto"/>
              <w:right w:val="single" w:sz="8" w:space="0" w:color="auto"/>
            </w:tcBorders>
            <w:shd w:val="clear" w:color="000000" w:fill="D9D9D9"/>
            <w:vAlign w:val="center"/>
            <w:hideMark/>
          </w:tcPr>
          <w:p w14:paraId="3DA16BD5"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single" w:sz="4" w:space="0" w:color="auto"/>
              <w:right w:val="single" w:sz="8" w:space="0" w:color="auto"/>
            </w:tcBorders>
            <w:shd w:val="clear" w:color="000000" w:fill="D9D9D9"/>
            <w:vAlign w:val="center"/>
            <w:hideMark/>
          </w:tcPr>
          <w:p w14:paraId="74B2AA36"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single" w:sz="4" w:space="0" w:color="auto"/>
              <w:right w:val="single" w:sz="8" w:space="0" w:color="auto"/>
            </w:tcBorders>
            <w:shd w:val="clear" w:color="000000" w:fill="D9D9D9"/>
            <w:vAlign w:val="center"/>
            <w:hideMark/>
          </w:tcPr>
          <w:p w14:paraId="0538BFAC"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8" w:space="0" w:color="auto"/>
              <w:left w:val="single" w:sz="8" w:space="0" w:color="auto"/>
              <w:bottom w:val="single" w:sz="4" w:space="0" w:color="auto"/>
              <w:right w:val="single" w:sz="8" w:space="0" w:color="000000"/>
            </w:tcBorders>
            <w:shd w:val="clear" w:color="000000" w:fill="D9D9D9"/>
            <w:vAlign w:val="center"/>
            <w:hideMark/>
          </w:tcPr>
          <w:p w14:paraId="6D1DEC3E"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r>
      <w:tr w:rsidR="004A489F" w:rsidRPr="00D207EA" w14:paraId="573D939F" w14:textId="77777777" w:rsidTr="006125B0">
        <w:trPr>
          <w:trHeight w:val="300"/>
        </w:trPr>
        <w:tc>
          <w:tcPr>
            <w:tcW w:w="47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80F09DF" w14:textId="77777777" w:rsidR="004A489F" w:rsidRPr="00D207EA" w:rsidRDefault="004A489F">
            <w:pPr>
              <w:spacing w:before="0" w:after="0"/>
              <w:jc w:val="center"/>
              <w:rPr>
                <w:rFonts w:eastAsia="Times New Roman"/>
                <w:noProof/>
                <w:color w:val="0000FF"/>
                <w:sz w:val="16"/>
                <w:szCs w:val="16"/>
              </w:rPr>
            </w:pPr>
            <w:r w:rsidRPr="00D207EA">
              <w:rPr>
                <w:noProof/>
                <w:color w:val="0000FF"/>
                <w:sz w:val="16"/>
              </w:rPr>
              <w:t>1</w:t>
            </w:r>
          </w:p>
        </w:tc>
        <w:tc>
          <w:tcPr>
            <w:tcW w:w="2204"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3FA6583" w14:textId="77777777" w:rsidR="004A489F" w:rsidRPr="00D207EA" w:rsidRDefault="004A489F">
            <w:pPr>
              <w:spacing w:before="0" w:after="0"/>
              <w:rPr>
                <w:rFonts w:eastAsia="Times New Roman"/>
                <w:noProof/>
                <w:color w:val="000000"/>
                <w:sz w:val="16"/>
                <w:szCs w:val="16"/>
              </w:rPr>
            </w:pPr>
            <w:r w:rsidRPr="00D207EA">
              <w:rPr>
                <w:noProof/>
                <w:color w:val="000000"/>
                <w:sz w:val="16"/>
              </w:rPr>
              <w:t>02.03.01 Actions de l’Union</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8152098"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CD</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D901E11"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CDE4A85"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6DD89B6"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BF8EA34"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r>
      <w:tr w:rsidR="004A489F" w:rsidRPr="00D207EA" w14:paraId="38C50766" w14:textId="77777777" w:rsidTr="006125B0">
        <w:trPr>
          <w:trHeight w:val="300"/>
        </w:trPr>
        <w:tc>
          <w:tcPr>
            <w:tcW w:w="471" w:type="pct"/>
            <w:tcBorders>
              <w:top w:val="single" w:sz="4" w:space="0" w:color="auto"/>
              <w:left w:val="single" w:sz="4" w:space="0" w:color="auto"/>
              <w:bottom w:val="single" w:sz="4" w:space="0" w:color="auto"/>
              <w:right w:val="single" w:sz="4" w:space="0" w:color="auto"/>
            </w:tcBorders>
            <w:vAlign w:val="center"/>
            <w:hideMark/>
          </w:tcPr>
          <w:p w14:paraId="70552695" w14:textId="77777777" w:rsidR="004A489F" w:rsidRPr="00D207EA" w:rsidRDefault="004A489F">
            <w:pPr>
              <w:spacing w:before="0" w:after="0"/>
              <w:jc w:val="center"/>
              <w:rPr>
                <w:rFonts w:eastAsia="Times New Roman"/>
                <w:noProof/>
                <w:color w:val="0000FF"/>
                <w:sz w:val="16"/>
                <w:szCs w:val="16"/>
              </w:rPr>
            </w:pPr>
            <w:r w:rsidRPr="00D207EA">
              <w:rPr>
                <w:noProof/>
                <w:color w:val="0000FF"/>
                <w:sz w:val="16"/>
              </w:rPr>
              <w:t>1</w:t>
            </w:r>
          </w:p>
        </w:tc>
        <w:tc>
          <w:tcPr>
            <w:tcW w:w="2204" w:type="pct"/>
            <w:tcBorders>
              <w:top w:val="single" w:sz="4" w:space="0" w:color="auto"/>
              <w:left w:val="single" w:sz="4" w:space="0" w:color="auto"/>
              <w:bottom w:val="single" w:sz="4" w:space="0" w:color="auto"/>
              <w:right w:val="single" w:sz="4" w:space="0" w:color="auto"/>
            </w:tcBorders>
            <w:vAlign w:val="center"/>
            <w:hideMark/>
          </w:tcPr>
          <w:p w14:paraId="0DB60A95" w14:textId="77777777" w:rsidR="004A489F" w:rsidRPr="00D207EA" w:rsidRDefault="004A489F">
            <w:pPr>
              <w:spacing w:before="0" w:after="0"/>
              <w:rPr>
                <w:rFonts w:eastAsia="Times New Roman"/>
                <w:noProof/>
                <w:color w:val="000000"/>
                <w:sz w:val="16"/>
                <w:szCs w:val="16"/>
              </w:rPr>
            </w:pPr>
            <w:r w:rsidRPr="00D207EA">
              <w:rPr>
                <w:noProof/>
                <w:color w:val="000000"/>
                <w:sz w:val="16"/>
              </w:rPr>
              <w:t>02.03.01.01 Situations de crise – Solidarité de l’Union européenne</w:t>
            </w:r>
          </w:p>
        </w:tc>
        <w:tc>
          <w:tcPr>
            <w:tcW w:w="465" w:type="pct"/>
            <w:tcBorders>
              <w:top w:val="single" w:sz="4" w:space="0" w:color="auto"/>
              <w:left w:val="single" w:sz="4" w:space="0" w:color="auto"/>
              <w:bottom w:val="single" w:sz="4" w:space="0" w:color="auto"/>
              <w:right w:val="single" w:sz="4" w:space="0" w:color="auto"/>
            </w:tcBorders>
            <w:vAlign w:val="center"/>
            <w:hideMark/>
          </w:tcPr>
          <w:p w14:paraId="1BC0B1B3"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CD</w:t>
            </w:r>
          </w:p>
        </w:tc>
        <w:tc>
          <w:tcPr>
            <w:tcW w:w="465" w:type="pct"/>
            <w:tcBorders>
              <w:top w:val="single" w:sz="4" w:space="0" w:color="auto"/>
              <w:left w:val="single" w:sz="4" w:space="0" w:color="auto"/>
              <w:bottom w:val="single" w:sz="4" w:space="0" w:color="auto"/>
              <w:right w:val="single" w:sz="4" w:space="0" w:color="auto"/>
            </w:tcBorders>
            <w:vAlign w:val="center"/>
            <w:hideMark/>
          </w:tcPr>
          <w:p w14:paraId="4A6DE303" w14:textId="77777777" w:rsidR="004A489F" w:rsidRPr="00D207EA" w:rsidRDefault="004A489F">
            <w:pPr>
              <w:spacing w:before="0" w:after="0"/>
              <w:jc w:val="center"/>
              <w:rPr>
                <w:rFonts w:eastAsia="Times New Roman"/>
                <w:noProof/>
                <w:color w:val="FF0000"/>
                <w:sz w:val="16"/>
                <w:szCs w:val="16"/>
              </w:rPr>
            </w:pPr>
            <w:r w:rsidRPr="00D207EA">
              <w:rPr>
                <w:noProof/>
                <w:color w:val="FF0000"/>
                <w:sz w:val="16"/>
              </w:rPr>
              <w:t>OUI</w:t>
            </w:r>
          </w:p>
        </w:tc>
        <w:tc>
          <w:tcPr>
            <w:tcW w:w="465" w:type="pct"/>
            <w:tcBorders>
              <w:top w:val="single" w:sz="4" w:space="0" w:color="auto"/>
              <w:left w:val="single" w:sz="4" w:space="0" w:color="auto"/>
              <w:bottom w:val="single" w:sz="4" w:space="0" w:color="auto"/>
              <w:right w:val="single" w:sz="4" w:space="0" w:color="auto"/>
            </w:tcBorders>
            <w:vAlign w:val="center"/>
            <w:hideMark/>
          </w:tcPr>
          <w:p w14:paraId="74AAD2C3" w14:textId="77777777" w:rsidR="004A489F" w:rsidRPr="00D207EA" w:rsidRDefault="004A489F">
            <w:pPr>
              <w:spacing w:before="0" w:after="0"/>
              <w:jc w:val="center"/>
              <w:rPr>
                <w:rFonts w:eastAsia="Times New Roman"/>
                <w:noProof/>
                <w:color w:val="FF0000"/>
                <w:sz w:val="16"/>
                <w:szCs w:val="16"/>
              </w:rPr>
            </w:pPr>
            <w:r w:rsidRPr="00D207EA">
              <w:rPr>
                <w:noProof/>
                <w:color w:val="FF0000"/>
                <w:sz w:val="16"/>
              </w:rPr>
              <w:t>OUI</w:t>
            </w:r>
          </w:p>
        </w:tc>
        <w:tc>
          <w:tcPr>
            <w:tcW w:w="465" w:type="pct"/>
            <w:tcBorders>
              <w:top w:val="single" w:sz="4" w:space="0" w:color="auto"/>
              <w:left w:val="single" w:sz="4" w:space="0" w:color="auto"/>
              <w:bottom w:val="single" w:sz="4" w:space="0" w:color="auto"/>
              <w:right w:val="single" w:sz="4" w:space="0" w:color="auto"/>
            </w:tcBorders>
            <w:vAlign w:val="center"/>
            <w:hideMark/>
          </w:tcPr>
          <w:p w14:paraId="58647986" w14:textId="77777777" w:rsidR="004A489F" w:rsidRPr="00D207EA" w:rsidRDefault="004A489F">
            <w:pPr>
              <w:spacing w:before="0" w:after="0"/>
              <w:jc w:val="center"/>
              <w:rPr>
                <w:rFonts w:eastAsia="Times New Roman"/>
                <w:noProof/>
                <w:color w:val="FF0000"/>
                <w:sz w:val="16"/>
                <w:szCs w:val="16"/>
              </w:rPr>
            </w:pPr>
            <w:r w:rsidRPr="00D207EA">
              <w:rPr>
                <w:noProof/>
                <w:color w:val="FF0000"/>
                <w:sz w:val="16"/>
              </w:rPr>
              <w:t>OUI</w:t>
            </w:r>
          </w:p>
        </w:tc>
        <w:tc>
          <w:tcPr>
            <w:tcW w:w="465" w:type="pct"/>
            <w:tcBorders>
              <w:top w:val="single" w:sz="4" w:space="0" w:color="auto"/>
              <w:left w:val="single" w:sz="4" w:space="0" w:color="auto"/>
              <w:bottom w:val="single" w:sz="4" w:space="0" w:color="auto"/>
              <w:right w:val="single" w:sz="4" w:space="0" w:color="auto"/>
            </w:tcBorders>
            <w:vAlign w:val="center"/>
            <w:hideMark/>
          </w:tcPr>
          <w:p w14:paraId="2196FF18"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r>
      <w:tr w:rsidR="004A489F" w:rsidRPr="00D207EA" w14:paraId="45E7F3F9" w14:textId="77777777" w:rsidTr="006125B0">
        <w:trPr>
          <w:trHeight w:val="300"/>
        </w:trPr>
        <w:tc>
          <w:tcPr>
            <w:tcW w:w="471" w:type="pct"/>
            <w:tcBorders>
              <w:top w:val="single" w:sz="4" w:space="0" w:color="auto"/>
              <w:left w:val="single" w:sz="4" w:space="0" w:color="auto"/>
              <w:bottom w:val="single" w:sz="4" w:space="0" w:color="auto"/>
              <w:right w:val="single" w:sz="4" w:space="0" w:color="auto"/>
            </w:tcBorders>
            <w:vAlign w:val="center"/>
            <w:hideMark/>
          </w:tcPr>
          <w:p w14:paraId="79B9990F" w14:textId="77777777" w:rsidR="004A489F" w:rsidRPr="00D207EA" w:rsidRDefault="004A489F">
            <w:pPr>
              <w:spacing w:before="0" w:after="0"/>
              <w:jc w:val="center"/>
              <w:rPr>
                <w:rFonts w:eastAsia="Times New Roman"/>
                <w:noProof/>
                <w:color w:val="0000FF"/>
                <w:sz w:val="16"/>
                <w:szCs w:val="16"/>
              </w:rPr>
            </w:pPr>
            <w:r w:rsidRPr="00D207EA">
              <w:rPr>
                <w:noProof/>
                <w:color w:val="0000FF"/>
                <w:sz w:val="16"/>
              </w:rPr>
              <w:t>1</w:t>
            </w:r>
          </w:p>
        </w:tc>
        <w:tc>
          <w:tcPr>
            <w:tcW w:w="2204" w:type="pct"/>
            <w:tcBorders>
              <w:top w:val="single" w:sz="4" w:space="0" w:color="auto"/>
              <w:left w:val="single" w:sz="4" w:space="0" w:color="auto"/>
              <w:bottom w:val="single" w:sz="4" w:space="0" w:color="auto"/>
              <w:right w:val="single" w:sz="4" w:space="0" w:color="auto"/>
            </w:tcBorders>
            <w:vAlign w:val="center"/>
            <w:hideMark/>
          </w:tcPr>
          <w:p w14:paraId="6031DFD0" w14:textId="77777777" w:rsidR="004A489F" w:rsidRPr="00D207EA" w:rsidRDefault="004A489F">
            <w:pPr>
              <w:spacing w:before="0" w:after="0"/>
              <w:rPr>
                <w:rFonts w:eastAsia="Times New Roman"/>
                <w:noProof/>
                <w:color w:val="000000"/>
                <w:sz w:val="16"/>
                <w:szCs w:val="16"/>
              </w:rPr>
            </w:pPr>
            <w:r w:rsidRPr="00D207EA">
              <w:rPr>
                <w:noProof/>
                <w:color w:val="000000"/>
                <w:sz w:val="16"/>
              </w:rPr>
              <w:t>02.03.01.02 Filet de sécurité unitaire (stabilisation des marchés agricoles)</w:t>
            </w:r>
          </w:p>
        </w:tc>
        <w:tc>
          <w:tcPr>
            <w:tcW w:w="465" w:type="pct"/>
            <w:tcBorders>
              <w:top w:val="single" w:sz="4" w:space="0" w:color="auto"/>
              <w:left w:val="single" w:sz="4" w:space="0" w:color="auto"/>
              <w:bottom w:val="single" w:sz="4" w:space="0" w:color="auto"/>
              <w:right w:val="single" w:sz="4" w:space="0" w:color="auto"/>
            </w:tcBorders>
            <w:vAlign w:val="center"/>
            <w:hideMark/>
          </w:tcPr>
          <w:p w14:paraId="74642911"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CD</w:t>
            </w:r>
          </w:p>
        </w:tc>
        <w:tc>
          <w:tcPr>
            <w:tcW w:w="465" w:type="pct"/>
            <w:tcBorders>
              <w:top w:val="single" w:sz="4" w:space="0" w:color="auto"/>
              <w:left w:val="single" w:sz="4" w:space="0" w:color="auto"/>
              <w:bottom w:val="single" w:sz="4" w:space="0" w:color="auto"/>
              <w:right w:val="single" w:sz="4" w:space="0" w:color="auto"/>
            </w:tcBorders>
            <w:vAlign w:val="center"/>
            <w:hideMark/>
          </w:tcPr>
          <w:p w14:paraId="418870B4" w14:textId="77777777" w:rsidR="004A489F" w:rsidRPr="00D207EA" w:rsidRDefault="004A489F">
            <w:pPr>
              <w:spacing w:before="0" w:after="0"/>
              <w:jc w:val="center"/>
              <w:rPr>
                <w:rFonts w:eastAsia="Times New Roman"/>
                <w:noProof/>
                <w:color w:val="FF0000"/>
                <w:sz w:val="16"/>
                <w:szCs w:val="16"/>
              </w:rPr>
            </w:pPr>
            <w:r w:rsidRPr="00D207EA">
              <w:rPr>
                <w:noProof/>
                <w:color w:val="FF0000"/>
                <w:sz w:val="16"/>
              </w:rPr>
              <w:t>OUI</w:t>
            </w:r>
          </w:p>
        </w:tc>
        <w:tc>
          <w:tcPr>
            <w:tcW w:w="465" w:type="pct"/>
            <w:tcBorders>
              <w:top w:val="single" w:sz="4" w:space="0" w:color="auto"/>
              <w:left w:val="single" w:sz="4" w:space="0" w:color="auto"/>
              <w:bottom w:val="single" w:sz="4" w:space="0" w:color="auto"/>
              <w:right w:val="single" w:sz="4" w:space="0" w:color="auto"/>
            </w:tcBorders>
            <w:vAlign w:val="center"/>
            <w:hideMark/>
          </w:tcPr>
          <w:p w14:paraId="2A58893A" w14:textId="77777777" w:rsidR="004A489F" w:rsidRPr="00D207EA" w:rsidRDefault="004A489F">
            <w:pPr>
              <w:spacing w:before="0" w:after="0"/>
              <w:jc w:val="center"/>
              <w:rPr>
                <w:rFonts w:eastAsia="Times New Roman"/>
                <w:noProof/>
                <w:color w:val="FF0000"/>
                <w:sz w:val="16"/>
                <w:szCs w:val="16"/>
              </w:rPr>
            </w:pPr>
            <w:r w:rsidRPr="00D207EA">
              <w:rPr>
                <w:noProof/>
                <w:color w:val="FF0000"/>
                <w:sz w:val="16"/>
              </w:rPr>
              <w:t>OUI</w:t>
            </w:r>
          </w:p>
        </w:tc>
        <w:tc>
          <w:tcPr>
            <w:tcW w:w="465" w:type="pct"/>
            <w:tcBorders>
              <w:top w:val="single" w:sz="4" w:space="0" w:color="auto"/>
              <w:left w:val="single" w:sz="4" w:space="0" w:color="auto"/>
              <w:bottom w:val="single" w:sz="4" w:space="0" w:color="auto"/>
              <w:right w:val="single" w:sz="4" w:space="0" w:color="auto"/>
            </w:tcBorders>
            <w:vAlign w:val="center"/>
            <w:hideMark/>
          </w:tcPr>
          <w:p w14:paraId="219535C3" w14:textId="77777777" w:rsidR="004A489F" w:rsidRPr="00D207EA" w:rsidRDefault="004A489F">
            <w:pPr>
              <w:spacing w:before="0" w:after="0"/>
              <w:jc w:val="center"/>
              <w:rPr>
                <w:rFonts w:eastAsia="Times New Roman"/>
                <w:noProof/>
                <w:color w:val="FF0000"/>
                <w:sz w:val="16"/>
                <w:szCs w:val="16"/>
              </w:rPr>
            </w:pPr>
            <w:r w:rsidRPr="00D207EA">
              <w:rPr>
                <w:noProof/>
                <w:color w:val="FF0000"/>
                <w:sz w:val="16"/>
              </w:rPr>
              <w:t>OUI</w:t>
            </w:r>
          </w:p>
        </w:tc>
        <w:tc>
          <w:tcPr>
            <w:tcW w:w="465" w:type="pct"/>
            <w:tcBorders>
              <w:top w:val="single" w:sz="4" w:space="0" w:color="auto"/>
              <w:left w:val="single" w:sz="4" w:space="0" w:color="auto"/>
              <w:bottom w:val="single" w:sz="4" w:space="0" w:color="auto"/>
              <w:right w:val="single" w:sz="4" w:space="0" w:color="auto"/>
            </w:tcBorders>
            <w:vAlign w:val="center"/>
            <w:hideMark/>
          </w:tcPr>
          <w:p w14:paraId="743C3C73"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r>
      <w:tr w:rsidR="004A489F" w:rsidRPr="00D207EA" w14:paraId="7EDF6B12" w14:textId="77777777" w:rsidTr="006125B0">
        <w:trPr>
          <w:trHeight w:val="300"/>
        </w:trPr>
        <w:tc>
          <w:tcPr>
            <w:tcW w:w="471" w:type="pct"/>
            <w:tcBorders>
              <w:top w:val="single" w:sz="4" w:space="0" w:color="auto"/>
              <w:left w:val="single" w:sz="4" w:space="0" w:color="auto"/>
              <w:bottom w:val="single" w:sz="4" w:space="0" w:color="auto"/>
              <w:right w:val="single" w:sz="4" w:space="0" w:color="auto"/>
            </w:tcBorders>
            <w:vAlign w:val="center"/>
            <w:hideMark/>
          </w:tcPr>
          <w:p w14:paraId="6E877C62" w14:textId="77777777" w:rsidR="004A489F" w:rsidRPr="00D207EA" w:rsidRDefault="004A489F">
            <w:pPr>
              <w:spacing w:before="0" w:after="0"/>
              <w:jc w:val="center"/>
              <w:rPr>
                <w:rFonts w:eastAsia="Times New Roman"/>
                <w:noProof/>
                <w:color w:val="0000FF"/>
                <w:sz w:val="16"/>
                <w:szCs w:val="16"/>
              </w:rPr>
            </w:pPr>
            <w:r w:rsidRPr="00D207EA">
              <w:rPr>
                <w:noProof/>
                <w:color w:val="0000FF"/>
                <w:sz w:val="16"/>
              </w:rPr>
              <w:t>1</w:t>
            </w:r>
          </w:p>
        </w:tc>
        <w:tc>
          <w:tcPr>
            <w:tcW w:w="2204" w:type="pct"/>
            <w:tcBorders>
              <w:top w:val="single" w:sz="4" w:space="0" w:color="auto"/>
              <w:left w:val="single" w:sz="4" w:space="0" w:color="auto"/>
              <w:bottom w:val="single" w:sz="4" w:space="0" w:color="auto"/>
              <w:right w:val="single" w:sz="4" w:space="0" w:color="auto"/>
            </w:tcBorders>
            <w:vAlign w:val="center"/>
            <w:hideMark/>
          </w:tcPr>
          <w:p w14:paraId="5EBBAF24" w14:textId="77777777" w:rsidR="004A489F" w:rsidRPr="00D207EA" w:rsidRDefault="004A489F">
            <w:pPr>
              <w:spacing w:before="0" w:after="0"/>
              <w:rPr>
                <w:rFonts w:eastAsia="Times New Roman"/>
                <w:noProof/>
                <w:color w:val="000000"/>
                <w:sz w:val="16"/>
                <w:szCs w:val="16"/>
              </w:rPr>
            </w:pPr>
            <w:r w:rsidRPr="00D207EA">
              <w:rPr>
                <w:noProof/>
                <w:color w:val="000000"/>
                <w:sz w:val="16"/>
              </w:rPr>
              <w:t>02.03.01.03 Migration, asile, gestion des frontières, visas et sécurité intérieure</w:t>
            </w:r>
          </w:p>
        </w:tc>
        <w:tc>
          <w:tcPr>
            <w:tcW w:w="465" w:type="pct"/>
            <w:tcBorders>
              <w:top w:val="single" w:sz="4" w:space="0" w:color="auto"/>
              <w:left w:val="single" w:sz="4" w:space="0" w:color="auto"/>
              <w:bottom w:val="single" w:sz="4" w:space="0" w:color="auto"/>
              <w:right w:val="single" w:sz="4" w:space="0" w:color="auto"/>
            </w:tcBorders>
            <w:vAlign w:val="center"/>
            <w:hideMark/>
          </w:tcPr>
          <w:p w14:paraId="613AD583"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CD</w:t>
            </w:r>
          </w:p>
        </w:tc>
        <w:tc>
          <w:tcPr>
            <w:tcW w:w="465" w:type="pct"/>
            <w:tcBorders>
              <w:top w:val="single" w:sz="4" w:space="0" w:color="auto"/>
              <w:left w:val="single" w:sz="4" w:space="0" w:color="auto"/>
              <w:bottom w:val="single" w:sz="4" w:space="0" w:color="auto"/>
              <w:right w:val="single" w:sz="4" w:space="0" w:color="auto"/>
            </w:tcBorders>
            <w:vAlign w:val="center"/>
            <w:hideMark/>
          </w:tcPr>
          <w:p w14:paraId="291DEFD6"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4" w:space="0" w:color="auto"/>
              <w:left w:val="single" w:sz="4" w:space="0" w:color="auto"/>
              <w:bottom w:val="single" w:sz="4" w:space="0" w:color="auto"/>
              <w:right w:val="single" w:sz="4" w:space="0" w:color="auto"/>
            </w:tcBorders>
            <w:vAlign w:val="center"/>
            <w:hideMark/>
          </w:tcPr>
          <w:p w14:paraId="7C86B822"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4" w:space="0" w:color="auto"/>
              <w:left w:val="single" w:sz="4" w:space="0" w:color="auto"/>
              <w:bottom w:val="single" w:sz="4" w:space="0" w:color="auto"/>
              <w:right w:val="single" w:sz="4" w:space="0" w:color="auto"/>
            </w:tcBorders>
            <w:vAlign w:val="center"/>
            <w:hideMark/>
          </w:tcPr>
          <w:p w14:paraId="5752F6EC"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4" w:space="0" w:color="auto"/>
              <w:left w:val="single" w:sz="4" w:space="0" w:color="auto"/>
              <w:bottom w:val="single" w:sz="4" w:space="0" w:color="auto"/>
              <w:right w:val="single" w:sz="4" w:space="0" w:color="auto"/>
            </w:tcBorders>
            <w:vAlign w:val="center"/>
            <w:hideMark/>
          </w:tcPr>
          <w:p w14:paraId="24D79E44"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r>
      <w:tr w:rsidR="004A489F" w:rsidRPr="00D207EA" w14:paraId="3D700CC1" w14:textId="77777777" w:rsidTr="006125B0">
        <w:trPr>
          <w:trHeight w:val="300"/>
        </w:trPr>
        <w:tc>
          <w:tcPr>
            <w:tcW w:w="471" w:type="pct"/>
            <w:tcBorders>
              <w:top w:val="single" w:sz="4" w:space="0" w:color="auto"/>
              <w:left w:val="single" w:sz="4" w:space="0" w:color="auto"/>
              <w:bottom w:val="single" w:sz="4" w:space="0" w:color="auto"/>
              <w:right w:val="single" w:sz="4" w:space="0" w:color="auto"/>
            </w:tcBorders>
            <w:vAlign w:val="center"/>
            <w:hideMark/>
          </w:tcPr>
          <w:p w14:paraId="5C1B7F9B" w14:textId="77777777" w:rsidR="004A489F" w:rsidRPr="00D207EA" w:rsidRDefault="004A489F">
            <w:pPr>
              <w:spacing w:before="0" w:after="0"/>
              <w:jc w:val="center"/>
              <w:rPr>
                <w:rFonts w:eastAsia="Times New Roman"/>
                <w:noProof/>
                <w:color w:val="0000FF"/>
                <w:sz w:val="16"/>
                <w:szCs w:val="16"/>
              </w:rPr>
            </w:pPr>
            <w:r w:rsidRPr="00D207EA">
              <w:rPr>
                <w:noProof/>
                <w:color w:val="0000FF"/>
                <w:sz w:val="16"/>
              </w:rPr>
              <w:t>1</w:t>
            </w:r>
          </w:p>
        </w:tc>
        <w:tc>
          <w:tcPr>
            <w:tcW w:w="2204" w:type="pct"/>
            <w:tcBorders>
              <w:top w:val="single" w:sz="4" w:space="0" w:color="auto"/>
              <w:left w:val="single" w:sz="4" w:space="0" w:color="auto"/>
              <w:bottom w:val="single" w:sz="4" w:space="0" w:color="auto"/>
              <w:right w:val="single" w:sz="4" w:space="0" w:color="auto"/>
            </w:tcBorders>
            <w:vAlign w:val="center"/>
            <w:hideMark/>
          </w:tcPr>
          <w:p w14:paraId="25FB5712" w14:textId="77777777" w:rsidR="004A489F" w:rsidRPr="00D207EA" w:rsidRDefault="004A489F">
            <w:pPr>
              <w:spacing w:before="0" w:after="0"/>
              <w:rPr>
                <w:rFonts w:eastAsia="Times New Roman"/>
                <w:noProof/>
                <w:color w:val="000000"/>
                <w:sz w:val="16"/>
                <w:szCs w:val="16"/>
              </w:rPr>
            </w:pPr>
            <w:r w:rsidRPr="00D207EA">
              <w:rPr>
                <w:noProof/>
                <w:color w:val="000000"/>
                <w:sz w:val="16"/>
              </w:rPr>
              <w:t>02.03.01.04 Autres actions de l’Union</w:t>
            </w:r>
          </w:p>
        </w:tc>
        <w:tc>
          <w:tcPr>
            <w:tcW w:w="465" w:type="pct"/>
            <w:tcBorders>
              <w:top w:val="single" w:sz="4" w:space="0" w:color="auto"/>
              <w:left w:val="single" w:sz="4" w:space="0" w:color="auto"/>
              <w:bottom w:val="single" w:sz="4" w:space="0" w:color="auto"/>
              <w:right w:val="single" w:sz="4" w:space="0" w:color="auto"/>
            </w:tcBorders>
            <w:vAlign w:val="center"/>
            <w:hideMark/>
          </w:tcPr>
          <w:p w14:paraId="36480762"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CD</w:t>
            </w:r>
          </w:p>
        </w:tc>
        <w:tc>
          <w:tcPr>
            <w:tcW w:w="465" w:type="pct"/>
            <w:tcBorders>
              <w:top w:val="single" w:sz="4" w:space="0" w:color="auto"/>
              <w:left w:val="single" w:sz="4" w:space="0" w:color="auto"/>
              <w:bottom w:val="single" w:sz="4" w:space="0" w:color="auto"/>
              <w:right w:val="single" w:sz="4" w:space="0" w:color="auto"/>
            </w:tcBorders>
            <w:vAlign w:val="center"/>
            <w:hideMark/>
          </w:tcPr>
          <w:p w14:paraId="04501D23"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4" w:space="0" w:color="auto"/>
              <w:left w:val="single" w:sz="4" w:space="0" w:color="auto"/>
              <w:bottom w:val="single" w:sz="4" w:space="0" w:color="auto"/>
              <w:right w:val="single" w:sz="4" w:space="0" w:color="auto"/>
            </w:tcBorders>
            <w:vAlign w:val="center"/>
            <w:hideMark/>
          </w:tcPr>
          <w:p w14:paraId="107A75B9"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4" w:space="0" w:color="auto"/>
              <w:left w:val="single" w:sz="4" w:space="0" w:color="auto"/>
              <w:bottom w:val="single" w:sz="4" w:space="0" w:color="auto"/>
              <w:right w:val="single" w:sz="4" w:space="0" w:color="auto"/>
            </w:tcBorders>
            <w:vAlign w:val="center"/>
            <w:hideMark/>
          </w:tcPr>
          <w:p w14:paraId="450301EA"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4" w:space="0" w:color="auto"/>
              <w:left w:val="single" w:sz="4" w:space="0" w:color="auto"/>
              <w:bottom w:val="single" w:sz="4" w:space="0" w:color="auto"/>
              <w:right w:val="single" w:sz="4" w:space="0" w:color="auto"/>
            </w:tcBorders>
            <w:vAlign w:val="center"/>
            <w:hideMark/>
          </w:tcPr>
          <w:p w14:paraId="1F6D4155"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r>
      <w:tr w:rsidR="004A489F" w:rsidRPr="00D207EA" w14:paraId="0386A426" w14:textId="77777777" w:rsidTr="006125B0">
        <w:trPr>
          <w:trHeight w:val="300"/>
        </w:trPr>
        <w:tc>
          <w:tcPr>
            <w:tcW w:w="47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EA62EC5" w14:textId="77777777" w:rsidR="004A489F" w:rsidRPr="00D207EA" w:rsidRDefault="004A489F">
            <w:pPr>
              <w:spacing w:before="0" w:after="0"/>
              <w:jc w:val="center"/>
              <w:rPr>
                <w:rFonts w:eastAsia="Times New Roman"/>
                <w:noProof/>
                <w:color w:val="0000FF"/>
                <w:sz w:val="16"/>
                <w:szCs w:val="16"/>
              </w:rPr>
            </w:pPr>
            <w:r w:rsidRPr="00D207EA">
              <w:rPr>
                <w:noProof/>
                <w:color w:val="0000FF"/>
                <w:sz w:val="16"/>
              </w:rPr>
              <w:t>1</w:t>
            </w:r>
          </w:p>
        </w:tc>
        <w:tc>
          <w:tcPr>
            <w:tcW w:w="2204"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85CE933" w14:textId="77777777" w:rsidR="004A489F" w:rsidRPr="00D207EA" w:rsidRDefault="004A489F">
            <w:pPr>
              <w:spacing w:before="0" w:after="0"/>
              <w:rPr>
                <w:rFonts w:eastAsia="Times New Roman"/>
                <w:noProof/>
                <w:color w:val="000000"/>
                <w:sz w:val="16"/>
                <w:szCs w:val="16"/>
              </w:rPr>
            </w:pPr>
            <w:r w:rsidRPr="00D207EA">
              <w:rPr>
                <w:noProof/>
                <w:color w:val="000000"/>
                <w:sz w:val="16"/>
              </w:rPr>
              <w:t>02.03.02. Réserve pour les priorités et défis émergents</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F6B14C1"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CD</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A08180B"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38F0EFF"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23F44E5"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OUI</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042F38F" w14:textId="77777777" w:rsidR="004A489F" w:rsidRPr="00D207EA" w:rsidRDefault="004A489F">
            <w:pPr>
              <w:spacing w:before="0" w:after="0"/>
              <w:jc w:val="center"/>
              <w:rPr>
                <w:rFonts w:eastAsia="Times New Roman"/>
                <w:noProof/>
                <w:color w:val="000000"/>
                <w:sz w:val="16"/>
                <w:szCs w:val="16"/>
              </w:rPr>
            </w:pPr>
            <w:r w:rsidRPr="00D207EA">
              <w:rPr>
                <w:noProof/>
                <w:color w:val="000000"/>
                <w:sz w:val="16"/>
              </w:rPr>
              <w:t>NON</w:t>
            </w:r>
          </w:p>
        </w:tc>
      </w:tr>
    </w:tbl>
    <w:p w14:paraId="5F53E832" w14:textId="77777777" w:rsidR="004A489F" w:rsidRPr="00D207EA" w:rsidRDefault="004A489F" w:rsidP="004A489F">
      <w:pPr>
        <w:pStyle w:val="Text1"/>
        <w:rPr>
          <w:noProof/>
        </w:rPr>
      </w:pPr>
    </w:p>
    <w:bookmarkEnd w:id="137"/>
    <w:bookmarkEnd w:id="138"/>
    <w:bookmarkEnd w:id="139"/>
    <w:bookmarkEnd w:id="140"/>
    <w:bookmarkEnd w:id="141"/>
    <w:p w14:paraId="30FFAE51" w14:textId="77777777" w:rsidR="004A489F" w:rsidRPr="00D207EA" w:rsidRDefault="004A489F" w:rsidP="004A489F">
      <w:pPr>
        <w:pStyle w:val="Text1"/>
        <w:rPr>
          <w:noProof/>
        </w:rPr>
        <w:sectPr w:rsidR="004A489F" w:rsidRPr="00D207EA" w:rsidSect="00972E68">
          <w:pgSz w:w="11907" w:h="16840" w:code="1"/>
          <w:pgMar w:top="1134" w:right="1418" w:bottom="1134" w:left="1418" w:header="709" w:footer="709" w:gutter="0"/>
          <w:cols w:space="708"/>
          <w:docGrid w:linePitch="360"/>
        </w:sectPr>
      </w:pPr>
    </w:p>
    <w:p w14:paraId="5BCF1F55" w14:textId="0963C091" w:rsidR="004A489F" w:rsidRPr="00D207EA" w:rsidRDefault="004A489F" w:rsidP="004A489F">
      <w:pPr>
        <w:pStyle w:val="ManualHeading2"/>
        <w:rPr>
          <w:bCs/>
          <w:noProof/>
          <w:szCs w:val="24"/>
        </w:rPr>
      </w:pPr>
      <w:bookmarkStart w:id="146" w:name="_Toc514938052"/>
      <w:bookmarkStart w:id="147" w:name="_Toc520485051"/>
      <w:bookmarkStart w:id="148" w:name="_Toc160804593"/>
      <w:bookmarkStart w:id="149" w:name="_Toc167220285"/>
      <w:bookmarkStart w:id="150" w:name="_Toc177549018"/>
      <w:r w:rsidRPr="00D207EA">
        <w:rPr>
          <w:noProof/>
        </w:rPr>
        <w:t>3.2.</w:t>
      </w:r>
      <w:r w:rsidRPr="00D207EA">
        <w:rPr>
          <w:noProof/>
        </w:rPr>
        <w:tab/>
        <w:t>Incidence financière estimée de la proposition sur les crédits</w:t>
      </w:r>
      <w:bookmarkEnd w:id="146"/>
      <w:bookmarkEnd w:id="147"/>
      <w:bookmarkEnd w:id="148"/>
      <w:bookmarkEnd w:id="149"/>
      <w:bookmarkEnd w:id="150"/>
    </w:p>
    <w:p w14:paraId="33F1EBC7" w14:textId="52DF1F51" w:rsidR="004A489F" w:rsidRPr="00D207EA" w:rsidRDefault="004A489F" w:rsidP="004A489F">
      <w:pPr>
        <w:pStyle w:val="ManualHeading3"/>
        <w:rPr>
          <w:noProof/>
        </w:rPr>
      </w:pPr>
      <w:bookmarkStart w:id="151" w:name="_Toc514938053"/>
      <w:bookmarkStart w:id="152" w:name="_Toc520485052"/>
      <w:bookmarkStart w:id="153" w:name="_Toc160804594"/>
      <w:bookmarkStart w:id="154" w:name="_Toc167220286"/>
      <w:bookmarkStart w:id="155" w:name="_Toc177549019"/>
      <w:r w:rsidRPr="00D207EA">
        <w:rPr>
          <w:noProof/>
        </w:rPr>
        <w:t>3.2.1.</w:t>
      </w:r>
      <w:r w:rsidRPr="00D207EA">
        <w:rPr>
          <w:noProof/>
        </w:rPr>
        <w:tab/>
        <w:t>Synthèse de l’incidence estimée sur les crédits opérationnels</w:t>
      </w:r>
      <w:bookmarkEnd w:id="151"/>
      <w:bookmarkEnd w:id="152"/>
      <w:bookmarkEnd w:id="153"/>
      <w:bookmarkEnd w:id="154"/>
      <w:bookmarkEnd w:id="155"/>
    </w:p>
    <w:p w14:paraId="62EEFA59" w14:textId="54C13972" w:rsidR="004A489F" w:rsidRPr="00D207EA" w:rsidRDefault="004A489F" w:rsidP="004A489F">
      <w:pPr>
        <w:pStyle w:val="ListDash1"/>
        <w:rPr>
          <w:noProof/>
        </w:rPr>
      </w:pPr>
      <w:r w:rsidRPr="00D207EA">
        <w:rPr>
          <w:rFonts w:ascii="Wingdings" w:hAnsi="Wingdings"/>
          <w:noProof/>
        </w:rPr>
        <w:t></w:t>
      </w:r>
      <w:r w:rsidRPr="00D207EA">
        <w:rPr>
          <w:noProof/>
        </w:rPr>
        <w:tab/>
        <w:t>La proposition/l’initiative n’engendre pas l’utilisation de crédits opérationnels</w:t>
      </w:r>
    </w:p>
    <w:p w14:paraId="050705FF" w14:textId="77777777" w:rsidR="004A489F" w:rsidRPr="00D207EA" w:rsidRDefault="004A489F" w:rsidP="004A489F">
      <w:pPr>
        <w:pStyle w:val="ListDash1"/>
        <w:rPr>
          <w:noProof/>
        </w:rPr>
      </w:pPr>
      <w:r w:rsidRPr="00D207EA">
        <w:rPr>
          <w:rFonts w:ascii="Wingdings" w:hAnsi="Wingdings"/>
          <w:noProof/>
        </w:rPr>
        <w:t></w:t>
      </w:r>
      <w:r w:rsidRPr="00D207EA">
        <w:rPr>
          <w:noProof/>
        </w:rPr>
        <w:tab/>
        <w:t>La proposition/l’initiative engendre l’utilisation de crédits opérationnels, comme expliqué ci-après:</w:t>
      </w:r>
    </w:p>
    <w:p w14:paraId="797DBD0F" w14:textId="77777777" w:rsidR="004A489F" w:rsidRPr="00D207EA" w:rsidRDefault="004A489F" w:rsidP="004A489F">
      <w:pPr>
        <w:pStyle w:val="ManualHeading3"/>
        <w:rPr>
          <w:noProof/>
        </w:rPr>
      </w:pPr>
      <w:bookmarkStart w:id="156" w:name="_Toc160804595"/>
      <w:bookmarkStart w:id="157" w:name="_Toc167220287"/>
      <w:bookmarkStart w:id="158" w:name="_Toc177549020"/>
      <w:r w:rsidRPr="00D207EA">
        <w:rPr>
          <w:noProof/>
        </w:rPr>
        <w:t>3.2.1.1.</w:t>
      </w:r>
      <w:r w:rsidRPr="00D207EA">
        <w:rPr>
          <w:noProof/>
        </w:rPr>
        <w:tab/>
        <w:t>Crédits issus du budget voté</w:t>
      </w:r>
      <w:bookmarkEnd w:id="156"/>
      <w:bookmarkEnd w:id="157"/>
      <w:bookmarkEnd w:id="158"/>
    </w:p>
    <w:tbl>
      <w:tblPr>
        <w:tblW w:w="5860" w:type="dxa"/>
        <w:tblInd w:w="118" w:type="dxa"/>
        <w:tblCellMar>
          <w:top w:w="15" w:type="dxa"/>
          <w:bottom w:w="15" w:type="dxa"/>
        </w:tblCellMar>
        <w:tblLook w:val="04A0" w:firstRow="1" w:lastRow="0" w:firstColumn="1" w:lastColumn="0" w:noHBand="0" w:noVBand="1"/>
      </w:tblPr>
      <w:tblGrid>
        <w:gridCol w:w="4700"/>
        <w:gridCol w:w="1160"/>
      </w:tblGrid>
      <w:tr w:rsidR="004A489F" w:rsidRPr="00D207EA" w14:paraId="5A77B070" w14:textId="77777777">
        <w:trPr>
          <w:trHeight w:val="840"/>
        </w:trPr>
        <w:tc>
          <w:tcPr>
            <w:tcW w:w="4700" w:type="dxa"/>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67CAD5D8" w14:textId="77777777" w:rsidR="004A489F" w:rsidRPr="00D207EA" w:rsidRDefault="004A489F">
            <w:pPr>
              <w:spacing w:before="0" w:after="0"/>
              <w:jc w:val="center"/>
              <w:rPr>
                <w:rFonts w:eastAsia="Times New Roman"/>
                <w:b/>
                <w:noProof/>
                <w:color w:val="000000"/>
                <w:sz w:val="22"/>
              </w:rPr>
            </w:pPr>
            <w:r w:rsidRPr="00D207EA">
              <w:rPr>
                <w:b/>
                <w:noProof/>
                <w:color w:val="000000"/>
                <w:sz w:val="22"/>
              </w:rPr>
              <w:t>Rubrique du cadre financier</w:t>
            </w:r>
            <w:r w:rsidRPr="00D207EA">
              <w:rPr>
                <w:b/>
                <w:noProof/>
                <w:color w:val="000000"/>
                <w:sz w:val="22"/>
              </w:rPr>
              <w:br/>
              <w:t>pluriannuel</w:t>
            </w:r>
          </w:p>
        </w:tc>
        <w:tc>
          <w:tcPr>
            <w:tcW w:w="1160" w:type="dxa"/>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6B7AA0CC" w14:textId="77777777" w:rsidR="004A489F" w:rsidRPr="00D207EA" w:rsidRDefault="004A489F">
            <w:pPr>
              <w:spacing w:before="0" w:after="0"/>
              <w:jc w:val="center"/>
              <w:rPr>
                <w:rFonts w:eastAsia="Times New Roman"/>
                <w:b/>
                <w:noProof/>
                <w:color w:val="000000"/>
                <w:sz w:val="22"/>
              </w:rPr>
            </w:pPr>
            <w:r w:rsidRPr="00D207EA">
              <w:rPr>
                <w:b/>
                <w:noProof/>
                <w:color w:val="000000"/>
                <w:sz w:val="22"/>
              </w:rPr>
              <w:t>1</w:t>
            </w:r>
          </w:p>
        </w:tc>
      </w:tr>
    </w:tbl>
    <w:p w14:paraId="3CB89C1E" w14:textId="77777777" w:rsidR="004A489F" w:rsidRPr="00D207EA" w:rsidRDefault="004A489F" w:rsidP="004A489F">
      <w:pPr>
        <w:pStyle w:val="Text1"/>
        <w:rPr>
          <w:noProof/>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2987"/>
        <w:gridCol w:w="1340"/>
        <w:gridCol w:w="705"/>
        <w:gridCol w:w="1201"/>
        <w:gridCol w:w="1201"/>
        <w:gridCol w:w="1082"/>
        <w:gridCol w:w="1201"/>
        <w:gridCol w:w="1198"/>
        <w:gridCol w:w="1201"/>
        <w:gridCol w:w="1201"/>
        <w:gridCol w:w="1190"/>
      </w:tblGrid>
      <w:tr w:rsidR="007B2694" w:rsidRPr="00D207EA" w14:paraId="4F2C7B26" w14:textId="77777777" w:rsidTr="001F3400">
        <w:trPr>
          <w:trHeight w:val="420"/>
        </w:trPr>
        <w:tc>
          <w:tcPr>
            <w:tcW w:w="1734" w:type="pct"/>
            <w:gridSpan w:val="3"/>
            <w:vMerge w:val="restart"/>
            <w:vAlign w:val="center"/>
            <w:hideMark/>
          </w:tcPr>
          <w:p w14:paraId="114A062A" w14:textId="77777777" w:rsidR="004A489F" w:rsidRPr="00D207EA" w:rsidRDefault="004A489F">
            <w:pPr>
              <w:spacing w:before="0" w:after="0"/>
              <w:jc w:val="left"/>
              <w:rPr>
                <w:rFonts w:eastAsia="Times New Roman"/>
                <w:noProof/>
                <w:sz w:val="20"/>
                <w:szCs w:val="24"/>
              </w:rPr>
            </w:pPr>
            <w:bookmarkStart w:id="159" w:name="_Toc160804596"/>
            <w:bookmarkStart w:id="160" w:name="_Toc167220288"/>
            <w:bookmarkStart w:id="161" w:name="_Toc177549021"/>
          </w:p>
        </w:tc>
        <w:tc>
          <w:tcPr>
            <w:tcW w:w="414" w:type="pct"/>
            <w:vAlign w:val="center"/>
            <w:hideMark/>
          </w:tcPr>
          <w:p w14:paraId="5FDB35E0" w14:textId="77777777" w:rsidR="004A489F" w:rsidRPr="00D207EA" w:rsidRDefault="004A489F">
            <w:pPr>
              <w:spacing w:before="0" w:after="0"/>
              <w:jc w:val="center"/>
              <w:rPr>
                <w:rFonts w:eastAsia="Times New Roman"/>
                <w:noProof/>
                <w:color w:val="000000"/>
                <w:sz w:val="20"/>
                <w:szCs w:val="20"/>
              </w:rPr>
            </w:pPr>
            <w:r w:rsidRPr="00D207EA">
              <w:rPr>
                <w:noProof/>
                <w:color w:val="000000"/>
                <w:sz w:val="20"/>
              </w:rPr>
              <w:t>Année</w:t>
            </w:r>
          </w:p>
        </w:tc>
        <w:tc>
          <w:tcPr>
            <w:tcW w:w="414" w:type="pct"/>
            <w:vAlign w:val="center"/>
            <w:hideMark/>
          </w:tcPr>
          <w:p w14:paraId="77AEAA30" w14:textId="77777777" w:rsidR="004A489F" w:rsidRPr="00D207EA" w:rsidRDefault="004A489F">
            <w:pPr>
              <w:spacing w:before="0" w:after="0"/>
              <w:jc w:val="center"/>
              <w:rPr>
                <w:rFonts w:eastAsia="Times New Roman"/>
                <w:noProof/>
                <w:color w:val="000000"/>
                <w:sz w:val="20"/>
                <w:szCs w:val="20"/>
              </w:rPr>
            </w:pPr>
            <w:r w:rsidRPr="00D207EA">
              <w:rPr>
                <w:noProof/>
                <w:color w:val="000000"/>
                <w:sz w:val="20"/>
              </w:rPr>
              <w:t>Année</w:t>
            </w:r>
          </w:p>
        </w:tc>
        <w:tc>
          <w:tcPr>
            <w:tcW w:w="373" w:type="pct"/>
            <w:vAlign w:val="center"/>
            <w:hideMark/>
          </w:tcPr>
          <w:p w14:paraId="02C3EF26" w14:textId="77777777" w:rsidR="004A489F" w:rsidRPr="00D207EA" w:rsidRDefault="004A489F">
            <w:pPr>
              <w:spacing w:before="0" w:after="0"/>
              <w:jc w:val="center"/>
              <w:rPr>
                <w:rFonts w:eastAsia="Times New Roman"/>
                <w:noProof/>
                <w:color w:val="000000"/>
                <w:sz w:val="20"/>
                <w:szCs w:val="20"/>
              </w:rPr>
            </w:pPr>
            <w:r w:rsidRPr="00D207EA">
              <w:rPr>
                <w:noProof/>
                <w:color w:val="000000"/>
                <w:sz w:val="20"/>
              </w:rPr>
              <w:t>Année</w:t>
            </w:r>
          </w:p>
        </w:tc>
        <w:tc>
          <w:tcPr>
            <w:tcW w:w="414" w:type="pct"/>
            <w:vAlign w:val="center"/>
            <w:hideMark/>
          </w:tcPr>
          <w:p w14:paraId="31BA3416" w14:textId="77777777" w:rsidR="004A489F" w:rsidRPr="00D207EA" w:rsidRDefault="004A489F">
            <w:pPr>
              <w:spacing w:before="0" w:after="0"/>
              <w:jc w:val="center"/>
              <w:rPr>
                <w:rFonts w:eastAsia="Times New Roman"/>
                <w:noProof/>
                <w:color w:val="000000"/>
                <w:sz w:val="20"/>
                <w:szCs w:val="20"/>
              </w:rPr>
            </w:pPr>
            <w:r w:rsidRPr="00D207EA">
              <w:rPr>
                <w:noProof/>
                <w:color w:val="000000"/>
                <w:sz w:val="20"/>
              </w:rPr>
              <w:t>Année</w:t>
            </w:r>
          </w:p>
        </w:tc>
        <w:tc>
          <w:tcPr>
            <w:tcW w:w="413" w:type="pct"/>
            <w:vAlign w:val="center"/>
            <w:hideMark/>
          </w:tcPr>
          <w:p w14:paraId="4F6CFB12" w14:textId="77777777" w:rsidR="004A489F" w:rsidRPr="00D207EA" w:rsidRDefault="004A489F">
            <w:pPr>
              <w:spacing w:before="0" w:after="0"/>
              <w:jc w:val="center"/>
              <w:rPr>
                <w:rFonts w:eastAsia="Times New Roman"/>
                <w:noProof/>
                <w:color w:val="000000"/>
                <w:sz w:val="20"/>
                <w:szCs w:val="20"/>
              </w:rPr>
            </w:pPr>
            <w:r w:rsidRPr="00D207EA">
              <w:rPr>
                <w:noProof/>
                <w:color w:val="000000"/>
                <w:sz w:val="20"/>
              </w:rPr>
              <w:t>Année</w:t>
            </w:r>
          </w:p>
        </w:tc>
        <w:tc>
          <w:tcPr>
            <w:tcW w:w="414" w:type="pct"/>
            <w:vAlign w:val="center"/>
            <w:hideMark/>
          </w:tcPr>
          <w:p w14:paraId="22E8D288" w14:textId="77777777" w:rsidR="004A489F" w:rsidRPr="00D207EA" w:rsidRDefault="004A489F">
            <w:pPr>
              <w:spacing w:before="0" w:after="0"/>
              <w:jc w:val="center"/>
              <w:rPr>
                <w:rFonts w:eastAsia="Times New Roman"/>
                <w:noProof/>
                <w:color w:val="000000"/>
                <w:sz w:val="20"/>
                <w:szCs w:val="20"/>
              </w:rPr>
            </w:pPr>
            <w:r w:rsidRPr="00D207EA">
              <w:rPr>
                <w:noProof/>
                <w:color w:val="000000"/>
                <w:sz w:val="20"/>
              </w:rPr>
              <w:t>Année</w:t>
            </w:r>
          </w:p>
        </w:tc>
        <w:tc>
          <w:tcPr>
            <w:tcW w:w="414" w:type="pct"/>
            <w:vAlign w:val="center"/>
            <w:hideMark/>
          </w:tcPr>
          <w:p w14:paraId="58E181F2" w14:textId="77777777" w:rsidR="004A489F" w:rsidRPr="00D207EA" w:rsidRDefault="004A489F">
            <w:pPr>
              <w:spacing w:before="0" w:after="0"/>
              <w:jc w:val="center"/>
              <w:rPr>
                <w:rFonts w:eastAsia="Times New Roman"/>
                <w:noProof/>
                <w:color w:val="000000"/>
                <w:sz w:val="20"/>
                <w:szCs w:val="20"/>
              </w:rPr>
            </w:pPr>
            <w:r w:rsidRPr="00D207EA">
              <w:rPr>
                <w:noProof/>
                <w:color w:val="000000"/>
                <w:sz w:val="20"/>
              </w:rPr>
              <w:t>Année</w:t>
            </w:r>
          </w:p>
        </w:tc>
        <w:tc>
          <w:tcPr>
            <w:tcW w:w="413" w:type="pct"/>
            <w:vMerge w:val="restart"/>
            <w:vAlign w:val="center"/>
            <w:hideMark/>
          </w:tcPr>
          <w:p w14:paraId="5E43193F"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TOTAL CFP</w:t>
            </w:r>
            <w:r w:rsidRPr="00D207EA">
              <w:rPr>
                <w:b/>
                <w:noProof/>
                <w:color w:val="000000"/>
                <w:sz w:val="20"/>
              </w:rPr>
              <w:br/>
              <w:t>2028-2034</w:t>
            </w:r>
          </w:p>
        </w:tc>
      </w:tr>
      <w:tr w:rsidR="007B2694" w:rsidRPr="00D207EA" w14:paraId="15FE19A8" w14:textId="77777777" w:rsidTr="001F3400">
        <w:trPr>
          <w:trHeight w:val="300"/>
        </w:trPr>
        <w:tc>
          <w:tcPr>
            <w:tcW w:w="1734" w:type="pct"/>
            <w:gridSpan w:val="3"/>
            <w:vMerge/>
            <w:vAlign w:val="center"/>
            <w:hideMark/>
          </w:tcPr>
          <w:p w14:paraId="787D44E8" w14:textId="77777777" w:rsidR="004A489F" w:rsidRPr="00D207EA" w:rsidRDefault="004A489F">
            <w:pPr>
              <w:spacing w:before="0" w:after="0"/>
              <w:jc w:val="left"/>
              <w:rPr>
                <w:rFonts w:eastAsia="Times New Roman"/>
                <w:noProof/>
                <w:sz w:val="20"/>
                <w:szCs w:val="24"/>
                <w:lang w:eastAsia="en-IE"/>
              </w:rPr>
            </w:pPr>
          </w:p>
        </w:tc>
        <w:tc>
          <w:tcPr>
            <w:tcW w:w="414" w:type="pct"/>
            <w:vAlign w:val="center"/>
            <w:hideMark/>
          </w:tcPr>
          <w:p w14:paraId="78C96BE4"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2028</w:t>
            </w:r>
          </w:p>
        </w:tc>
        <w:tc>
          <w:tcPr>
            <w:tcW w:w="414" w:type="pct"/>
            <w:vAlign w:val="center"/>
            <w:hideMark/>
          </w:tcPr>
          <w:p w14:paraId="623D1485"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2029</w:t>
            </w:r>
          </w:p>
        </w:tc>
        <w:tc>
          <w:tcPr>
            <w:tcW w:w="373" w:type="pct"/>
            <w:vAlign w:val="center"/>
            <w:hideMark/>
          </w:tcPr>
          <w:p w14:paraId="5C49148C"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2030</w:t>
            </w:r>
          </w:p>
        </w:tc>
        <w:tc>
          <w:tcPr>
            <w:tcW w:w="414" w:type="pct"/>
            <w:vAlign w:val="center"/>
            <w:hideMark/>
          </w:tcPr>
          <w:p w14:paraId="7AA61DB7"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2031</w:t>
            </w:r>
          </w:p>
        </w:tc>
        <w:tc>
          <w:tcPr>
            <w:tcW w:w="413" w:type="pct"/>
            <w:vAlign w:val="center"/>
            <w:hideMark/>
          </w:tcPr>
          <w:p w14:paraId="51CEF409"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2032</w:t>
            </w:r>
          </w:p>
        </w:tc>
        <w:tc>
          <w:tcPr>
            <w:tcW w:w="414" w:type="pct"/>
            <w:vAlign w:val="center"/>
            <w:hideMark/>
          </w:tcPr>
          <w:p w14:paraId="0B74CF2B"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2033</w:t>
            </w:r>
          </w:p>
        </w:tc>
        <w:tc>
          <w:tcPr>
            <w:tcW w:w="414" w:type="pct"/>
            <w:vAlign w:val="center"/>
            <w:hideMark/>
          </w:tcPr>
          <w:p w14:paraId="1B3C6C8E"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2034</w:t>
            </w:r>
          </w:p>
        </w:tc>
        <w:tc>
          <w:tcPr>
            <w:tcW w:w="413" w:type="pct"/>
            <w:vMerge/>
            <w:vAlign w:val="center"/>
            <w:hideMark/>
          </w:tcPr>
          <w:p w14:paraId="781D4572" w14:textId="77777777" w:rsidR="004A489F" w:rsidRPr="00D207EA" w:rsidRDefault="004A489F">
            <w:pPr>
              <w:spacing w:before="0" w:after="0"/>
              <w:jc w:val="left"/>
              <w:rPr>
                <w:rFonts w:eastAsia="Times New Roman"/>
                <w:b/>
                <w:noProof/>
                <w:color w:val="000000"/>
                <w:sz w:val="20"/>
                <w:szCs w:val="20"/>
                <w:lang w:eastAsia="en-IE"/>
              </w:rPr>
            </w:pPr>
          </w:p>
        </w:tc>
      </w:tr>
      <w:tr w:rsidR="004A489F" w:rsidRPr="00D207EA" w14:paraId="1D35B596" w14:textId="77777777" w:rsidTr="001F3400">
        <w:trPr>
          <w:trHeight w:val="300"/>
        </w:trPr>
        <w:tc>
          <w:tcPr>
            <w:tcW w:w="5000" w:type="pct"/>
            <w:gridSpan w:val="11"/>
            <w:vAlign w:val="center"/>
            <w:hideMark/>
          </w:tcPr>
          <w:p w14:paraId="502B0398" w14:textId="13C5AE26" w:rsidR="004A489F" w:rsidRPr="00D207EA" w:rsidRDefault="004A489F">
            <w:pPr>
              <w:spacing w:before="0" w:after="0"/>
              <w:jc w:val="left"/>
              <w:rPr>
                <w:rFonts w:eastAsia="Times New Roman"/>
                <w:noProof/>
                <w:color w:val="000000"/>
                <w:sz w:val="21"/>
                <w:szCs w:val="21"/>
              </w:rPr>
            </w:pPr>
            <w:r w:rsidRPr="00D207EA">
              <w:rPr>
                <w:noProof/>
                <w:color w:val="000000"/>
                <w:sz w:val="21"/>
              </w:rPr>
              <w:t>Crédits opérationnels</w:t>
            </w:r>
          </w:p>
        </w:tc>
      </w:tr>
      <w:tr w:rsidR="001F3400" w:rsidRPr="00D207EA" w14:paraId="4E2DD302" w14:textId="77777777" w:rsidTr="001F3400">
        <w:trPr>
          <w:trHeight w:val="300"/>
        </w:trPr>
        <w:tc>
          <w:tcPr>
            <w:tcW w:w="1029" w:type="pct"/>
            <w:vMerge w:val="restart"/>
            <w:vAlign w:val="center"/>
            <w:hideMark/>
          </w:tcPr>
          <w:p w14:paraId="30840D64" w14:textId="77777777" w:rsidR="007B2694" w:rsidRPr="00D207EA" w:rsidRDefault="007B2694" w:rsidP="007B2694">
            <w:pPr>
              <w:spacing w:before="0" w:after="0"/>
              <w:jc w:val="left"/>
              <w:rPr>
                <w:rFonts w:eastAsia="Times New Roman"/>
                <w:noProof/>
                <w:color w:val="000000"/>
                <w:sz w:val="20"/>
                <w:szCs w:val="20"/>
              </w:rPr>
            </w:pPr>
            <w:r w:rsidRPr="00D207EA">
              <w:rPr>
                <w:noProof/>
                <w:sz w:val="18"/>
              </w:rPr>
              <w:t>02. Fonds européen pour la cohésion économique, sociale et territoriale, l’agriculture et la prospérité et la sécurité dans le secteur rural, maritime et de la pêche</w:t>
            </w:r>
          </w:p>
        </w:tc>
        <w:tc>
          <w:tcPr>
            <w:tcW w:w="462" w:type="pct"/>
            <w:vAlign w:val="center"/>
            <w:hideMark/>
          </w:tcPr>
          <w:p w14:paraId="55027D42" w14:textId="77777777" w:rsidR="007B2694" w:rsidRPr="00D207EA" w:rsidRDefault="007B2694" w:rsidP="007B2694">
            <w:pPr>
              <w:spacing w:before="0" w:after="0"/>
              <w:rPr>
                <w:rFonts w:eastAsia="Times New Roman"/>
                <w:noProof/>
                <w:color w:val="000000"/>
                <w:sz w:val="18"/>
                <w:szCs w:val="18"/>
              </w:rPr>
            </w:pPr>
            <w:r w:rsidRPr="00D207EA">
              <w:rPr>
                <w:noProof/>
                <w:sz w:val="18"/>
              </w:rPr>
              <w:t>Engagements</w:t>
            </w:r>
          </w:p>
        </w:tc>
        <w:tc>
          <w:tcPr>
            <w:tcW w:w="242" w:type="pct"/>
            <w:vAlign w:val="center"/>
            <w:hideMark/>
          </w:tcPr>
          <w:p w14:paraId="5B8C3533"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(1a)</w:t>
            </w:r>
          </w:p>
        </w:tc>
        <w:tc>
          <w:tcPr>
            <w:tcW w:w="414" w:type="pct"/>
            <w:vAlign w:val="center"/>
            <w:hideMark/>
          </w:tcPr>
          <w:p w14:paraId="2CE1D8C5" w14:textId="77777777" w:rsidR="007B2694" w:rsidRPr="00D207EA" w:rsidRDefault="007B2694" w:rsidP="007B2694">
            <w:pPr>
              <w:spacing w:before="0" w:after="0"/>
              <w:jc w:val="center"/>
              <w:rPr>
                <w:rFonts w:eastAsia="Times New Roman"/>
                <w:noProof/>
                <w:color w:val="000000"/>
                <w:sz w:val="18"/>
                <w:szCs w:val="18"/>
              </w:rPr>
            </w:pPr>
            <w:r w:rsidRPr="00D207EA">
              <w:rPr>
                <w:noProof/>
                <w:color w:val="000000"/>
                <w:sz w:val="18"/>
              </w:rPr>
              <w:t>135 571,000</w:t>
            </w:r>
          </w:p>
        </w:tc>
        <w:tc>
          <w:tcPr>
            <w:tcW w:w="414" w:type="pct"/>
            <w:vAlign w:val="center"/>
            <w:hideMark/>
          </w:tcPr>
          <w:p w14:paraId="6F45BEFA" w14:textId="77777777" w:rsidR="007B2694" w:rsidRPr="00D207EA" w:rsidRDefault="007B2694" w:rsidP="007B2694">
            <w:pPr>
              <w:spacing w:before="0" w:after="0"/>
              <w:jc w:val="left"/>
              <w:rPr>
                <w:rFonts w:eastAsia="Times New Roman"/>
                <w:noProof/>
                <w:sz w:val="20"/>
                <w:szCs w:val="20"/>
              </w:rPr>
            </w:pPr>
            <w:r w:rsidRPr="00D207EA">
              <w:rPr>
                <w:noProof/>
                <w:color w:val="000000"/>
                <w:sz w:val="18"/>
              </w:rPr>
              <w:t>133 134,000</w:t>
            </w:r>
          </w:p>
        </w:tc>
        <w:tc>
          <w:tcPr>
            <w:tcW w:w="373" w:type="pct"/>
            <w:vAlign w:val="center"/>
            <w:hideMark/>
          </w:tcPr>
          <w:p w14:paraId="61BC6C9D" w14:textId="77777777" w:rsidR="007B2694" w:rsidRPr="00D207EA" w:rsidRDefault="007B2694" w:rsidP="007B2694">
            <w:pPr>
              <w:spacing w:before="0" w:after="0"/>
              <w:jc w:val="left"/>
              <w:rPr>
                <w:rFonts w:eastAsia="Times New Roman"/>
                <w:noProof/>
                <w:sz w:val="20"/>
                <w:szCs w:val="20"/>
              </w:rPr>
            </w:pPr>
            <w:r w:rsidRPr="00D207EA">
              <w:rPr>
                <w:noProof/>
                <w:color w:val="000000"/>
                <w:sz w:val="18"/>
              </w:rPr>
              <w:t>130 131,000</w:t>
            </w:r>
          </w:p>
        </w:tc>
        <w:tc>
          <w:tcPr>
            <w:tcW w:w="414" w:type="pct"/>
            <w:vAlign w:val="center"/>
            <w:hideMark/>
          </w:tcPr>
          <w:p w14:paraId="149F9D2D" w14:textId="77777777" w:rsidR="007B2694" w:rsidRPr="00D207EA" w:rsidRDefault="007B2694" w:rsidP="007B2694">
            <w:pPr>
              <w:spacing w:before="0" w:after="0"/>
              <w:jc w:val="left"/>
              <w:rPr>
                <w:rFonts w:eastAsia="Times New Roman"/>
                <w:noProof/>
                <w:sz w:val="20"/>
                <w:szCs w:val="20"/>
              </w:rPr>
            </w:pPr>
            <w:r w:rsidRPr="00D207EA">
              <w:rPr>
                <w:noProof/>
                <w:color w:val="000000"/>
                <w:sz w:val="18"/>
              </w:rPr>
              <w:t>127 411,000</w:t>
            </w:r>
          </w:p>
        </w:tc>
        <w:tc>
          <w:tcPr>
            <w:tcW w:w="413" w:type="pct"/>
            <w:vAlign w:val="center"/>
            <w:hideMark/>
          </w:tcPr>
          <w:p w14:paraId="4A5D8E87" w14:textId="77777777" w:rsidR="007B2694" w:rsidRPr="00D207EA" w:rsidRDefault="007B2694" w:rsidP="007B2694">
            <w:pPr>
              <w:spacing w:before="0" w:after="0"/>
              <w:jc w:val="left"/>
              <w:rPr>
                <w:rFonts w:eastAsia="Times New Roman"/>
                <w:noProof/>
                <w:sz w:val="20"/>
                <w:szCs w:val="20"/>
              </w:rPr>
            </w:pPr>
            <w:r w:rsidRPr="00D207EA">
              <w:rPr>
                <w:noProof/>
                <w:color w:val="000000"/>
                <w:sz w:val="18"/>
              </w:rPr>
              <w:t>123 879,000</w:t>
            </w:r>
          </w:p>
        </w:tc>
        <w:tc>
          <w:tcPr>
            <w:tcW w:w="414" w:type="pct"/>
            <w:vAlign w:val="center"/>
            <w:hideMark/>
          </w:tcPr>
          <w:p w14:paraId="0231C051" w14:textId="77777777" w:rsidR="007B2694" w:rsidRPr="00D207EA" w:rsidRDefault="007B2694" w:rsidP="007B2694">
            <w:pPr>
              <w:spacing w:before="0" w:after="0"/>
              <w:jc w:val="left"/>
              <w:rPr>
                <w:rFonts w:eastAsia="Times New Roman"/>
                <w:noProof/>
                <w:sz w:val="20"/>
                <w:szCs w:val="20"/>
              </w:rPr>
            </w:pPr>
            <w:r w:rsidRPr="00D207EA">
              <w:rPr>
                <w:noProof/>
                <w:color w:val="000000"/>
                <w:sz w:val="18"/>
              </w:rPr>
              <w:t>111 535,000</w:t>
            </w:r>
          </w:p>
        </w:tc>
        <w:tc>
          <w:tcPr>
            <w:tcW w:w="414" w:type="pct"/>
            <w:vAlign w:val="center"/>
            <w:hideMark/>
          </w:tcPr>
          <w:p w14:paraId="49AB8CC9" w14:textId="77777777" w:rsidR="007B2694" w:rsidRPr="00D207EA" w:rsidRDefault="007B2694" w:rsidP="007B2694">
            <w:pPr>
              <w:spacing w:before="0" w:after="0"/>
              <w:jc w:val="left"/>
              <w:rPr>
                <w:rFonts w:eastAsia="Times New Roman"/>
                <w:noProof/>
                <w:sz w:val="20"/>
                <w:szCs w:val="20"/>
              </w:rPr>
            </w:pPr>
            <w:r w:rsidRPr="00D207EA">
              <w:rPr>
                <w:noProof/>
                <w:color w:val="000000"/>
                <w:sz w:val="18"/>
              </w:rPr>
              <w:t>103 415,000</w:t>
            </w:r>
          </w:p>
        </w:tc>
        <w:tc>
          <w:tcPr>
            <w:tcW w:w="413" w:type="pct"/>
            <w:shd w:val="clear" w:color="000000" w:fill="D9D9D9"/>
            <w:vAlign w:val="center"/>
            <w:hideMark/>
          </w:tcPr>
          <w:p w14:paraId="5544DF0D" w14:textId="77777777" w:rsidR="007B2694" w:rsidRPr="00D207EA" w:rsidRDefault="007B2694" w:rsidP="007B2694">
            <w:pPr>
              <w:spacing w:before="0" w:after="0"/>
              <w:jc w:val="right"/>
              <w:rPr>
                <w:rFonts w:eastAsia="Times New Roman"/>
                <w:b/>
                <w:noProof/>
                <w:color w:val="000000"/>
                <w:sz w:val="20"/>
                <w:szCs w:val="20"/>
              </w:rPr>
            </w:pPr>
            <w:r w:rsidRPr="00D207EA">
              <w:rPr>
                <w:b/>
                <w:noProof/>
                <w:color w:val="000000"/>
                <w:sz w:val="18"/>
              </w:rPr>
              <w:t>865 076,000</w:t>
            </w:r>
          </w:p>
        </w:tc>
      </w:tr>
      <w:tr w:rsidR="001F3400" w:rsidRPr="00D207EA" w14:paraId="2995AC78" w14:textId="77777777" w:rsidTr="001F3400">
        <w:trPr>
          <w:trHeight w:val="300"/>
        </w:trPr>
        <w:tc>
          <w:tcPr>
            <w:tcW w:w="1029" w:type="pct"/>
            <w:vMerge/>
            <w:vAlign w:val="center"/>
            <w:hideMark/>
          </w:tcPr>
          <w:p w14:paraId="4F04D309" w14:textId="77777777" w:rsidR="007B2694" w:rsidRPr="00D207E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0720DBE9" w14:textId="77777777" w:rsidR="007B2694" w:rsidRPr="00D207EA" w:rsidRDefault="007B2694" w:rsidP="007B2694">
            <w:pPr>
              <w:spacing w:before="0" w:after="0"/>
              <w:rPr>
                <w:rFonts w:eastAsia="Times New Roman"/>
                <w:noProof/>
                <w:color w:val="000000"/>
                <w:sz w:val="18"/>
                <w:szCs w:val="18"/>
              </w:rPr>
            </w:pPr>
            <w:r w:rsidRPr="00D207EA">
              <w:rPr>
                <w:noProof/>
                <w:sz w:val="18"/>
              </w:rPr>
              <w:t>Paiements</w:t>
            </w:r>
          </w:p>
        </w:tc>
        <w:tc>
          <w:tcPr>
            <w:tcW w:w="242" w:type="pct"/>
            <w:vAlign w:val="center"/>
            <w:hideMark/>
          </w:tcPr>
          <w:p w14:paraId="12A132BE"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(2a)</w:t>
            </w:r>
          </w:p>
        </w:tc>
        <w:tc>
          <w:tcPr>
            <w:tcW w:w="414" w:type="pct"/>
            <w:vAlign w:val="center"/>
            <w:hideMark/>
          </w:tcPr>
          <w:p w14:paraId="4D24663C"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p.m.</w:t>
            </w:r>
          </w:p>
        </w:tc>
        <w:tc>
          <w:tcPr>
            <w:tcW w:w="414" w:type="pct"/>
            <w:vAlign w:val="center"/>
            <w:hideMark/>
          </w:tcPr>
          <w:p w14:paraId="0872E304"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3A7BD46A"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3B90B6AF"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39BD18B0"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2668EBDC"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222D1B2F"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37789FC2"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131E938C" w14:textId="77777777" w:rsidTr="001F3400">
        <w:trPr>
          <w:trHeight w:val="300"/>
        </w:trPr>
        <w:tc>
          <w:tcPr>
            <w:tcW w:w="1029" w:type="pct"/>
            <w:vMerge w:val="restart"/>
            <w:vAlign w:val="center"/>
            <w:hideMark/>
          </w:tcPr>
          <w:p w14:paraId="6E064D02" w14:textId="77777777" w:rsidR="007B2694" w:rsidRPr="00D207EA" w:rsidRDefault="007B2694" w:rsidP="007B2694">
            <w:pPr>
              <w:spacing w:before="0" w:after="0"/>
              <w:jc w:val="left"/>
              <w:rPr>
                <w:rFonts w:eastAsia="Times New Roman"/>
                <w:noProof/>
                <w:color w:val="000000"/>
                <w:sz w:val="20"/>
                <w:szCs w:val="20"/>
              </w:rPr>
            </w:pPr>
            <w:r w:rsidRPr="00D207EA">
              <w:rPr>
                <w:noProof/>
                <w:sz w:val="18"/>
              </w:rPr>
              <w:t>02.01 Soutien aux dépenses du Fonds de partenariat national et régional</w:t>
            </w:r>
          </w:p>
        </w:tc>
        <w:tc>
          <w:tcPr>
            <w:tcW w:w="462" w:type="pct"/>
            <w:vAlign w:val="center"/>
            <w:hideMark/>
          </w:tcPr>
          <w:p w14:paraId="02C548A1" w14:textId="77777777" w:rsidR="007B2694" w:rsidRPr="00D207EA" w:rsidRDefault="007B2694" w:rsidP="007B2694">
            <w:pPr>
              <w:spacing w:before="0" w:after="0"/>
              <w:rPr>
                <w:rFonts w:eastAsia="Times New Roman"/>
                <w:noProof/>
                <w:color w:val="000000"/>
                <w:sz w:val="18"/>
                <w:szCs w:val="18"/>
              </w:rPr>
            </w:pPr>
            <w:r w:rsidRPr="00D207EA">
              <w:rPr>
                <w:noProof/>
                <w:sz w:val="18"/>
              </w:rPr>
              <w:t>Engagements</w:t>
            </w:r>
          </w:p>
        </w:tc>
        <w:tc>
          <w:tcPr>
            <w:tcW w:w="242" w:type="pct"/>
            <w:vAlign w:val="center"/>
            <w:hideMark/>
          </w:tcPr>
          <w:p w14:paraId="6580088D"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(1a)</w:t>
            </w:r>
          </w:p>
        </w:tc>
        <w:tc>
          <w:tcPr>
            <w:tcW w:w="414" w:type="pct"/>
            <w:vAlign w:val="center"/>
            <w:hideMark/>
          </w:tcPr>
          <w:p w14:paraId="7BD4EEAD" w14:textId="77777777" w:rsidR="007B2694" w:rsidRPr="00D207E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32D55171"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3CA239C9"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368FB6C7"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4263B334"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05DEB39A"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4B9CC907"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58D8E037"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051C36D5" w14:textId="77777777" w:rsidTr="001F3400">
        <w:trPr>
          <w:trHeight w:val="300"/>
        </w:trPr>
        <w:tc>
          <w:tcPr>
            <w:tcW w:w="1029" w:type="pct"/>
            <w:vMerge/>
            <w:vAlign w:val="center"/>
            <w:hideMark/>
          </w:tcPr>
          <w:p w14:paraId="170F151D" w14:textId="77777777" w:rsidR="007B2694" w:rsidRPr="00D207E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38A9B64E" w14:textId="77777777" w:rsidR="007B2694" w:rsidRPr="00D207EA" w:rsidRDefault="007B2694" w:rsidP="007B2694">
            <w:pPr>
              <w:spacing w:before="0" w:after="0"/>
              <w:rPr>
                <w:rFonts w:eastAsia="Times New Roman"/>
                <w:noProof/>
                <w:color w:val="000000"/>
                <w:sz w:val="18"/>
                <w:szCs w:val="18"/>
              </w:rPr>
            </w:pPr>
            <w:r w:rsidRPr="00D207EA">
              <w:rPr>
                <w:noProof/>
                <w:sz w:val="18"/>
              </w:rPr>
              <w:t>Paiements</w:t>
            </w:r>
          </w:p>
        </w:tc>
        <w:tc>
          <w:tcPr>
            <w:tcW w:w="242" w:type="pct"/>
            <w:vAlign w:val="center"/>
            <w:hideMark/>
          </w:tcPr>
          <w:p w14:paraId="61C38DB9"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(2a)</w:t>
            </w:r>
          </w:p>
        </w:tc>
        <w:tc>
          <w:tcPr>
            <w:tcW w:w="414" w:type="pct"/>
            <w:vAlign w:val="center"/>
            <w:hideMark/>
          </w:tcPr>
          <w:p w14:paraId="2620E5AC" w14:textId="77777777" w:rsidR="007B2694" w:rsidRPr="00D207E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5717CDCD"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473F14E7"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5A11BD2E"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759370B0"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34570E1E"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0AC56A3F"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5289A217"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2B4739D4" w14:textId="77777777" w:rsidTr="001F3400">
        <w:trPr>
          <w:trHeight w:val="300"/>
        </w:trPr>
        <w:tc>
          <w:tcPr>
            <w:tcW w:w="1029" w:type="pct"/>
            <w:vMerge w:val="restart"/>
            <w:vAlign w:val="center"/>
            <w:hideMark/>
          </w:tcPr>
          <w:p w14:paraId="26704121" w14:textId="77777777" w:rsidR="007B2694" w:rsidRPr="00D207EA" w:rsidRDefault="007B2694" w:rsidP="007B2694">
            <w:pPr>
              <w:spacing w:before="0" w:after="0"/>
              <w:jc w:val="left"/>
              <w:rPr>
                <w:rFonts w:eastAsia="Times New Roman"/>
                <w:noProof/>
                <w:color w:val="000000"/>
                <w:sz w:val="20"/>
                <w:szCs w:val="20"/>
              </w:rPr>
            </w:pPr>
            <w:r w:rsidRPr="00D207EA">
              <w:rPr>
                <w:noProof/>
                <w:sz w:val="18"/>
              </w:rPr>
              <w:t>02.02 Plans de partenariat national et régional et plan Interreg – Dépenses opérationnelles</w:t>
            </w:r>
          </w:p>
        </w:tc>
        <w:tc>
          <w:tcPr>
            <w:tcW w:w="462" w:type="pct"/>
            <w:vAlign w:val="center"/>
            <w:hideMark/>
          </w:tcPr>
          <w:p w14:paraId="3B7F47DC" w14:textId="77777777" w:rsidR="007B2694" w:rsidRPr="00D207EA" w:rsidRDefault="007B2694" w:rsidP="007B2694">
            <w:pPr>
              <w:spacing w:before="0" w:after="0"/>
              <w:rPr>
                <w:rFonts w:eastAsia="Times New Roman"/>
                <w:noProof/>
                <w:color w:val="000000"/>
                <w:sz w:val="18"/>
                <w:szCs w:val="18"/>
              </w:rPr>
            </w:pPr>
            <w:r w:rsidRPr="00D207EA">
              <w:rPr>
                <w:noProof/>
                <w:sz w:val="18"/>
              </w:rPr>
              <w:t>Engagements</w:t>
            </w:r>
          </w:p>
        </w:tc>
        <w:tc>
          <w:tcPr>
            <w:tcW w:w="242" w:type="pct"/>
            <w:vAlign w:val="center"/>
            <w:hideMark/>
          </w:tcPr>
          <w:p w14:paraId="1CF49798"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(1a)</w:t>
            </w:r>
          </w:p>
        </w:tc>
        <w:tc>
          <w:tcPr>
            <w:tcW w:w="414" w:type="pct"/>
            <w:vAlign w:val="center"/>
            <w:hideMark/>
          </w:tcPr>
          <w:p w14:paraId="6E685F6F" w14:textId="77777777" w:rsidR="007B2694" w:rsidRPr="00D207EA" w:rsidRDefault="007B2694" w:rsidP="007B2694">
            <w:pPr>
              <w:spacing w:before="0" w:after="0"/>
              <w:jc w:val="center"/>
              <w:rPr>
                <w:rFonts w:eastAsia="Times New Roman"/>
                <w:noProof/>
                <w:color w:val="000000"/>
                <w:sz w:val="18"/>
                <w:szCs w:val="18"/>
              </w:rPr>
            </w:pPr>
            <w:r w:rsidRPr="00D207EA">
              <w:rPr>
                <w:noProof/>
                <w:color w:val="000000"/>
                <w:sz w:val="18"/>
              </w:rPr>
              <w:t>123 887,000</w:t>
            </w:r>
          </w:p>
        </w:tc>
        <w:tc>
          <w:tcPr>
            <w:tcW w:w="414" w:type="pct"/>
            <w:vAlign w:val="center"/>
            <w:hideMark/>
          </w:tcPr>
          <w:p w14:paraId="35220E86" w14:textId="77777777" w:rsidR="007B2694" w:rsidRPr="00D207EA" w:rsidRDefault="007B2694" w:rsidP="007B2694">
            <w:pPr>
              <w:spacing w:before="0" w:after="0"/>
              <w:jc w:val="left"/>
              <w:rPr>
                <w:rFonts w:eastAsia="Times New Roman"/>
                <w:noProof/>
                <w:sz w:val="20"/>
                <w:szCs w:val="20"/>
              </w:rPr>
            </w:pPr>
            <w:r w:rsidRPr="00D207EA">
              <w:rPr>
                <w:noProof/>
                <w:color w:val="000000"/>
                <w:sz w:val="18"/>
              </w:rPr>
              <w:t>122 988,000</w:t>
            </w:r>
          </w:p>
        </w:tc>
        <w:tc>
          <w:tcPr>
            <w:tcW w:w="373" w:type="pct"/>
            <w:vAlign w:val="center"/>
            <w:hideMark/>
          </w:tcPr>
          <w:p w14:paraId="7694056A" w14:textId="77777777" w:rsidR="007B2694" w:rsidRPr="00D207EA" w:rsidRDefault="007B2694" w:rsidP="007B2694">
            <w:pPr>
              <w:spacing w:before="0" w:after="0"/>
              <w:jc w:val="left"/>
              <w:rPr>
                <w:rFonts w:eastAsia="Times New Roman"/>
                <w:noProof/>
                <w:sz w:val="20"/>
                <w:szCs w:val="20"/>
              </w:rPr>
            </w:pPr>
            <w:r w:rsidRPr="00D207EA">
              <w:rPr>
                <w:noProof/>
                <w:color w:val="000000"/>
                <w:sz w:val="18"/>
              </w:rPr>
              <w:t>120 223,000</w:t>
            </w:r>
          </w:p>
        </w:tc>
        <w:tc>
          <w:tcPr>
            <w:tcW w:w="414" w:type="pct"/>
            <w:vAlign w:val="center"/>
            <w:hideMark/>
          </w:tcPr>
          <w:p w14:paraId="27A0B270" w14:textId="77777777" w:rsidR="007B2694" w:rsidRPr="00D207EA" w:rsidRDefault="007B2694" w:rsidP="007B2694">
            <w:pPr>
              <w:spacing w:before="0" w:after="0"/>
              <w:jc w:val="left"/>
              <w:rPr>
                <w:rFonts w:eastAsia="Times New Roman"/>
                <w:noProof/>
                <w:sz w:val="20"/>
                <w:szCs w:val="20"/>
              </w:rPr>
            </w:pPr>
            <w:r w:rsidRPr="00D207EA">
              <w:rPr>
                <w:noProof/>
                <w:color w:val="000000"/>
                <w:sz w:val="18"/>
              </w:rPr>
              <w:t>117 315,000</w:t>
            </w:r>
          </w:p>
        </w:tc>
        <w:tc>
          <w:tcPr>
            <w:tcW w:w="413" w:type="pct"/>
            <w:vAlign w:val="center"/>
            <w:hideMark/>
          </w:tcPr>
          <w:p w14:paraId="5AEA4123" w14:textId="77777777" w:rsidR="007B2694" w:rsidRPr="00D207EA" w:rsidRDefault="007B2694" w:rsidP="007B2694">
            <w:pPr>
              <w:spacing w:before="0" w:after="0"/>
              <w:jc w:val="left"/>
              <w:rPr>
                <w:rFonts w:eastAsia="Times New Roman"/>
                <w:noProof/>
                <w:sz w:val="20"/>
                <w:szCs w:val="20"/>
              </w:rPr>
            </w:pPr>
            <w:r w:rsidRPr="00D207EA">
              <w:rPr>
                <w:noProof/>
                <w:color w:val="000000"/>
                <w:sz w:val="18"/>
              </w:rPr>
              <w:t>114 259,000</w:t>
            </w:r>
          </w:p>
        </w:tc>
        <w:tc>
          <w:tcPr>
            <w:tcW w:w="414" w:type="pct"/>
            <w:vAlign w:val="center"/>
            <w:hideMark/>
          </w:tcPr>
          <w:p w14:paraId="67D1BC5F" w14:textId="77777777" w:rsidR="007B2694" w:rsidRPr="00D207EA" w:rsidRDefault="007B2694" w:rsidP="007B2694">
            <w:pPr>
              <w:spacing w:before="0" w:after="0"/>
              <w:jc w:val="left"/>
              <w:rPr>
                <w:rFonts w:eastAsia="Times New Roman"/>
                <w:noProof/>
                <w:sz w:val="20"/>
                <w:szCs w:val="20"/>
              </w:rPr>
            </w:pPr>
            <w:r w:rsidRPr="00D207EA">
              <w:rPr>
                <w:noProof/>
                <w:color w:val="000000"/>
                <w:sz w:val="18"/>
              </w:rPr>
              <w:t>101 388,000</w:t>
            </w:r>
          </w:p>
        </w:tc>
        <w:tc>
          <w:tcPr>
            <w:tcW w:w="414" w:type="pct"/>
            <w:vAlign w:val="center"/>
            <w:hideMark/>
          </w:tcPr>
          <w:p w14:paraId="74346E7C" w14:textId="77777777" w:rsidR="007B2694" w:rsidRPr="00D207EA" w:rsidRDefault="007B2694" w:rsidP="007B2694">
            <w:pPr>
              <w:spacing w:before="0" w:after="0"/>
              <w:jc w:val="left"/>
              <w:rPr>
                <w:rFonts w:eastAsia="Times New Roman"/>
                <w:noProof/>
                <w:sz w:val="20"/>
                <w:szCs w:val="20"/>
              </w:rPr>
            </w:pPr>
            <w:r w:rsidRPr="00D207EA">
              <w:rPr>
                <w:noProof/>
                <w:color w:val="000000"/>
                <w:sz w:val="18"/>
              </w:rPr>
              <w:t>93 083,000</w:t>
            </w:r>
          </w:p>
        </w:tc>
        <w:tc>
          <w:tcPr>
            <w:tcW w:w="413" w:type="pct"/>
            <w:shd w:val="clear" w:color="000000" w:fill="D9D9D9"/>
            <w:vAlign w:val="center"/>
            <w:hideMark/>
          </w:tcPr>
          <w:p w14:paraId="1A7F936B" w14:textId="77777777" w:rsidR="007B2694" w:rsidRPr="00D207EA" w:rsidRDefault="007B2694" w:rsidP="007B2694">
            <w:pPr>
              <w:spacing w:before="0" w:after="0"/>
              <w:jc w:val="right"/>
              <w:rPr>
                <w:rFonts w:eastAsia="Times New Roman"/>
                <w:b/>
                <w:noProof/>
                <w:color w:val="000000"/>
                <w:sz w:val="20"/>
                <w:szCs w:val="20"/>
              </w:rPr>
            </w:pPr>
            <w:r w:rsidRPr="00D207EA">
              <w:rPr>
                <w:b/>
                <w:noProof/>
                <w:color w:val="000000"/>
                <w:sz w:val="18"/>
              </w:rPr>
              <w:t>793 143,000</w:t>
            </w:r>
          </w:p>
        </w:tc>
      </w:tr>
      <w:tr w:rsidR="001F3400" w:rsidRPr="00D207EA" w14:paraId="574979AB" w14:textId="77777777" w:rsidTr="001F3400">
        <w:trPr>
          <w:trHeight w:val="300"/>
        </w:trPr>
        <w:tc>
          <w:tcPr>
            <w:tcW w:w="1029" w:type="pct"/>
            <w:vMerge/>
            <w:vAlign w:val="center"/>
            <w:hideMark/>
          </w:tcPr>
          <w:p w14:paraId="66823834" w14:textId="77777777" w:rsidR="007B2694" w:rsidRPr="00D207E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2CB319F4" w14:textId="77777777" w:rsidR="007B2694" w:rsidRPr="00D207EA" w:rsidRDefault="007B2694" w:rsidP="007B2694">
            <w:pPr>
              <w:spacing w:before="0" w:after="0"/>
              <w:rPr>
                <w:rFonts w:eastAsia="Times New Roman"/>
                <w:noProof/>
                <w:color w:val="000000"/>
                <w:sz w:val="18"/>
                <w:szCs w:val="18"/>
              </w:rPr>
            </w:pPr>
            <w:r w:rsidRPr="00D207EA">
              <w:rPr>
                <w:noProof/>
                <w:sz w:val="18"/>
              </w:rPr>
              <w:t>Paiements</w:t>
            </w:r>
          </w:p>
        </w:tc>
        <w:tc>
          <w:tcPr>
            <w:tcW w:w="242" w:type="pct"/>
            <w:vAlign w:val="center"/>
            <w:hideMark/>
          </w:tcPr>
          <w:p w14:paraId="6DF7712A"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(2a)</w:t>
            </w:r>
          </w:p>
        </w:tc>
        <w:tc>
          <w:tcPr>
            <w:tcW w:w="414" w:type="pct"/>
            <w:vAlign w:val="center"/>
            <w:hideMark/>
          </w:tcPr>
          <w:p w14:paraId="48BD5C0E"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p.m.</w:t>
            </w:r>
          </w:p>
        </w:tc>
        <w:tc>
          <w:tcPr>
            <w:tcW w:w="414" w:type="pct"/>
            <w:vAlign w:val="center"/>
            <w:hideMark/>
          </w:tcPr>
          <w:p w14:paraId="23817269"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380EDA25"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2CD39988"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4CB5B2F3"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719EE51F"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77C8D616"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6ECA05B2"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651BBF43" w14:textId="77777777" w:rsidTr="001F3400">
        <w:trPr>
          <w:trHeight w:val="300"/>
        </w:trPr>
        <w:tc>
          <w:tcPr>
            <w:tcW w:w="1029" w:type="pct"/>
            <w:vMerge w:val="restart"/>
            <w:vAlign w:val="center"/>
            <w:hideMark/>
          </w:tcPr>
          <w:p w14:paraId="38CD86A3" w14:textId="77777777" w:rsidR="007B2694" w:rsidRPr="00D207EA" w:rsidRDefault="007B2694" w:rsidP="007B2694">
            <w:pPr>
              <w:spacing w:before="0" w:after="0"/>
              <w:jc w:val="left"/>
              <w:rPr>
                <w:rFonts w:eastAsia="Times New Roman"/>
                <w:noProof/>
                <w:color w:val="000000"/>
                <w:sz w:val="20"/>
                <w:szCs w:val="20"/>
              </w:rPr>
            </w:pPr>
            <w:r w:rsidRPr="00D207EA">
              <w:rPr>
                <w:noProof/>
                <w:sz w:val="18"/>
              </w:rPr>
              <w:t>02.02.01 Prospérité durable de l’Europe</w:t>
            </w:r>
          </w:p>
        </w:tc>
        <w:tc>
          <w:tcPr>
            <w:tcW w:w="462" w:type="pct"/>
            <w:vAlign w:val="center"/>
            <w:hideMark/>
          </w:tcPr>
          <w:p w14:paraId="3FB2FC2C" w14:textId="77777777" w:rsidR="007B2694" w:rsidRPr="00D207EA" w:rsidRDefault="007B2694" w:rsidP="007B2694">
            <w:pPr>
              <w:spacing w:before="0" w:after="0"/>
              <w:rPr>
                <w:rFonts w:eastAsia="Times New Roman"/>
                <w:noProof/>
                <w:color w:val="000000"/>
                <w:sz w:val="18"/>
                <w:szCs w:val="18"/>
              </w:rPr>
            </w:pPr>
            <w:r w:rsidRPr="00D207EA">
              <w:rPr>
                <w:noProof/>
                <w:sz w:val="18"/>
              </w:rPr>
              <w:t>Engagements</w:t>
            </w:r>
          </w:p>
        </w:tc>
        <w:tc>
          <w:tcPr>
            <w:tcW w:w="242" w:type="pct"/>
            <w:vAlign w:val="center"/>
            <w:hideMark/>
          </w:tcPr>
          <w:p w14:paraId="5080FF79"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(1a)</w:t>
            </w:r>
          </w:p>
        </w:tc>
        <w:tc>
          <w:tcPr>
            <w:tcW w:w="414" w:type="pct"/>
            <w:vAlign w:val="center"/>
            <w:hideMark/>
          </w:tcPr>
          <w:p w14:paraId="7FD5967A" w14:textId="77777777" w:rsidR="007B2694" w:rsidRPr="00D207E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3FFAB823"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1076ED43"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3D78CEF3"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5EA80F2D"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705B1573"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7152D064"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111170A9"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257D3BE3" w14:textId="77777777" w:rsidTr="001F3400">
        <w:trPr>
          <w:trHeight w:val="300"/>
        </w:trPr>
        <w:tc>
          <w:tcPr>
            <w:tcW w:w="1029" w:type="pct"/>
            <w:vMerge/>
            <w:vAlign w:val="center"/>
            <w:hideMark/>
          </w:tcPr>
          <w:p w14:paraId="74854C32" w14:textId="77777777" w:rsidR="007B2694" w:rsidRPr="00D207E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38C918B8" w14:textId="77777777" w:rsidR="007B2694" w:rsidRPr="00D207EA" w:rsidRDefault="007B2694" w:rsidP="007B2694">
            <w:pPr>
              <w:spacing w:before="0" w:after="0"/>
              <w:rPr>
                <w:rFonts w:eastAsia="Times New Roman"/>
                <w:noProof/>
                <w:color w:val="000000"/>
                <w:sz w:val="18"/>
                <w:szCs w:val="18"/>
              </w:rPr>
            </w:pPr>
            <w:r w:rsidRPr="00D207EA">
              <w:rPr>
                <w:noProof/>
                <w:sz w:val="18"/>
              </w:rPr>
              <w:t>Paiements</w:t>
            </w:r>
          </w:p>
        </w:tc>
        <w:tc>
          <w:tcPr>
            <w:tcW w:w="242" w:type="pct"/>
            <w:vAlign w:val="center"/>
            <w:hideMark/>
          </w:tcPr>
          <w:p w14:paraId="15C61CBE"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(2a)</w:t>
            </w:r>
          </w:p>
        </w:tc>
        <w:tc>
          <w:tcPr>
            <w:tcW w:w="414" w:type="pct"/>
            <w:vAlign w:val="center"/>
            <w:hideMark/>
          </w:tcPr>
          <w:p w14:paraId="6C496CF4" w14:textId="77777777" w:rsidR="007B2694" w:rsidRPr="00D207E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57E5B4DD"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2258759A"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36A45D54"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5A9D24D3"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599A8D2A"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19266E49"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72619AD1"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2FFAE890" w14:textId="77777777" w:rsidTr="001F3400">
        <w:trPr>
          <w:trHeight w:val="300"/>
        </w:trPr>
        <w:tc>
          <w:tcPr>
            <w:tcW w:w="1029" w:type="pct"/>
            <w:vMerge w:val="restart"/>
            <w:vAlign w:val="center"/>
            <w:hideMark/>
          </w:tcPr>
          <w:p w14:paraId="506F45F6" w14:textId="77777777" w:rsidR="007B2694" w:rsidRPr="00D207EA" w:rsidRDefault="007B2694" w:rsidP="007B2694">
            <w:pPr>
              <w:spacing w:before="0" w:after="0"/>
              <w:jc w:val="left"/>
              <w:rPr>
                <w:rFonts w:eastAsia="Times New Roman"/>
                <w:noProof/>
                <w:color w:val="000000"/>
                <w:sz w:val="20"/>
                <w:szCs w:val="20"/>
              </w:rPr>
            </w:pPr>
            <w:r w:rsidRPr="00D207EA">
              <w:rPr>
                <w:noProof/>
                <w:sz w:val="18"/>
              </w:rPr>
              <w:t>02.02.02 Capacités de défense et sécurité de l’Europe</w:t>
            </w:r>
          </w:p>
        </w:tc>
        <w:tc>
          <w:tcPr>
            <w:tcW w:w="462" w:type="pct"/>
            <w:vAlign w:val="center"/>
            <w:hideMark/>
          </w:tcPr>
          <w:p w14:paraId="57DBC7AE" w14:textId="77777777" w:rsidR="007B2694" w:rsidRPr="00D207EA" w:rsidRDefault="007B2694" w:rsidP="007B2694">
            <w:pPr>
              <w:spacing w:before="0" w:after="0"/>
              <w:rPr>
                <w:rFonts w:eastAsia="Times New Roman"/>
                <w:noProof/>
                <w:color w:val="000000"/>
                <w:sz w:val="18"/>
                <w:szCs w:val="18"/>
              </w:rPr>
            </w:pPr>
            <w:r w:rsidRPr="00D207EA">
              <w:rPr>
                <w:noProof/>
                <w:sz w:val="18"/>
              </w:rPr>
              <w:t>Engagements</w:t>
            </w:r>
          </w:p>
        </w:tc>
        <w:tc>
          <w:tcPr>
            <w:tcW w:w="242" w:type="pct"/>
            <w:vAlign w:val="center"/>
            <w:hideMark/>
          </w:tcPr>
          <w:p w14:paraId="25884BD5"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(1a)</w:t>
            </w:r>
          </w:p>
        </w:tc>
        <w:tc>
          <w:tcPr>
            <w:tcW w:w="414" w:type="pct"/>
            <w:vAlign w:val="center"/>
            <w:hideMark/>
          </w:tcPr>
          <w:p w14:paraId="78D1FA40" w14:textId="77777777" w:rsidR="007B2694" w:rsidRPr="00D207E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2A7A5B38"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330A3176"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29184599"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2332CE3C"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6F1E8A7E"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01B3F48B"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6FB93A35"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5CF0F279" w14:textId="77777777" w:rsidTr="001F3400">
        <w:trPr>
          <w:trHeight w:val="300"/>
        </w:trPr>
        <w:tc>
          <w:tcPr>
            <w:tcW w:w="1029" w:type="pct"/>
            <w:vMerge/>
            <w:vAlign w:val="center"/>
            <w:hideMark/>
          </w:tcPr>
          <w:p w14:paraId="47B896AE" w14:textId="77777777" w:rsidR="007B2694" w:rsidRPr="00D207E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0F797E29" w14:textId="77777777" w:rsidR="007B2694" w:rsidRPr="00D207EA" w:rsidRDefault="007B2694" w:rsidP="007B2694">
            <w:pPr>
              <w:spacing w:before="0" w:after="0"/>
              <w:rPr>
                <w:rFonts w:eastAsia="Times New Roman"/>
                <w:noProof/>
                <w:color w:val="000000"/>
                <w:sz w:val="18"/>
                <w:szCs w:val="18"/>
              </w:rPr>
            </w:pPr>
            <w:r w:rsidRPr="00D207EA">
              <w:rPr>
                <w:noProof/>
                <w:sz w:val="18"/>
              </w:rPr>
              <w:t>Paiements</w:t>
            </w:r>
          </w:p>
        </w:tc>
        <w:tc>
          <w:tcPr>
            <w:tcW w:w="242" w:type="pct"/>
            <w:vAlign w:val="center"/>
            <w:hideMark/>
          </w:tcPr>
          <w:p w14:paraId="42E9A26B"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(2a)</w:t>
            </w:r>
          </w:p>
        </w:tc>
        <w:tc>
          <w:tcPr>
            <w:tcW w:w="414" w:type="pct"/>
            <w:vAlign w:val="center"/>
            <w:hideMark/>
          </w:tcPr>
          <w:p w14:paraId="1808AD34" w14:textId="77777777" w:rsidR="007B2694" w:rsidRPr="00D207E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1FE95E90"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56DD7667"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09144130"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691573E6"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770C37DC"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2AC7F60C"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5436FF67"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2C52BA2D" w14:textId="77777777" w:rsidTr="001F3400">
        <w:trPr>
          <w:trHeight w:val="300"/>
        </w:trPr>
        <w:tc>
          <w:tcPr>
            <w:tcW w:w="1029" w:type="pct"/>
            <w:vMerge w:val="restart"/>
            <w:vAlign w:val="center"/>
            <w:hideMark/>
          </w:tcPr>
          <w:p w14:paraId="229306EB" w14:textId="77777777" w:rsidR="007B2694" w:rsidRPr="00D207EA" w:rsidRDefault="007B2694" w:rsidP="007B2694">
            <w:pPr>
              <w:spacing w:before="0" w:after="0"/>
              <w:jc w:val="left"/>
              <w:rPr>
                <w:rFonts w:eastAsia="Times New Roman"/>
                <w:noProof/>
                <w:color w:val="000000"/>
                <w:sz w:val="20"/>
                <w:szCs w:val="20"/>
              </w:rPr>
            </w:pPr>
            <w:r w:rsidRPr="00D207EA">
              <w:rPr>
                <w:noProof/>
                <w:sz w:val="18"/>
              </w:rPr>
              <w:t>02.02.02.01 Migration, asile, gestion des frontières, visas et sécurité intérieure</w:t>
            </w:r>
          </w:p>
        </w:tc>
        <w:tc>
          <w:tcPr>
            <w:tcW w:w="462" w:type="pct"/>
            <w:vAlign w:val="center"/>
            <w:hideMark/>
          </w:tcPr>
          <w:p w14:paraId="7D7D1B9E" w14:textId="77777777" w:rsidR="007B2694" w:rsidRPr="00D207EA" w:rsidRDefault="007B2694" w:rsidP="007B2694">
            <w:pPr>
              <w:spacing w:before="0" w:after="0"/>
              <w:rPr>
                <w:rFonts w:eastAsia="Times New Roman"/>
                <w:noProof/>
                <w:color w:val="000000"/>
                <w:sz w:val="18"/>
                <w:szCs w:val="18"/>
              </w:rPr>
            </w:pPr>
            <w:r w:rsidRPr="00D207EA">
              <w:rPr>
                <w:noProof/>
                <w:sz w:val="18"/>
              </w:rPr>
              <w:t>Engagements</w:t>
            </w:r>
          </w:p>
        </w:tc>
        <w:tc>
          <w:tcPr>
            <w:tcW w:w="242" w:type="pct"/>
            <w:vAlign w:val="center"/>
            <w:hideMark/>
          </w:tcPr>
          <w:p w14:paraId="439969B8"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(1a)</w:t>
            </w:r>
          </w:p>
        </w:tc>
        <w:tc>
          <w:tcPr>
            <w:tcW w:w="414" w:type="pct"/>
            <w:vAlign w:val="center"/>
            <w:hideMark/>
          </w:tcPr>
          <w:p w14:paraId="6F799248"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5 847,000</w:t>
            </w:r>
          </w:p>
        </w:tc>
        <w:tc>
          <w:tcPr>
            <w:tcW w:w="414" w:type="pct"/>
            <w:vAlign w:val="center"/>
            <w:hideMark/>
          </w:tcPr>
          <w:p w14:paraId="25EDB737" w14:textId="77777777" w:rsidR="007B2694" w:rsidRPr="00D207EA" w:rsidRDefault="007B2694" w:rsidP="007B2694">
            <w:pPr>
              <w:spacing w:before="0" w:after="0"/>
              <w:jc w:val="left"/>
              <w:rPr>
                <w:rFonts w:eastAsia="Times New Roman"/>
                <w:noProof/>
                <w:sz w:val="20"/>
                <w:szCs w:val="20"/>
              </w:rPr>
            </w:pPr>
            <w:r w:rsidRPr="00D207EA">
              <w:rPr>
                <w:noProof/>
                <w:sz w:val="18"/>
              </w:rPr>
              <w:t>5 633,000</w:t>
            </w:r>
          </w:p>
        </w:tc>
        <w:tc>
          <w:tcPr>
            <w:tcW w:w="373" w:type="pct"/>
            <w:vAlign w:val="center"/>
            <w:hideMark/>
          </w:tcPr>
          <w:p w14:paraId="2B9A718E" w14:textId="77777777" w:rsidR="007B2694" w:rsidRPr="00D207EA" w:rsidRDefault="007B2694" w:rsidP="007B2694">
            <w:pPr>
              <w:spacing w:before="0" w:after="0"/>
              <w:jc w:val="left"/>
              <w:rPr>
                <w:rFonts w:eastAsia="Times New Roman"/>
                <w:noProof/>
                <w:sz w:val="20"/>
                <w:szCs w:val="20"/>
              </w:rPr>
            </w:pPr>
            <w:r w:rsidRPr="00D207EA">
              <w:rPr>
                <w:noProof/>
                <w:sz w:val="18"/>
              </w:rPr>
              <w:t>5 407,000</w:t>
            </w:r>
          </w:p>
        </w:tc>
        <w:tc>
          <w:tcPr>
            <w:tcW w:w="414" w:type="pct"/>
            <w:vAlign w:val="center"/>
            <w:hideMark/>
          </w:tcPr>
          <w:p w14:paraId="5F030D61" w14:textId="77777777" w:rsidR="007B2694" w:rsidRPr="00D207EA" w:rsidRDefault="007B2694" w:rsidP="007B2694">
            <w:pPr>
              <w:spacing w:before="0" w:after="0"/>
              <w:jc w:val="left"/>
              <w:rPr>
                <w:rFonts w:eastAsia="Times New Roman"/>
                <w:noProof/>
                <w:sz w:val="20"/>
                <w:szCs w:val="20"/>
              </w:rPr>
            </w:pPr>
            <w:r w:rsidRPr="00D207EA">
              <w:rPr>
                <w:noProof/>
                <w:sz w:val="18"/>
              </w:rPr>
              <w:t>5 170,000</w:t>
            </w:r>
          </w:p>
        </w:tc>
        <w:tc>
          <w:tcPr>
            <w:tcW w:w="413" w:type="pct"/>
            <w:vAlign w:val="center"/>
            <w:hideMark/>
          </w:tcPr>
          <w:p w14:paraId="1325364E" w14:textId="77777777" w:rsidR="007B2694" w:rsidRPr="00D207EA" w:rsidRDefault="007B2694" w:rsidP="007B2694">
            <w:pPr>
              <w:spacing w:before="0" w:after="0"/>
              <w:jc w:val="left"/>
              <w:rPr>
                <w:rFonts w:eastAsia="Times New Roman"/>
                <w:noProof/>
                <w:sz w:val="20"/>
                <w:szCs w:val="20"/>
              </w:rPr>
            </w:pPr>
            <w:r w:rsidRPr="00D207EA">
              <w:rPr>
                <w:noProof/>
                <w:sz w:val="18"/>
              </w:rPr>
              <w:t>4 922,000</w:t>
            </w:r>
          </w:p>
        </w:tc>
        <w:tc>
          <w:tcPr>
            <w:tcW w:w="414" w:type="pct"/>
            <w:vAlign w:val="center"/>
            <w:hideMark/>
          </w:tcPr>
          <w:p w14:paraId="15A10FAD" w14:textId="77777777" w:rsidR="007B2694" w:rsidRPr="00D207EA" w:rsidRDefault="007B2694" w:rsidP="007B2694">
            <w:pPr>
              <w:spacing w:before="0" w:after="0"/>
              <w:jc w:val="left"/>
              <w:rPr>
                <w:rFonts w:eastAsia="Times New Roman"/>
                <w:noProof/>
                <w:sz w:val="20"/>
                <w:szCs w:val="20"/>
              </w:rPr>
            </w:pPr>
            <w:r w:rsidRPr="00D207EA">
              <w:rPr>
                <w:noProof/>
                <w:sz w:val="18"/>
              </w:rPr>
              <w:t>3 945,000</w:t>
            </w:r>
          </w:p>
        </w:tc>
        <w:tc>
          <w:tcPr>
            <w:tcW w:w="414" w:type="pct"/>
            <w:vAlign w:val="center"/>
            <w:hideMark/>
          </w:tcPr>
          <w:p w14:paraId="5EE3224F" w14:textId="77777777" w:rsidR="007B2694" w:rsidRPr="00D207EA" w:rsidRDefault="007B2694" w:rsidP="007B2694">
            <w:pPr>
              <w:spacing w:before="0" w:after="0"/>
              <w:jc w:val="left"/>
              <w:rPr>
                <w:rFonts w:eastAsia="Times New Roman"/>
                <w:noProof/>
                <w:sz w:val="20"/>
                <w:szCs w:val="20"/>
              </w:rPr>
            </w:pPr>
            <w:r w:rsidRPr="00D207EA">
              <w:rPr>
                <w:noProof/>
                <w:sz w:val="18"/>
              </w:rPr>
              <w:t>3 291,510</w:t>
            </w:r>
          </w:p>
        </w:tc>
        <w:tc>
          <w:tcPr>
            <w:tcW w:w="413" w:type="pct"/>
            <w:shd w:val="clear" w:color="000000" w:fill="D9D9D9"/>
            <w:vAlign w:val="center"/>
            <w:hideMark/>
          </w:tcPr>
          <w:p w14:paraId="4AA80EF5"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34 215,510</w:t>
            </w:r>
          </w:p>
        </w:tc>
      </w:tr>
      <w:tr w:rsidR="001F3400" w:rsidRPr="00D207EA" w14:paraId="00FC92C6" w14:textId="77777777" w:rsidTr="001F3400">
        <w:trPr>
          <w:trHeight w:val="300"/>
        </w:trPr>
        <w:tc>
          <w:tcPr>
            <w:tcW w:w="1029" w:type="pct"/>
            <w:vMerge/>
            <w:vAlign w:val="center"/>
            <w:hideMark/>
          </w:tcPr>
          <w:p w14:paraId="7CBD1CC5" w14:textId="77777777" w:rsidR="007B2694" w:rsidRPr="00D207E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7E05BC41" w14:textId="77777777" w:rsidR="007B2694" w:rsidRPr="00D207EA" w:rsidRDefault="007B2694" w:rsidP="007B2694">
            <w:pPr>
              <w:spacing w:before="0" w:after="0"/>
              <w:rPr>
                <w:rFonts w:eastAsia="Times New Roman"/>
                <w:noProof/>
                <w:color w:val="000000"/>
                <w:sz w:val="18"/>
                <w:szCs w:val="18"/>
              </w:rPr>
            </w:pPr>
            <w:r w:rsidRPr="00D207EA">
              <w:rPr>
                <w:noProof/>
                <w:sz w:val="18"/>
              </w:rPr>
              <w:t>Paiements</w:t>
            </w:r>
          </w:p>
        </w:tc>
        <w:tc>
          <w:tcPr>
            <w:tcW w:w="242" w:type="pct"/>
            <w:vAlign w:val="center"/>
            <w:hideMark/>
          </w:tcPr>
          <w:p w14:paraId="3D141235"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(2a)</w:t>
            </w:r>
          </w:p>
        </w:tc>
        <w:tc>
          <w:tcPr>
            <w:tcW w:w="414" w:type="pct"/>
            <w:vAlign w:val="center"/>
            <w:hideMark/>
          </w:tcPr>
          <w:p w14:paraId="460B5A30"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p.m.</w:t>
            </w:r>
          </w:p>
        </w:tc>
        <w:tc>
          <w:tcPr>
            <w:tcW w:w="414" w:type="pct"/>
            <w:vAlign w:val="center"/>
            <w:hideMark/>
          </w:tcPr>
          <w:p w14:paraId="3C8FC299"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72293548"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31EDF2DC"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108AA463"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31D121DD"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3F0CE218"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6C4A7F25"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01FB95B6" w14:textId="77777777" w:rsidTr="001F3400">
        <w:trPr>
          <w:trHeight w:val="300"/>
        </w:trPr>
        <w:tc>
          <w:tcPr>
            <w:tcW w:w="1029" w:type="pct"/>
            <w:vMerge w:val="restart"/>
            <w:vAlign w:val="center"/>
            <w:hideMark/>
          </w:tcPr>
          <w:p w14:paraId="749771CB" w14:textId="77777777" w:rsidR="007B2694" w:rsidRPr="00D207EA" w:rsidRDefault="007B2694" w:rsidP="007B2694">
            <w:pPr>
              <w:spacing w:before="0" w:after="0"/>
              <w:jc w:val="left"/>
              <w:rPr>
                <w:rFonts w:eastAsia="Times New Roman"/>
                <w:noProof/>
                <w:color w:val="000000"/>
                <w:sz w:val="20"/>
                <w:szCs w:val="20"/>
              </w:rPr>
            </w:pPr>
            <w:r w:rsidRPr="00D207EA">
              <w:rPr>
                <w:noProof/>
                <w:sz w:val="18"/>
              </w:rPr>
              <w:t>02.02.02.02 Autres</w:t>
            </w:r>
          </w:p>
        </w:tc>
        <w:tc>
          <w:tcPr>
            <w:tcW w:w="462" w:type="pct"/>
            <w:vAlign w:val="center"/>
            <w:hideMark/>
          </w:tcPr>
          <w:p w14:paraId="70F57DF8" w14:textId="77777777" w:rsidR="007B2694" w:rsidRPr="00D207EA" w:rsidRDefault="007B2694" w:rsidP="007B2694">
            <w:pPr>
              <w:spacing w:before="0" w:after="0"/>
              <w:rPr>
                <w:rFonts w:eastAsia="Times New Roman"/>
                <w:noProof/>
                <w:color w:val="000000"/>
                <w:sz w:val="18"/>
                <w:szCs w:val="18"/>
              </w:rPr>
            </w:pPr>
            <w:r w:rsidRPr="00D207EA">
              <w:rPr>
                <w:noProof/>
                <w:sz w:val="18"/>
              </w:rPr>
              <w:t>Engagements</w:t>
            </w:r>
          </w:p>
        </w:tc>
        <w:tc>
          <w:tcPr>
            <w:tcW w:w="242" w:type="pct"/>
            <w:vAlign w:val="center"/>
            <w:hideMark/>
          </w:tcPr>
          <w:p w14:paraId="14EE76D4"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(1a)</w:t>
            </w:r>
          </w:p>
        </w:tc>
        <w:tc>
          <w:tcPr>
            <w:tcW w:w="414" w:type="pct"/>
            <w:vAlign w:val="center"/>
            <w:hideMark/>
          </w:tcPr>
          <w:p w14:paraId="1B514D81" w14:textId="77777777" w:rsidR="007B2694" w:rsidRPr="00D207E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191700F8"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228CD8ED"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106AC3BB"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6AE3A949"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3AE232E1"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12C6C82B"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6EF9D8B5"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6579B7BF" w14:textId="77777777" w:rsidTr="001F3400">
        <w:trPr>
          <w:trHeight w:val="300"/>
        </w:trPr>
        <w:tc>
          <w:tcPr>
            <w:tcW w:w="1029" w:type="pct"/>
            <w:vMerge/>
            <w:vAlign w:val="center"/>
            <w:hideMark/>
          </w:tcPr>
          <w:p w14:paraId="2BAB27A2" w14:textId="77777777" w:rsidR="007B2694" w:rsidRPr="00D207E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601C3463" w14:textId="77777777" w:rsidR="007B2694" w:rsidRPr="00D207EA" w:rsidRDefault="007B2694" w:rsidP="007B2694">
            <w:pPr>
              <w:spacing w:before="0" w:after="0"/>
              <w:rPr>
                <w:rFonts w:eastAsia="Times New Roman"/>
                <w:noProof/>
                <w:color w:val="000000"/>
                <w:sz w:val="18"/>
                <w:szCs w:val="18"/>
              </w:rPr>
            </w:pPr>
            <w:r w:rsidRPr="00D207EA">
              <w:rPr>
                <w:noProof/>
                <w:sz w:val="18"/>
              </w:rPr>
              <w:t>Paiements</w:t>
            </w:r>
          </w:p>
        </w:tc>
        <w:tc>
          <w:tcPr>
            <w:tcW w:w="242" w:type="pct"/>
            <w:vAlign w:val="center"/>
            <w:hideMark/>
          </w:tcPr>
          <w:p w14:paraId="3512B632"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(2a)</w:t>
            </w:r>
          </w:p>
        </w:tc>
        <w:tc>
          <w:tcPr>
            <w:tcW w:w="414" w:type="pct"/>
            <w:vAlign w:val="center"/>
            <w:hideMark/>
          </w:tcPr>
          <w:p w14:paraId="29E47C26" w14:textId="77777777" w:rsidR="007B2694" w:rsidRPr="00D207E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3D7B8B6E"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47A0DBB1"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01190240"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377808C6"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12F55E43"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6A2DF678"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00555A66"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456305ED" w14:textId="77777777" w:rsidTr="001F3400">
        <w:trPr>
          <w:trHeight w:val="300"/>
        </w:trPr>
        <w:tc>
          <w:tcPr>
            <w:tcW w:w="1029" w:type="pct"/>
            <w:vMerge w:val="restart"/>
            <w:vAlign w:val="center"/>
            <w:hideMark/>
          </w:tcPr>
          <w:p w14:paraId="098AF92D" w14:textId="77777777" w:rsidR="007B2694" w:rsidRPr="00D207EA" w:rsidRDefault="007B2694" w:rsidP="007B2694">
            <w:pPr>
              <w:spacing w:before="0" w:after="0"/>
              <w:jc w:val="left"/>
              <w:rPr>
                <w:rFonts w:eastAsia="Times New Roman"/>
                <w:noProof/>
                <w:color w:val="000000"/>
                <w:sz w:val="20"/>
                <w:szCs w:val="20"/>
              </w:rPr>
            </w:pPr>
            <w:r w:rsidRPr="00D207EA">
              <w:rPr>
                <w:noProof/>
                <w:sz w:val="18"/>
              </w:rPr>
              <w:t>02.02.03 Soutien aux personnes et renforcement des sociétés européennes et du modèle social européen</w:t>
            </w:r>
          </w:p>
        </w:tc>
        <w:tc>
          <w:tcPr>
            <w:tcW w:w="462" w:type="pct"/>
            <w:vAlign w:val="center"/>
            <w:hideMark/>
          </w:tcPr>
          <w:p w14:paraId="3385EC98" w14:textId="77777777" w:rsidR="007B2694" w:rsidRPr="00D207EA" w:rsidRDefault="007B2694" w:rsidP="007B2694">
            <w:pPr>
              <w:spacing w:before="0" w:after="0"/>
              <w:rPr>
                <w:rFonts w:eastAsia="Times New Roman"/>
                <w:noProof/>
                <w:color w:val="000000"/>
                <w:sz w:val="18"/>
                <w:szCs w:val="18"/>
              </w:rPr>
            </w:pPr>
            <w:r w:rsidRPr="00D207EA">
              <w:rPr>
                <w:noProof/>
                <w:sz w:val="18"/>
              </w:rPr>
              <w:t>Engagements</w:t>
            </w:r>
          </w:p>
        </w:tc>
        <w:tc>
          <w:tcPr>
            <w:tcW w:w="242" w:type="pct"/>
            <w:vAlign w:val="center"/>
            <w:hideMark/>
          </w:tcPr>
          <w:p w14:paraId="33D2545E"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(1a)</w:t>
            </w:r>
          </w:p>
        </w:tc>
        <w:tc>
          <w:tcPr>
            <w:tcW w:w="414" w:type="pct"/>
            <w:vAlign w:val="center"/>
            <w:hideMark/>
          </w:tcPr>
          <w:p w14:paraId="26FB6920" w14:textId="77777777" w:rsidR="007B2694" w:rsidRPr="00D207E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15FCB556"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1AC56D60"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2301BA24"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144ECEBF"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2E5E3CCB"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704F158E"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24FAD250"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21D7CE1A" w14:textId="77777777" w:rsidTr="001F3400">
        <w:trPr>
          <w:trHeight w:val="300"/>
        </w:trPr>
        <w:tc>
          <w:tcPr>
            <w:tcW w:w="1029" w:type="pct"/>
            <w:vMerge/>
            <w:vAlign w:val="center"/>
            <w:hideMark/>
          </w:tcPr>
          <w:p w14:paraId="02E73E27" w14:textId="77777777" w:rsidR="007B2694" w:rsidRPr="00D207E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7C48049A" w14:textId="77777777" w:rsidR="007B2694" w:rsidRPr="00D207EA" w:rsidRDefault="007B2694" w:rsidP="007B2694">
            <w:pPr>
              <w:spacing w:before="0" w:after="0"/>
              <w:rPr>
                <w:rFonts w:eastAsia="Times New Roman"/>
                <w:noProof/>
                <w:color w:val="000000"/>
                <w:sz w:val="18"/>
                <w:szCs w:val="18"/>
              </w:rPr>
            </w:pPr>
            <w:r w:rsidRPr="00D207EA">
              <w:rPr>
                <w:noProof/>
                <w:sz w:val="18"/>
              </w:rPr>
              <w:t>Paiements</w:t>
            </w:r>
          </w:p>
        </w:tc>
        <w:tc>
          <w:tcPr>
            <w:tcW w:w="242" w:type="pct"/>
            <w:vAlign w:val="center"/>
            <w:hideMark/>
          </w:tcPr>
          <w:p w14:paraId="71E58F1E"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(2a)</w:t>
            </w:r>
          </w:p>
        </w:tc>
        <w:tc>
          <w:tcPr>
            <w:tcW w:w="414" w:type="pct"/>
            <w:vAlign w:val="center"/>
            <w:hideMark/>
          </w:tcPr>
          <w:p w14:paraId="0EB05688" w14:textId="77777777" w:rsidR="007B2694" w:rsidRPr="00D207E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1DF450C9"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40CBFD65"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6CC4E561"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58A0A456"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25CD58E0"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51D756DA"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4D2BBBFE"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6037C4F7" w14:textId="77777777" w:rsidTr="001F3400">
        <w:trPr>
          <w:trHeight w:val="300"/>
        </w:trPr>
        <w:tc>
          <w:tcPr>
            <w:tcW w:w="1029" w:type="pct"/>
            <w:vMerge w:val="restart"/>
            <w:vAlign w:val="center"/>
            <w:hideMark/>
          </w:tcPr>
          <w:p w14:paraId="6F0A7237" w14:textId="77777777" w:rsidR="007B2694" w:rsidRPr="00D207EA" w:rsidRDefault="007B2694" w:rsidP="007B2694">
            <w:pPr>
              <w:spacing w:before="0" w:after="0"/>
              <w:jc w:val="left"/>
              <w:rPr>
                <w:rFonts w:eastAsia="Times New Roman"/>
                <w:noProof/>
                <w:color w:val="000000"/>
                <w:sz w:val="20"/>
                <w:szCs w:val="20"/>
              </w:rPr>
            </w:pPr>
            <w:r w:rsidRPr="00D207EA">
              <w:rPr>
                <w:noProof/>
                <w:sz w:val="18"/>
              </w:rPr>
              <w:t>02.02.04 Maintien de la qualité de vie en Europe</w:t>
            </w:r>
          </w:p>
        </w:tc>
        <w:tc>
          <w:tcPr>
            <w:tcW w:w="462" w:type="pct"/>
            <w:vAlign w:val="center"/>
            <w:hideMark/>
          </w:tcPr>
          <w:p w14:paraId="7ECC9FB6" w14:textId="77777777" w:rsidR="007B2694" w:rsidRPr="00D207EA" w:rsidRDefault="007B2694" w:rsidP="007B2694">
            <w:pPr>
              <w:spacing w:before="0" w:after="0"/>
              <w:rPr>
                <w:rFonts w:eastAsia="Times New Roman"/>
                <w:noProof/>
                <w:color w:val="000000"/>
                <w:sz w:val="18"/>
                <w:szCs w:val="18"/>
              </w:rPr>
            </w:pPr>
            <w:r w:rsidRPr="00D207EA">
              <w:rPr>
                <w:noProof/>
                <w:sz w:val="18"/>
              </w:rPr>
              <w:t>Engagements</w:t>
            </w:r>
          </w:p>
        </w:tc>
        <w:tc>
          <w:tcPr>
            <w:tcW w:w="242" w:type="pct"/>
            <w:vAlign w:val="center"/>
            <w:hideMark/>
          </w:tcPr>
          <w:p w14:paraId="0B181383"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(1a)</w:t>
            </w:r>
          </w:p>
        </w:tc>
        <w:tc>
          <w:tcPr>
            <w:tcW w:w="414" w:type="pct"/>
            <w:vAlign w:val="center"/>
            <w:hideMark/>
          </w:tcPr>
          <w:p w14:paraId="35B14EF3" w14:textId="77777777" w:rsidR="007B2694" w:rsidRPr="00D207E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6E2E8941"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0A547FAC"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66B2A31A"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6E28106F"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120B530F"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577E2D1B"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1E9549AA"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6D763CDD" w14:textId="77777777" w:rsidTr="001F3400">
        <w:trPr>
          <w:trHeight w:val="300"/>
        </w:trPr>
        <w:tc>
          <w:tcPr>
            <w:tcW w:w="1029" w:type="pct"/>
            <w:vMerge/>
            <w:vAlign w:val="center"/>
            <w:hideMark/>
          </w:tcPr>
          <w:p w14:paraId="568C1923" w14:textId="77777777" w:rsidR="007B2694" w:rsidRPr="00D207E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57AD32A6" w14:textId="77777777" w:rsidR="007B2694" w:rsidRPr="00D207EA" w:rsidRDefault="007B2694" w:rsidP="007B2694">
            <w:pPr>
              <w:spacing w:before="0" w:after="0"/>
              <w:rPr>
                <w:rFonts w:eastAsia="Times New Roman"/>
                <w:noProof/>
                <w:color w:val="000000"/>
                <w:sz w:val="18"/>
                <w:szCs w:val="18"/>
              </w:rPr>
            </w:pPr>
            <w:r w:rsidRPr="00D207EA">
              <w:rPr>
                <w:noProof/>
                <w:sz w:val="18"/>
              </w:rPr>
              <w:t>Paiements</w:t>
            </w:r>
          </w:p>
        </w:tc>
        <w:tc>
          <w:tcPr>
            <w:tcW w:w="242" w:type="pct"/>
            <w:vAlign w:val="center"/>
            <w:hideMark/>
          </w:tcPr>
          <w:p w14:paraId="2A7CE977"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(2a)</w:t>
            </w:r>
          </w:p>
        </w:tc>
        <w:tc>
          <w:tcPr>
            <w:tcW w:w="414" w:type="pct"/>
            <w:vAlign w:val="center"/>
            <w:hideMark/>
          </w:tcPr>
          <w:p w14:paraId="151547EF" w14:textId="77777777" w:rsidR="007B2694" w:rsidRPr="00D207E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6C755D29"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6D83D6B7"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75D12F2D"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750BC58F"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5FA6F4A9"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2304DF06"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0CECA4AD"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3E59B5E0" w14:textId="77777777" w:rsidTr="001F3400">
        <w:trPr>
          <w:trHeight w:val="300"/>
        </w:trPr>
        <w:tc>
          <w:tcPr>
            <w:tcW w:w="1029" w:type="pct"/>
            <w:vMerge w:val="restart"/>
            <w:vAlign w:val="center"/>
            <w:hideMark/>
          </w:tcPr>
          <w:p w14:paraId="6C09D714" w14:textId="77777777" w:rsidR="007B2694" w:rsidRPr="00D207EA" w:rsidRDefault="007B2694" w:rsidP="007B2694">
            <w:pPr>
              <w:spacing w:before="0" w:after="0"/>
              <w:jc w:val="left"/>
              <w:rPr>
                <w:rFonts w:eastAsia="Times New Roman"/>
                <w:noProof/>
                <w:color w:val="000000"/>
                <w:sz w:val="20"/>
                <w:szCs w:val="20"/>
              </w:rPr>
            </w:pPr>
            <w:r w:rsidRPr="00D207EA">
              <w:rPr>
                <w:noProof/>
                <w:sz w:val="18"/>
              </w:rPr>
              <w:t>02.02.04.01 Interventions au titre de la PAC et de la PCP</w:t>
            </w:r>
          </w:p>
        </w:tc>
        <w:tc>
          <w:tcPr>
            <w:tcW w:w="462" w:type="pct"/>
            <w:vAlign w:val="center"/>
            <w:hideMark/>
          </w:tcPr>
          <w:p w14:paraId="508D1094" w14:textId="77777777" w:rsidR="007B2694" w:rsidRPr="00D207EA" w:rsidRDefault="007B2694" w:rsidP="007B2694">
            <w:pPr>
              <w:spacing w:before="0" w:after="0"/>
              <w:rPr>
                <w:rFonts w:eastAsia="Times New Roman"/>
                <w:noProof/>
                <w:color w:val="000000"/>
                <w:sz w:val="18"/>
                <w:szCs w:val="18"/>
              </w:rPr>
            </w:pPr>
            <w:r w:rsidRPr="00D207EA">
              <w:rPr>
                <w:noProof/>
                <w:sz w:val="18"/>
              </w:rPr>
              <w:t>Engagements</w:t>
            </w:r>
          </w:p>
        </w:tc>
        <w:tc>
          <w:tcPr>
            <w:tcW w:w="242" w:type="pct"/>
            <w:vAlign w:val="center"/>
            <w:hideMark/>
          </w:tcPr>
          <w:p w14:paraId="4EC1D069"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(1a)</w:t>
            </w:r>
          </w:p>
        </w:tc>
        <w:tc>
          <w:tcPr>
            <w:tcW w:w="414" w:type="pct"/>
            <w:vAlign w:val="center"/>
            <w:hideMark/>
          </w:tcPr>
          <w:p w14:paraId="7C653364" w14:textId="77777777" w:rsidR="007B2694" w:rsidRPr="00D207EA" w:rsidRDefault="007B2694" w:rsidP="007B2694">
            <w:pPr>
              <w:spacing w:before="0" w:after="0"/>
              <w:jc w:val="center"/>
              <w:rPr>
                <w:rFonts w:eastAsia="Times New Roman"/>
                <w:noProof/>
                <w:color w:val="000000"/>
                <w:sz w:val="18"/>
                <w:szCs w:val="18"/>
              </w:rPr>
            </w:pPr>
            <w:r w:rsidRPr="00D207EA">
              <w:rPr>
                <w:noProof/>
                <w:color w:val="000000"/>
                <w:sz w:val="18"/>
              </w:rPr>
              <w:t>42 272,000</w:t>
            </w:r>
          </w:p>
        </w:tc>
        <w:tc>
          <w:tcPr>
            <w:tcW w:w="414" w:type="pct"/>
            <w:vAlign w:val="center"/>
            <w:hideMark/>
          </w:tcPr>
          <w:p w14:paraId="51718F12" w14:textId="77777777" w:rsidR="007B2694" w:rsidRPr="00D207EA" w:rsidRDefault="007B2694" w:rsidP="007B2694">
            <w:pPr>
              <w:spacing w:before="0" w:after="0"/>
              <w:jc w:val="left"/>
              <w:rPr>
                <w:rFonts w:eastAsia="Times New Roman"/>
                <w:noProof/>
                <w:sz w:val="20"/>
                <w:szCs w:val="20"/>
              </w:rPr>
            </w:pPr>
            <w:r w:rsidRPr="00D207EA">
              <w:rPr>
                <w:noProof/>
                <w:color w:val="000000"/>
                <w:sz w:val="18"/>
              </w:rPr>
              <w:t>42 268,000</w:t>
            </w:r>
          </w:p>
        </w:tc>
        <w:tc>
          <w:tcPr>
            <w:tcW w:w="373" w:type="pct"/>
            <w:vAlign w:val="center"/>
            <w:hideMark/>
          </w:tcPr>
          <w:p w14:paraId="0C8A763E" w14:textId="77777777" w:rsidR="007B2694" w:rsidRPr="00D207EA" w:rsidRDefault="007B2694" w:rsidP="007B2694">
            <w:pPr>
              <w:spacing w:before="0" w:after="0"/>
              <w:jc w:val="left"/>
              <w:rPr>
                <w:rFonts w:eastAsia="Times New Roman"/>
                <w:noProof/>
                <w:sz w:val="20"/>
                <w:szCs w:val="20"/>
              </w:rPr>
            </w:pPr>
            <w:r w:rsidRPr="00D207EA">
              <w:rPr>
                <w:noProof/>
                <w:color w:val="000000"/>
                <w:sz w:val="18"/>
              </w:rPr>
              <w:t>42 265,000</w:t>
            </w:r>
          </w:p>
        </w:tc>
        <w:tc>
          <w:tcPr>
            <w:tcW w:w="414" w:type="pct"/>
            <w:vAlign w:val="center"/>
            <w:hideMark/>
          </w:tcPr>
          <w:p w14:paraId="36E6CDB0" w14:textId="77777777" w:rsidR="007B2694" w:rsidRPr="00D207EA" w:rsidRDefault="007B2694" w:rsidP="007B2694">
            <w:pPr>
              <w:spacing w:before="0" w:after="0"/>
              <w:jc w:val="left"/>
              <w:rPr>
                <w:rFonts w:eastAsia="Times New Roman"/>
                <w:noProof/>
                <w:sz w:val="20"/>
                <w:szCs w:val="20"/>
              </w:rPr>
            </w:pPr>
            <w:r w:rsidRPr="00D207EA">
              <w:rPr>
                <w:noProof/>
                <w:color w:val="000000"/>
                <w:sz w:val="18"/>
              </w:rPr>
              <w:t>42 261,000</w:t>
            </w:r>
          </w:p>
        </w:tc>
        <w:tc>
          <w:tcPr>
            <w:tcW w:w="413" w:type="pct"/>
            <w:vAlign w:val="center"/>
            <w:hideMark/>
          </w:tcPr>
          <w:p w14:paraId="4F6DB65F" w14:textId="77777777" w:rsidR="007B2694" w:rsidRPr="00D207EA" w:rsidRDefault="007B2694" w:rsidP="007B2694">
            <w:pPr>
              <w:spacing w:before="0" w:after="0"/>
              <w:jc w:val="left"/>
              <w:rPr>
                <w:rFonts w:eastAsia="Times New Roman"/>
                <w:noProof/>
                <w:sz w:val="20"/>
                <w:szCs w:val="20"/>
              </w:rPr>
            </w:pPr>
            <w:r w:rsidRPr="00D207EA">
              <w:rPr>
                <w:noProof/>
                <w:color w:val="000000"/>
                <w:sz w:val="18"/>
              </w:rPr>
              <w:t>42 257,000</w:t>
            </w:r>
          </w:p>
        </w:tc>
        <w:tc>
          <w:tcPr>
            <w:tcW w:w="414" w:type="pct"/>
            <w:vAlign w:val="center"/>
            <w:hideMark/>
          </w:tcPr>
          <w:p w14:paraId="3EFA47C2" w14:textId="77777777" w:rsidR="007B2694" w:rsidRPr="00D207EA" w:rsidRDefault="007B2694" w:rsidP="007B2694">
            <w:pPr>
              <w:spacing w:before="0" w:after="0"/>
              <w:jc w:val="left"/>
              <w:rPr>
                <w:rFonts w:eastAsia="Times New Roman"/>
                <w:noProof/>
                <w:sz w:val="20"/>
                <w:szCs w:val="20"/>
              </w:rPr>
            </w:pPr>
            <w:r w:rsidRPr="00D207EA">
              <w:rPr>
                <w:noProof/>
                <w:color w:val="000000"/>
                <w:sz w:val="18"/>
              </w:rPr>
              <w:t>42 204,000</w:t>
            </w:r>
          </w:p>
        </w:tc>
        <w:tc>
          <w:tcPr>
            <w:tcW w:w="414" w:type="pct"/>
            <w:vAlign w:val="center"/>
            <w:hideMark/>
          </w:tcPr>
          <w:p w14:paraId="229FB0E0" w14:textId="77777777" w:rsidR="007B2694" w:rsidRPr="00D207EA" w:rsidRDefault="007B2694" w:rsidP="007B2694">
            <w:pPr>
              <w:spacing w:before="0" w:after="0"/>
              <w:jc w:val="left"/>
              <w:rPr>
                <w:rFonts w:eastAsia="Times New Roman"/>
                <w:noProof/>
                <w:sz w:val="20"/>
                <w:szCs w:val="20"/>
              </w:rPr>
            </w:pPr>
            <w:r w:rsidRPr="00D207EA">
              <w:rPr>
                <w:noProof/>
                <w:color w:val="000000"/>
                <w:sz w:val="18"/>
              </w:rPr>
              <w:t>42 172,000</w:t>
            </w:r>
          </w:p>
        </w:tc>
        <w:tc>
          <w:tcPr>
            <w:tcW w:w="413" w:type="pct"/>
            <w:shd w:val="clear" w:color="000000" w:fill="D9D9D9"/>
            <w:vAlign w:val="center"/>
            <w:hideMark/>
          </w:tcPr>
          <w:p w14:paraId="63513B38" w14:textId="77777777" w:rsidR="007B2694" w:rsidRPr="00D207EA" w:rsidRDefault="007B2694" w:rsidP="007B2694">
            <w:pPr>
              <w:spacing w:before="0" w:after="0"/>
              <w:jc w:val="right"/>
              <w:rPr>
                <w:rFonts w:eastAsia="Times New Roman"/>
                <w:b/>
                <w:noProof/>
                <w:color w:val="000000"/>
                <w:sz w:val="20"/>
                <w:szCs w:val="20"/>
              </w:rPr>
            </w:pPr>
            <w:r w:rsidRPr="00D207EA">
              <w:rPr>
                <w:b/>
                <w:noProof/>
                <w:color w:val="000000"/>
                <w:sz w:val="18"/>
              </w:rPr>
              <w:t>295 699,000</w:t>
            </w:r>
          </w:p>
        </w:tc>
      </w:tr>
      <w:tr w:rsidR="001F3400" w:rsidRPr="00D207EA" w14:paraId="47A46C24" w14:textId="77777777" w:rsidTr="001F3400">
        <w:trPr>
          <w:trHeight w:val="300"/>
        </w:trPr>
        <w:tc>
          <w:tcPr>
            <w:tcW w:w="1029" w:type="pct"/>
            <w:vMerge/>
            <w:vAlign w:val="center"/>
            <w:hideMark/>
          </w:tcPr>
          <w:p w14:paraId="12A326BF" w14:textId="77777777" w:rsidR="007B2694" w:rsidRPr="00D207E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18123519" w14:textId="77777777" w:rsidR="007B2694" w:rsidRPr="00D207EA" w:rsidRDefault="007B2694" w:rsidP="007B2694">
            <w:pPr>
              <w:spacing w:before="0" w:after="0"/>
              <w:rPr>
                <w:rFonts w:eastAsia="Times New Roman"/>
                <w:noProof/>
                <w:color w:val="000000"/>
                <w:sz w:val="18"/>
                <w:szCs w:val="18"/>
              </w:rPr>
            </w:pPr>
            <w:r w:rsidRPr="00D207EA">
              <w:rPr>
                <w:noProof/>
                <w:sz w:val="18"/>
              </w:rPr>
              <w:t>Paiements</w:t>
            </w:r>
          </w:p>
        </w:tc>
        <w:tc>
          <w:tcPr>
            <w:tcW w:w="242" w:type="pct"/>
            <w:vAlign w:val="center"/>
            <w:hideMark/>
          </w:tcPr>
          <w:p w14:paraId="0D8BAD0B"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(2a)</w:t>
            </w:r>
          </w:p>
        </w:tc>
        <w:tc>
          <w:tcPr>
            <w:tcW w:w="414" w:type="pct"/>
            <w:vAlign w:val="center"/>
            <w:hideMark/>
          </w:tcPr>
          <w:p w14:paraId="427A31DF"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p.m.</w:t>
            </w:r>
          </w:p>
        </w:tc>
        <w:tc>
          <w:tcPr>
            <w:tcW w:w="414" w:type="pct"/>
            <w:vAlign w:val="center"/>
            <w:hideMark/>
          </w:tcPr>
          <w:p w14:paraId="64D81EA9"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521D33C0"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45573E57"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3EFF7788"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699973C5"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3EFB44D4"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488C40F2"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142C6177" w14:textId="77777777" w:rsidTr="001F3400">
        <w:trPr>
          <w:trHeight w:val="300"/>
        </w:trPr>
        <w:tc>
          <w:tcPr>
            <w:tcW w:w="1029" w:type="pct"/>
            <w:vMerge w:val="restart"/>
            <w:vAlign w:val="center"/>
            <w:hideMark/>
          </w:tcPr>
          <w:p w14:paraId="09D56DF5" w14:textId="77777777" w:rsidR="007B2694" w:rsidRPr="00D207EA" w:rsidRDefault="007B2694" w:rsidP="007B2694">
            <w:pPr>
              <w:spacing w:before="0" w:after="0"/>
              <w:jc w:val="left"/>
              <w:rPr>
                <w:rFonts w:eastAsia="Times New Roman"/>
                <w:noProof/>
                <w:color w:val="000000"/>
                <w:sz w:val="20"/>
                <w:szCs w:val="20"/>
              </w:rPr>
            </w:pPr>
            <w:r w:rsidRPr="00D207EA">
              <w:rPr>
                <w:noProof/>
                <w:sz w:val="18"/>
              </w:rPr>
              <w:t>02.02.04.02 Autres</w:t>
            </w:r>
          </w:p>
        </w:tc>
        <w:tc>
          <w:tcPr>
            <w:tcW w:w="462" w:type="pct"/>
            <w:vAlign w:val="center"/>
            <w:hideMark/>
          </w:tcPr>
          <w:p w14:paraId="5BE8116A" w14:textId="77777777" w:rsidR="007B2694" w:rsidRPr="00D207EA" w:rsidRDefault="007B2694" w:rsidP="007B2694">
            <w:pPr>
              <w:spacing w:before="0" w:after="0"/>
              <w:rPr>
                <w:rFonts w:eastAsia="Times New Roman"/>
                <w:noProof/>
                <w:color w:val="000000"/>
                <w:sz w:val="18"/>
                <w:szCs w:val="18"/>
              </w:rPr>
            </w:pPr>
            <w:r w:rsidRPr="00D207EA">
              <w:rPr>
                <w:noProof/>
                <w:sz w:val="18"/>
              </w:rPr>
              <w:t>Engagements</w:t>
            </w:r>
          </w:p>
        </w:tc>
        <w:tc>
          <w:tcPr>
            <w:tcW w:w="242" w:type="pct"/>
            <w:vAlign w:val="center"/>
            <w:hideMark/>
          </w:tcPr>
          <w:p w14:paraId="70F0FF4C"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(1a)</w:t>
            </w:r>
          </w:p>
        </w:tc>
        <w:tc>
          <w:tcPr>
            <w:tcW w:w="414" w:type="pct"/>
            <w:vAlign w:val="center"/>
            <w:hideMark/>
          </w:tcPr>
          <w:p w14:paraId="687F071C" w14:textId="77777777" w:rsidR="007B2694" w:rsidRPr="00D207E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6C40AACA"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07E4FDA0"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76E28883"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6B9BFBEE"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5A1CBA7E"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1B2B564F"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689AC2B4"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760B3EB4" w14:textId="77777777" w:rsidTr="001F3400">
        <w:trPr>
          <w:trHeight w:val="300"/>
        </w:trPr>
        <w:tc>
          <w:tcPr>
            <w:tcW w:w="1029" w:type="pct"/>
            <w:vMerge/>
            <w:vAlign w:val="center"/>
            <w:hideMark/>
          </w:tcPr>
          <w:p w14:paraId="05A3BF31" w14:textId="77777777" w:rsidR="007B2694" w:rsidRPr="00D207E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75EA6DAD" w14:textId="77777777" w:rsidR="007B2694" w:rsidRPr="00D207EA" w:rsidRDefault="007B2694" w:rsidP="007B2694">
            <w:pPr>
              <w:spacing w:before="0" w:after="0"/>
              <w:rPr>
                <w:rFonts w:eastAsia="Times New Roman"/>
                <w:noProof/>
                <w:color w:val="000000"/>
                <w:sz w:val="18"/>
                <w:szCs w:val="18"/>
              </w:rPr>
            </w:pPr>
            <w:r w:rsidRPr="00D207EA">
              <w:rPr>
                <w:noProof/>
                <w:sz w:val="18"/>
              </w:rPr>
              <w:t>Paiements</w:t>
            </w:r>
          </w:p>
        </w:tc>
        <w:tc>
          <w:tcPr>
            <w:tcW w:w="242" w:type="pct"/>
            <w:vAlign w:val="center"/>
            <w:hideMark/>
          </w:tcPr>
          <w:p w14:paraId="3D7E6C80"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(2a)</w:t>
            </w:r>
          </w:p>
        </w:tc>
        <w:tc>
          <w:tcPr>
            <w:tcW w:w="414" w:type="pct"/>
            <w:vAlign w:val="center"/>
            <w:hideMark/>
          </w:tcPr>
          <w:p w14:paraId="36153EA5" w14:textId="77777777" w:rsidR="007B2694" w:rsidRPr="00D207E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6811191B"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72FD007D"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6F08B9E3"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3CD02AAF"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190240BC"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067A38E1"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19E4B548"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5AACFEFC" w14:textId="77777777" w:rsidTr="001F3400">
        <w:trPr>
          <w:trHeight w:val="300"/>
        </w:trPr>
        <w:tc>
          <w:tcPr>
            <w:tcW w:w="1029" w:type="pct"/>
            <w:vMerge w:val="restart"/>
            <w:vAlign w:val="center"/>
            <w:hideMark/>
          </w:tcPr>
          <w:p w14:paraId="28717E65" w14:textId="77777777" w:rsidR="007B2694" w:rsidRPr="00D207EA" w:rsidRDefault="007B2694" w:rsidP="007B2694">
            <w:pPr>
              <w:spacing w:before="0" w:after="0"/>
              <w:jc w:val="left"/>
              <w:rPr>
                <w:rFonts w:eastAsia="Times New Roman"/>
                <w:noProof/>
                <w:color w:val="000000"/>
                <w:sz w:val="20"/>
                <w:szCs w:val="20"/>
              </w:rPr>
            </w:pPr>
            <w:r w:rsidRPr="00D207EA">
              <w:rPr>
                <w:noProof/>
                <w:sz w:val="18"/>
              </w:rPr>
              <w:t>02.02.05 Protection de la démocratie, de l’état de droit et des valeurs de l’Union</w:t>
            </w:r>
          </w:p>
        </w:tc>
        <w:tc>
          <w:tcPr>
            <w:tcW w:w="462" w:type="pct"/>
            <w:vAlign w:val="center"/>
            <w:hideMark/>
          </w:tcPr>
          <w:p w14:paraId="250ABE09" w14:textId="77777777" w:rsidR="007B2694" w:rsidRPr="00D207EA" w:rsidRDefault="007B2694" w:rsidP="007B2694">
            <w:pPr>
              <w:spacing w:before="0" w:after="0"/>
              <w:rPr>
                <w:rFonts w:eastAsia="Times New Roman"/>
                <w:noProof/>
                <w:color w:val="000000"/>
                <w:sz w:val="18"/>
                <w:szCs w:val="18"/>
              </w:rPr>
            </w:pPr>
            <w:r w:rsidRPr="00D207EA">
              <w:rPr>
                <w:noProof/>
                <w:sz w:val="18"/>
              </w:rPr>
              <w:t>Engagements</w:t>
            </w:r>
          </w:p>
        </w:tc>
        <w:tc>
          <w:tcPr>
            <w:tcW w:w="242" w:type="pct"/>
            <w:vAlign w:val="center"/>
            <w:hideMark/>
          </w:tcPr>
          <w:p w14:paraId="282934D7"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(1a)</w:t>
            </w:r>
          </w:p>
        </w:tc>
        <w:tc>
          <w:tcPr>
            <w:tcW w:w="414" w:type="pct"/>
            <w:vAlign w:val="center"/>
            <w:hideMark/>
          </w:tcPr>
          <w:p w14:paraId="4FDCE037" w14:textId="77777777" w:rsidR="007B2694" w:rsidRPr="00D207E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67927C17"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79AF5D96"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57A63E86"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1FB97E69"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2A3352EB"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0E00D3DF"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50CCC4F6"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68AD69A4" w14:textId="77777777" w:rsidTr="001F3400">
        <w:trPr>
          <w:trHeight w:val="300"/>
        </w:trPr>
        <w:tc>
          <w:tcPr>
            <w:tcW w:w="1029" w:type="pct"/>
            <w:vMerge/>
            <w:vAlign w:val="center"/>
            <w:hideMark/>
          </w:tcPr>
          <w:p w14:paraId="39BEFFC9" w14:textId="77777777" w:rsidR="007B2694" w:rsidRPr="00D207E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6F678D9F" w14:textId="77777777" w:rsidR="007B2694" w:rsidRPr="00D207EA" w:rsidRDefault="007B2694" w:rsidP="007B2694">
            <w:pPr>
              <w:spacing w:before="0" w:after="0"/>
              <w:rPr>
                <w:rFonts w:eastAsia="Times New Roman"/>
                <w:noProof/>
                <w:color w:val="000000"/>
                <w:sz w:val="18"/>
                <w:szCs w:val="18"/>
              </w:rPr>
            </w:pPr>
            <w:r w:rsidRPr="00D207EA">
              <w:rPr>
                <w:noProof/>
                <w:sz w:val="18"/>
              </w:rPr>
              <w:t>Paiements</w:t>
            </w:r>
          </w:p>
        </w:tc>
        <w:tc>
          <w:tcPr>
            <w:tcW w:w="242" w:type="pct"/>
            <w:vAlign w:val="center"/>
            <w:hideMark/>
          </w:tcPr>
          <w:p w14:paraId="72B0F12A"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(2a)</w:t>
            </w:r>
          </w:p>
        </w:tc>
        <w:tc>
          <w:tcPr>
            <w:tcW w:w="414" w:type="pct"/>
            <w:vAlign w:val="center"/>
            <w:hideMark/>
          </w:tcPr>
          <w:p w14:paraId="0920C163" w14:textId="77777777" w:rsidR="007B2694" w:rsidRPr="00D207E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48A7A072"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61C31911"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14A59159"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2EC5B396"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71875A6E"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70A51F1A"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09A70D14"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304606B7" w14:textId="77777777" w:rsidTr="001F3400">
        <w:trPr>
          <w:trHeight w:val="300"/>
        </w:trPr>
        <w:tc>
          <w:tcPr>
            <w:tcW w:w="1029" w:type="pct"/>
            <w:vMerge w:val="restart"/>
            <w:vAlign w:val="center"/>
          </w:tcPr>
          <w:p w14:paraId="5FBAAD51" w14:textId="77777777" w:rsidR="007B2694" w:rsidRPr="00D207EA" w:rsidRDefault="007B2694" w:rsidP="007B2694">
            <w:pPr>
              <w:spacing w:before="0" w:after="0"/>
              <w:jc w:val="left"/>
              <w:rPr>
                <w:rFonts w:eastAsia="Times New Roman"/>
                <w:noProof/>
                <w:color w:val="000000"/>
                <w:sz w:val="20"/>
                <w:szCs w:val="20"/>
              </w:rPr>
            </w:pPr>
            <w:r w:rsidRPr="00D207EA">
              <w:rPr>
                <w:noProof/>
                <w:sz w:val="18"/>
              </w:rPr>
              <w:t>02.02.06 Flexibilité</w:t>
            </w:r>
          </w:p>
        </w:tc>
        <w:tc>
          <w:tcPr>
            <w:tcW w:w="462" w:type="pct"/>
            <w:vAlign w:val="center"/>
          </w:tcPr>
          <w:p w14:paraId="1797D61E" w14:textId="77777777" w:rsidR="007B2694" w:rsidRPr="00D207EA" w:rsidRDefault="007B2694" w:rsidP="007B2694">
            <w:pPr>
              <w:spacing w:before="0" w:after="0"/>
              <w:rPr>
                <w:rFonts w:eastAsia="Times New Roman"/>
                <w:noProof/>
                <w:color w:val="000000"/>
                <w:sz w:val="18"/>
                <w:szCs w:val="18"/>
              </w:rPr>
            </w:pPr>
            <w:r w:rsidRPr="00D207EA">
              <w:rPr>
                <w:noProof/>
                <w:sz w:val="18"/>
              </w:rPr>
              <w:t>Engagements</w:t>
            </w:r>
          </w:p>
        </w:tc>
        <w:tc>
          <w:tcPr>
            <w:tcW w:w="242" w:type="pct"/>
            <w:vAlign w:val="center"/>
          </w:tcPr>
          <w:p w14:paraId="36FE00A2"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(1a)</w:t>
            </w:r>
          </w:p>
        </w:tc>
        <w:tc>
          <w:tcPr>
            <w:tcW w:w="414" w:type="pct"/>
            <w:vAlign w:val="center"/>
          </w:tcPr>
          <w:p w14:paraId="496B287C" w14:textId="77777777" w:rsidR="007B2694" w:rsidRPr="00D207EA" w:rsidRDefault="007B2694" w:rsidP="007B2694">
            <w:pPr>
              <w:spacing w:before="0" w:after="0"/>
              <w:jc w:val="center"/>
              <w:rPr>
                <w:rFonts w:eastAsia="Times New Roman"/>
                <w:noProof/>
                <w:color w:val="000000"/>
                <w:sz w:val="18"/>
                <w:szCs w:val="18"/>
                <w:lang w:eastAsia="en-IE"/>
              </w:rPr>
            </w:pPr>
          </w:p>
        </w:tc>
        <w:tc>
          <w:tcPr>
            <w:tcW w:w="414" w:type="pct"/>
            <w:vAlign w:val="center"/>
          </w:tcPr>
          <w:p w14:paraId="2EFCEA86"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tcPr>
          <w:p w14:paraId="37BDE97A"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tcPr>
          <w:p w14:paraId="0BB2BC26"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tcPr>
          <w:p w14:paraId="62E8B493"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tcPr>
          <w:p w14:paraId="14646324"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tcPr>
          <w:p w14:paraId="6A3C1998"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tcPr>
          <w:p w14:paraId="1EAEBAEE"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50AC29D6" w14:textId="77777777" w:rsidTr="001F3400">
        <w:trPr>
          <w:trHeight w:val="300"/>
        </w:trPr>
        <w:tc>
          <w:tcPr>
            <w:tcW w:w="1029" w:type="pct"/>
            <w:vMerge/>
            <w:vAlign w:val="center"/>
          </w:tcPr>
          <w:p w14:paraId="097C748C" w14:textId="77777777" w:rsidR="007B2694" w:rsidRPr="00D207EA" w:rsidRDefault="007B2694" w:rsidP="007B2694">
            <w:pPr>
              <w:spacing w:before="0" w:after="0"/>
              <w:jc w:val="left"/>
              <w:rPr>
                <w:rFonts w:eastAsia="Times New Roman"/>
                <w:noProof/>
                <w:color w:val="000000"/>
                <w:sz w:val="20"/>
                <w:szCs w:val="20"/>
                <w:lang w:eastAsia="en-IE"/>
              </w:rPr>
            </w:pPr>
          </w:p>
        </w:tc>
        <w:tc>
          <w:tcPr>
            <w:tcW w:w="462" w:type="pct"/>
            <w:vAlign w:val="center"/>
          </w:tcPr>
          <w:p w14:paraId="068FDF14" w14:textId="77777777" w:rsidR="007B2694" w:rsidRPr="00D207EA" w:rsidRDefault="007B2694" w:rsidP="007B2694">
            <w:pPr>
              <w:spacing w:before="0" w:after="0"/>
              <w:rPr>
                <w:rFonts w:eastAsia="Times New Roman"/>
                <w:noProof/>
                <w:color w:val="000000"/>
                <w:sz w:val="18"/>
                <w:szCs w:val="18"/>
              </w:rPr>
            </w:pPr>
            <w:r w:rsidRPr="00D207EA">
              <w:rPr>
                <w:noProof/>
                <w:sz w:val="18"/>
              </w:rPr>
              <w:t>Paiements</w:t>
            </w:r>
          </w:p>
        </w:tc>
        <w:tc>
          <w:tcPr>
            <w:tcW w:w="242" w:type="pct"/>
            <w:vAlign w:val="center"/>
          </w:tcPr>
          <w:p w14:paraId="586DA8ED"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(2a)</w:t>
            </w:r>
          </w:p>
        </w:tc>
        <w:tc>
          <w:tcPr>
            <w:tcW w:w="414" w:type="pct"/>
            <w:vAlign w:val="center"/>
          </w:tcPr>
          <w:p w14:paraId="01F681D0" w14:textId="77777777" w:rsidR="007B2694" w:rsidRPr="00D207EA" w:rsidRDefault="007B2694" w:rsidP="007B2694">
            <w:pPr>
              <w:spacing w:before="0" w:after="0"/>
              <w:jc w:val="center"/>
              <w:rPr>
                <w:rFonts w:eastAsia="Times New Roman"/>
                <w:noProof/>
                <w:color w:val="000000"/>
                <w:sz w:val="18"/>
                <w:szCs w:val="18"/>
                <w:lang w:eastAsia="en-IE"/>
              </w:rPr>
            </w:pPr>
          </w:p>
        </w:tc>
        <w:tc>
          <w:tcPr>
            <w:tcW w:w="414" w:type="pct"/>
            <w:vAlign w:val="center"/>
          </w:tcPr>
          <w:p w14:paraId="68DEC9BF"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tcPr>
          <w:p w14:paraId="45EEA5A4"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tcPr>
          <w:p w14:paraId="6F555BB8"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tcPr>
          <w:p w14:paraId="38AC8533"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tcPr>
          <w:p w14:paraId="4D7EC9F9"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tcPr>
          <w:p w14:paraId="14172422"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tcPr>
          <w:p w14:paraId="56D1FB8D"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5D647455" w14:textId="77777777" w:rsidTr="001F3400">
        <w:trPr>
          <w:trHeight w:val="300"/>
        </w:trPr>
        <w:tc>
          <w:tcPr>
            <w:tcW w:w="1029" w:type="pct"/>
            <w:vMerge w:val="restart"/>
            <w:vAlign w:val="center"/>
            <w:hideMark/>
          </w:tcPr>
          <w:p w14:paraId="77CDD9DF" w14:textId="77777777" w:rsidR="007B2694" w:rsidRPr="00D207EA" w:rsidRDefault="007B2694" w:rsidP="007B2694">
            <w:pPr>
              <w:spacing w:before="0" w:after="0"/>
              <w:jc w:val="left"/>
              <w:rPr>
                <w:rFonts w:eastAsia="Times New Roman"/>
                <w:noProof/>
                <w:color w:val="000000"/>
                <w:sz w:val="20"/>
                <w:szCs w:val="20"/>
              </w:rPr>
            </w:pPr>
            <w:r w:rsidRPr="00D207EA">
              <w:rPr>
                <w:noProof/>
                <w:sz w:val="18"/>
              </w:rPr>
              <w:t>02.02.07 Plan Interreg</w:t>
            </w:r>
          </w:p>
        </w:tc>
        <w:tc>
          <w:tcPr>
            <w:tcW w:w="462" w:type="pct"/>
            <w:vAlign w:val="center"/>
            <w:hideMark/>
          </w:tcPr>
          <w:p w14:paraId="2F2C25C4" w14:textId="77777777" w:rsidR="007B2694" w:rsidRPr="00D207EA" w:rsidRDefault="007B2694" w:rsidP="007B2694">
            <w:pPr>
              <w:spacing w:before="0" w:after="0"/>
              <w:rPr>
                <w:rFonts w:eastAsia="Times New Roman"/>
                <w:noProof/>
                <w:color w:val="000000"/>
                <w:sz w:val="18"/>
                <w:szCs w:val="18"/>
              </w:rPr>
            </w:pPr>
            <w:r w:rsidRPr="00D207EA">
              <w:rPr>
                <w:noProof/>
                <w:sz w:val="18"/>
              </w:rPr>
              <w:t>Engagements</w:t>
            </w:r>
          </w:p>
        </w:tc>
        <w:tc>
          <w:tcPr>
            <w:tcW w:w="242" w:type="pct"/>
            <w:vAlign w:val="center"/>
            <w:hideMark/>
          </w:tcPr>
          <w:p w14:paraId="4BB19D74"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(1a)</w:t>
            </w:r>
          </w:p>
        </w:tc>
        <w:tc>
          <w:tcPr>
            <w:tcW w:w="414" w:type="pct"/>
            <w:vAlign w:val="center"/>
            <w:hideMark/>
          </w:tcPr>
          <w:p w14:paraId="77F24F64"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0,000</w:t>
            </w:r>
          </w:p>
        </w:tc>
        <w:tc>
          <w:tcPr>
            <w:tcW w:w="414" w:type="pct"/>
            <w:vAlign w:val="center"/>
            <w:hideMark/>
          </w:tcPr>
          <w:p w14:paraId="25DCB0E2" w14:textId="77777777" w:rsidR="007B2694" w:rsidRPr="00D207EA" w:rsidRDefault="007B2694" w:rsidP="007B2694">
            <w:pPr>
              <w:spacing w:before="0" w:after="0"/>
              <w:jc w:val="left"/>
              <w:rPr>
                <w:rFonts w:eastAsia="Times New Roman"/>
                <w:noProof/>
                <w:sz w:val="20"/>
                <w:szCs w:val="20"/>
              </w:rPr>
            </w:pPr>
            <w:r w:rsidRPr="00D207EA">
              <w:rPr>
                <w:noProof/>
                <w:sz w:val="18"/>
              </w:rPr>
              <w:t>1 753,000</w:t>
            </w:r>
          </w:p>
        </w:tc>
        <w:tc>
          <w:tcPr>
            <w:tcW w:w="373" w:type="pct"/>
            <w:vAlign w:val="center"/>
            <w:hideMark/>
          </w:tcPr>
          <w:p w14:paraId="1E7A83D4" w14:textId="77777777" w:rsidR="007B2694" w:rsidRPr="00D207EA" w:rsidRDefault="007B2694" w:rsidP="007B2694">
            <w:pPr>
              <w:spacing w:before="0" w:after="0"/>
              <w:jc w:val="left"/>
              <w:rPr>
                <w:rFonts w:eastAsia="Times New Roman"/>
                <w:noProof/>
                <w:sz w:val="20"/>
                <w:szCs w:val="20"/>
              </w:rPr>
            </w:pPr>
            <w:r w:rsidRPr="00D207EA">
              <w:rPr>
                <w:noProof/>
                <w:sz w:val="18"/>
              </w:rPr>
              <w:t>1 782,000</w:t>
            </w:r>
          </w:p>
        </w:tc>
        <w:tc>
          <w:tcPr>
            <w:tcW w:w="414" w:type="pct"/>
            <w:vAlign w:val="center"/>
            <w:hideMark/>
          </w:tcPr>
          <w:p w14:paraId="5D20188E" w14:textId="77777777" w:rsidR="007B2694" w:rsidRPr="00D207EA" w:rsidRDefault="007B2694" w:rsidP="007B2694">
            <w:pPr>
              <w:spacing w:before="0" w:after="0"/>
              <w:jc w:val="left"/>
              <w:rPr>
                <w:rFonts w:eastAsia="Times New Roman"/>
                <w:noProof/>
                <w:sz w:val="20"/>
                <w:szCs w:val="20"/>
              </w:rPr>
            </w:pPr>
            <w:r w:rsidRPr="00D207EA">
              <w:rPr>
                <w:noProof/>
                <w:sz w:val="18"/>
              </w:rPr>
              <w:t>1 810,000</w:t>
            </w:r>
          </w:p>
        </w:tc>
        <w:tc>
          <w:tcPr>
            <w:tcW w:w="413" w:type="pct"/>
            <w:vAlign w:val="center"/>
            <w:hideMark/>
          </w:tcPr>
          <w:p w14:paraId="335AF6CC" w14:textId="77777777" w:rsidR="007B2694" w:rsidRPr="00D207EA" w:rsidRDefault="007B2694" w:rsidP="007B2694">
            <w:pPr>
              <w:spacing w:before="0" w:after="0"/>
              <w:jc w:val="left"/>
              <w:rPr>
                <w:rFonts w:eastAsia="Times New Roman"/>
                <w:noProof/>
                <w:sz w:val="20"/>
                <w:szCs w:val="20"/>
              </w:rPr>
            </w:pPr>
            <w:r w:rsidRPr="00D207EA">
              <w:rPr>
                <w:noProof/>
                <w:sz w:val="18"/>
              </w:rPr>
              <w:t>1 840,000</w:t>
            </w:r>
          </w:p>
        </w:tc>
        <w:tc>
          <w:tcPr>
            <w:tcW w:w="414" w:type="pct"/>
            <w:vAlign w:val="center"/>
            <w:hideMark/>
          </w:tcPr>
          <w:p w14:paraId="43BAC993" w14:textId="77777777" w:rsidR="007B2694" w:rsidRPr="00D207EA" w:rsidRDefault="007B2694" w:rsidP="007B2694">
            <w:pPr>
              <w:spacing w:before="0" w:after="0"/>
              <w:jc w:val="left"/>
              <w:rPr>
                <w:rFonts w:eastAsia="Times New Roman"/>
                <w:noProof/>
                <w:sz w:val="20"/>
                <w:szCs w:val="20"/>
              </w:rPr>
            </w:pPr>
            <w:r w:rsidRPr="00D207EA">
              <w:rPr>
                <w:noProof/>
                <w:sz w:val="18"/>
              </w:rPr>
              <w:t>1 524,000</w:t>
            </w:r>
          </w:p>
        </w:tc>
        <w:tc>
          <w:tcPr>
            <w:tcW w:w="414" w:type="pct"/>
            <w:vAlign w:val="center"/>
            <w:hideMark/>
          </w:tcPr>
          <w:p w14:paraId="6FD3E198" w14:textId="77777777" w:rsidR="007B2694" w:rsidRPr="00D207EA" w:rsidRDefault="007B2694" w:rsidP="007B2694">
            <w:pPr>
              <w:spacing w:before="0" w:after="0"/>
              <w:jc w:val="left"/>
              <w:rPr>
                <w:rFonts w:eastAsia="Times New Roman"/>
                <w:noProof/>
                <w:sz w:val="20"/>
                <w:szCs w:val="20"/>
              </w:rPr>
            </w:pPr>
            <w:r w:rsidRPr="00D207EA">
              <w:rPr>
                <w:noProof/>
                <w:sz w:val="18"/>
              </w:rPr>
              <w:t>1 555,000</w:t>
            </w:r>
          </w:p>
        </w:tc>
        <w:tc>
          <w:tcPr>
            <w:tcW w:w="413" w:type="pct"/>
            <w:shd w:val="clear" w:color="000000" w:fill="D9D9D9"/>
            <w:vAlign w:val="center"/>
            <w:hideMark/>
          </w:tcPr>
          <w:p w14:paraId="2E827237"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10 264,000</w:t>
            </w:r>
          </w:p>
        </w:tc>
      </w:tr>
      <w:tr w:rsidR="001F3400" w:rsidRPr="00D207EA" w14:paraId="3142125C" w14:textId="77777777" w:rsidTr="001F3400">
        <w:trPr>
          <w:trHeight w:val="300"/>
        </w:trPr>
        <w:tc>
          <w:tcPr>
            <w:tcW w:w="1029" w:type="pct"/>
            <w:vMerge/>
            <w:vAlign w:val="center"/>
            <w:hideMark/>
          </w:tcPr>
          <w:p w14:paraId="71CFBE3D" w14:textId="77777777" w:rsidR="007B2694" w:rsidRPr="00D207E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49C21070" w14:textId="77777777" w:rsidR="007B2694" w:rsidRPr="00D207EA" w:rsidRDefault="007B2694" w:rsidP="007B2694">
            <w:pPr>
              <w:spacing w:before="0" w:after="0"/>
              <w:rPr>
                <w:rFonts w:eastAsia="Times New Roman"/>
                <w:noProof/>
                <w:color w:val="000000"/>
                <w:sz w:val="18"/>
                <w:szCs w:val="18"/>
              </w:rPr>
            </w:pPr>
            <w:r w:rsidRPr="00D207EA">
              <w:rPr>
                <w:noProof/>
                <w:sz w:val="18"/>
              </w:rPr>
              <w:t>Paiements</w:t>
            </w:r>
          </w:p>
        </w:tc>
        <w:tc>
          <w:tcPr>
            <w:tcW w:w="242" w:type="pct"/>
            <w:vAlign w:val="center"/>
            <w:hideMark/>
          </w:tcPr>
          <w:p w14:paraId="34FD7048"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(2a)</w:t>
            </w:r>
          </w:p>
        </w:tc>
        <w:tc>
          <w:tcPr>
            <w:tcW w:w="414" w:type="pct"/>
            <w:vAlign w:val="center"/>
            <w:hideMark/>
          </w:tcPr>
          <w:p w14:paraId="79C93A97"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p.m.</w:t>
            </w:r>
          </w:p>
        </w:tc>
        <w:tc>
          <w:tcPr>
            <w:tcW w:w="414" w:type="pct"/>
            <w:vAlign w:val="center"/>
            <w:hideMark/>
          </w:tcPr>
          <w:p w14:paraId="37D9BB27"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36ED8A3B"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51DCC2B6"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1D26B2AF"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70A1B2FF"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065CCF29"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31840860"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1D9C64FE" w14:textId="77777777" w:rsidTr="001F3400">
        <w:trPr>
          <w:trHeight w:val="300"/>
        </w:trPr>
        <w:tc>
          <w:tcPr>
            <w:tcW w:w="1029" w:type="pct"/>
            <w:vMerge w:val="restart"/>
            <w:vAlign w:val="center"/>
            <w:hideMark/>
          </w:tcPr>
          <w:p w14:paraId="4EC711D6" w14:textId="77777777" w:rsidR="007B2694" w:rsidRPr="00D207EA" w:rsidRDefault="007B2694" w:rsidP="007B2694">
            <w:pPr>
              <w:spacing w:before="0" w:after="0"/>
              <w:jc w:val="left"/>
              <w:rPr>
                <w:rFonts w:eastAsia="Times New Roman"/>
                <w:noProof/>
                <w:color w:val="000000"/>
                <w:sz w:val="20"/>
                <w:szCs w:val="20"/>
              </w:rPr>
            </w:pPr>
            <w:r w:rsidRPr="00D207EA">
              <w:rPr>
                <w:noProof/>
                <w:sz w:val="18"/>
              </w:rPr>
              <w:t>02.02.08 Assistance technique à l’initiative de la Commission – Dépenses opérationnelles</w:t>
            </w:r>
          </w:p>
        </w:tc>
        <w:tc>
          <w:tcPr>
            <w:tcW w:w="462" w:type="pct"/>
            <w:vAlign w:val="center"/>
            <w:hideMark/>
          </w:tcPr>
          <w:p w14:paraId="46042458" w14:textId="77777777" w:rsidR="007B2694" w:rsidRPr="00D207EA" w:rsidRDefault="007B2694" w:rsidP="007B2694">
            <w:pPr>
              <w:spacing w:before="0" w:after="0"/>
              <w:rPr>
                <w:rFonts w:eastAsia="Times New Roman"/>
                <w:noProof/>
                <w:color w:val="000000"/>
                <w:sz w:val="18"/>
                <w:szCs w:val="18"/>
              </w:rPr>
            </w:pPr>
            <w:r w:rsidRPr="00D207EA">
              <w:rPr>
                <w:noProof/>
                <w:sz w:val="18"/>
              </w:rPr>
              <w:t>Engagements</w:t>
            </w:r>
          </w:p>
        </w:tc>
        <w:tc>
          <w:tcPr>
            <w:tcW w:w="242" w:type="pct"/>
            <w:vAlign w:val="center"/>
            <w:hideMark/>
          </w:tcPr>
          <w:p w14:paraId="27F32980"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(1a)</w:t>
            </w:r>
          </w:p>
        </w:tc>
        <w:tc>
          <w:tcPr>
            <w:tcW w:w="414" w:type="pct"/>
            <w:vAlign w:val="center"/>
            <w:hideMark/>
          </w:tcPr>
          <w:p w14:paraId="368BCBB2" w14:textId="77777777" w:rsidR="007B2694" w:rsidRPr="00D207E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2C124E59"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55546846"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22312B42"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5355570C"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0BF9398F"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7321E063"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75AA3411"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528CBB5D" w14:textId="77777777" w:rsidTr="001F3400">
        <w:trPr>
          <w:trHeight w:val="300"/>
        </w:trPr>
        <w:tc>
          <w:tcPr>
            <w:tcW w:w="1029" w:type="pct"/>
            <w:vMerge/>
            <w:vAlign w:val="center"/>
            <w:hideMark/>
          </w:tcPr>
          <w:p w14:paraId="13DB1EA5" w14:textId="77777777" w:rsidR="007B2694" w:rsidRPr="00D207E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58336686" w14:textId="77777777" w:rsidR="007B2694" w:rsidRPr="00D207EA" w:rsidRDefault="007B2694" w:rsidP="007B2694">
            <w:pPr>
              <w:spacing w:before="0" w:after="0"/>
              <w:rPr>
                <w:rFonts w:eastAsia="Times New Roman"/>
                <w:noProof/>
                <w:color w:val="000000"/>
                <w:sz w:val="18"/>
                <w:szCs w:val="18"/>
              </w:rPr>
            </w:pPr>
            <w:r w:rsidRPr="00D207EA">
              <w:rPr>
                <w:noProof/>
                <w:sz w:val="18"/>
              </w:rPr>
              <w:t>Paiements</w:t>
            </w:r>
          </w:p>
        </w:tc>
        <w:tc>
          <w:tcPr>
            <w:tcW w:w="242" w:type="pct"/>
            <w:vAlign w:val="center"/>
            <w:hideMark/>
          </w:tcPr>
          <w:p w14:paraId="46F10091"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(2a)</w:t>
            </w:r>
          </w:p>
        </w:tc>
        <w:tc>
          <w:tcPr>
            <w:tcW w:w="414" w:type="pct"/>
            <w:vAlign w:val="center"/>
            <w:hideMark/>
          </w:tcPr>
          <w:p w14:paraId="26AF8502" w14:textId="77777777" w:rsidR="007B2694" w:rsidRPr="00D207E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368E5865"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0DE1FD27"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31B96835"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30DF8515"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0A014994"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6E706929"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697F4526"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0023DF5E" w14:textId="77777777" w:rsidTr="001F3400">
        <w:trPr>
          <w:trHeight w:val="300"/>
        </w:trPr>
        <w:tc>
          <w:tcPr>
            <w:tcW w:w="1029" w:type="pct"/>
            <w:vMerge w:val="restart"/>
            <w:vAlign w:val="center"/>
            <w:hideMark/>
          </w:tcPr>
          <w:p w14:paraId="7BFCC296" w14:textId="77777777" w:rsidR="007B2694" w:rsidRPr="00D207EA" w:rsidRDefault="007B2694" w:rsidP="007B2694">
            <w:pPr>
              <w:spacing w:before="0" w:after="0"/>
              <w:jc w:val="left"/>
              <w:rPr>
                <w:rFonts w:eastAsia="Times New Roman"/>
                <w:noProof/>
                <w:color w:val="000000"/>
                <w:sz w:val="20"/>
                <w:szCs w:val="20"/>
              </w:rPr>
            </w:pPr>
            <w:r w:rsidRPr="00D207EA">
              <w:rPr>
                <w:noProof/>
                <w:sz w:val="18"/>
              </w:rPr>
              <w:t>02.03 Facilité de l’UE</w:t>
            </w:r>
          </w:p>
        </w:tc>
        <w:tc>
          <w:tcPr>
            <w:tcW w:w="462" w:type="pct"/>
            <w:vAlign w:val="center"/>
            <w:hideMark/>
          </w:tcPr>
          <w:p w14:paraId="2AC1F299" w14:textId="77777777" w:rsidR="007B2694" w:rsidRPr="00D207EA" w:rsidRDefault="007B2694" w:rsidP="007B2694">
            <w:pPr>
              <w:spacing w:before="0" w:after="0"/>
              <w:rPr>
                <w:rFonts w:eastAsia="Times New Roman"/>
                <w:noProof/>
                <w:color w:val="000000"/>
                <w:sz w:val="18"/>
                <w:szCs w:val="18"/>
              </w:rPr>
            </w:pPr>
            <w:r w:rsidRPr="00D207EA">
              <w:rPr>
                <w:noProof/>
                <w:sz w:val="18"/>
              </w:rPr>
              <w:t>Engagements</w:t>
            </w:r>
          </w:p>
        </w:tc>
        <w:tc>
          <w:tcPr>
            <w:tcW w:w="242" w:type="pct"/>
            <w:vAlign w:val="center"/>
            <w:hideMark/>
          </w:tcPr>
          <w:p w14:paraId="6D84A608"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(1a)</w:t>
            </w:r>
          </w:p>
        </w:tc>
        <w:tc>
          <w:tcPr>
            <w:tcW w:w="414" w:type="pct"/>
            <w:vAlign w:val="center"/>
            <w:hideMark/>
          </w:tcPr>
          <w:p w14:paraId="14E26191" w14:textId="77777777" w:rsidR="007B2694" w:rsidRPr="00D207EA" w:rsidRDefault="007B2694" w:rsidP="007B2694">
            <w:pPr>
              <w:spacing w:before="0" w:after="0"/>
              <w:jc w:val="center"/>
              <w:rPr>
                <w:rFonts w:eastAsia="Times New Roman"/>
                <w:noProof/>
                <w:color w:val="000000"/>
                <w:sz w:val="18"/>
                <w:szCs w:val="18"/>
              </w:rPr>
            </w:pPr>
            <w:r w:rsidRPr="00D207EA">
              <w:rPr>
                <w:noProof/>
                <w:color w:val="000000"/>
                <w:sz w:val="18"/>
              </w:rPr>
              <w:t>11 684,000</w:t>
            </w:r>
          </w:p>
        </w:tc>
        <w:tc>
          <w:tcPr>
            <w:tcW w:w="414" w:type="pct"/>
            <w:vAlign w:val="center"/>
            <w:hideMark/>
          </w:tcPr>
          <w:p w14:paraId="4BC5B770" w14:textId="77777777" w:rsidR="007B2694" w:rsidRPr="00D207EA" w:rsidRDefault="007B2694" w:rsidP="007B2694">
            <w:pPr>
              <w:spacing w:before="0" w:after="0"/>
              <w:jc w:val="left"/>
              <w:rPr>
                <w:rFonts w:eastAsia="Times New Roman"/>
                <w:noProof/>
                <w:sz w:val="20"/>
                <w:szCs w:val="20"/>
              </w:rPr>
            </w:pPr>
            <w:r w:rsidRPr="00D207EA">
              <w:rPr>
                <w:noProof/>
                <w:color w:val="000000"/>
                <w:sz w:val="18"/>
              </w:rPr>
              <w:t>10 146,000</w:t>
            </w:r>
          </w:p>
        </w:tc>
        <w:tc>
          <w:tcPr>
            <w:tcW w:w="373" w:type="pct"/>
            <w:vAlign w:val="center"/>
            <w:hideMark/>
          </w:tcPr>
          <w:p w14:paraId="7B1B33A1" w14:textId="77777777" w:rsidR="007B2694" w:rsidRPr="00D207EA" w:rsidRDefault="007B2694" w:rsidP="007B2694">
            <w:pPr>
              <w:spacing w:before="0" w:after="0"/>
              <w:jc w:val="left"/>
              <w:rPr>
                <w:rFonts w:eastAsia="Times New Roman"/>
                <w:noProof/>
                <w:sz w:val="20"/>
                <w:szCs w:val="20"/>
              </w:rPr>
            </w:pPr>
            <w:r w:rsidRPr="00D207EA">
              <w:rPr>
                <w:noProof/>
                <w:color w:val="000000"/>
                <w:sz w:val="18"/>
              </w:rPr>
              <w:t>9 909,000</w:t>
            </w:r>
          </w:p>
        </w:tc>
        <w:tc>
          <w:tcPr>
            <w:tcW w:w="414" w:type="pct"/>
            <w:vAlign w:val="center"/>
            <w:hideMark/>
          </w:tcPr>
          <w:p w14:paraId="5D988F90" w14:textId="77777777" w:rsidR="007B2694" w:rsidRPr="00D207EA" w:rsidRDefault="007B2694" w:rsidP="007B2694">
            <w:pPr>
              <w:spacing w:before="0" w:after="0"/>
              <w:jc w:val="left"/>
              <w:rPr>
                <w:rFonts w:eastAsia="Times New Roman"/>
                <w:noProof/>
                <w:sz w:val="20"/>
                <w:szCs w:val="20"/>
              </w:rPr>
            </w:pPr>
            <w:r w:rsidRPr="00D207EA">
              <w:rPr>
                <w:noProof/>
                <w:color w:val="000000"/>
                <w:sz w:val="18"/>
              </w:rPr>
              <w:t>10 095,000</w:t>
            </w:r>
          </w:p>
        </w:tc>
        <w:tc>
          <w:tcPr>
            <w:tcW w:w="413" w:type="pct"/>
            <w:vAlign w:val="center"/>
            <w:hideMark/>
          </w:tcPr>
          <w:p w14:paraId="40C86CB1" w14:textId="77777777" w:rsidR="007B2694" w:rsidRPr="00D207EA" w:rsidRDefault="007B2694" w:rsidP="007B2694">
            <w:pPr>
              <w:spacing w:before="0" w:after="0"/>
              <w:jc w:val="left"/>
              <w:rPr>
                <w:rFonts w:eastAsia="Times New Roman"/>
                <w:noProof/>
                <w:sz w:val="20"/>
                <w:szCs w:val="20"/>
              </w:rPr>
            </w:pPr>
            <w:r w:rsidRPr="00D207EA">
              <w:rPr>
                <w:noProof/>
                <w:color w:val="000000"/>
                <w:sz w:val="18"/>
              </w:rPr>
              <w:t>9 621,000</w:t>
            </w:r>
          </w:p>
        </w:tc>
        <w:tc>
          <w:tcPr>
            <w:tcW w:w="414" w:type="pct"/>
            <w:vAlign w:val="center"/>
            <w:hideMark/>
          </w:tcPr>
          <w:p w14:paraId="63FE92EC" w14:textId="77777777" w:rsidR="007B2694" w:rsidRPr="00D207EA" w:rsidRDefault="007B2694" w:rsidP="007B2694">
            <w:pPr>
              <w:spacing w:before="0" w:after="0"/>
              <w:jc w:val="left"/>
              <w:rPr>
                <w:rFonts w:eastAsia="Times New Roman"/>
                <w:noProof/>
                <w:sz w:val="20"/>
                <w:szCs w:val="20"/>
              </w:rPr>
            </w:pPr>
            <w:r w:rsidRPr="00D207EA">
              <w:rPr>
                <w:noProof/>
                <w:color w:val="000000"/>
                <w:sz w:val="18"/>
              </w:rPr>
              <w:t>10 147,000</w:t>
            </w:r>
          </w:p>
        </w:tc>
        <w:tc>
          <w:tcPr>
            <w:tcW w:w="414" w:type="pct"/>
            <w:vAlign w:val="center"/>
            <w:hideMark/>
          </w:tcPr>
          <w:p w14:paraId="385752A8" w14:textId="77777777" w:rsidR="007B2694" w:rsidRPr="00D207EA" w:rsidRDefault="007B2694" w:rsidP="007B2694">
            <w:pPr>
              <w:spacing w:before="0" w:after="0"/>
              <w:jc w:val="left"/>
              <w:rPr>
                <w:rFonts w:eastAsia="Times New Roman"/>
                <w:noProof/>
                <w:sz w:val="20"/>
                <w:szCs w:val="20"/>
              </w:rPr>
            </w:pPr>
            <w:r w:rsidRPr="00D207EA">
              <w:rPr>
                <w:noProof/>
                <w:color w:val="000000"/>
                <w:sz w:val="18"/>
              </w:rPr>
              <w:t>10 331,000</w:t>
            </w:r>
          </w:p>
        </w:tc>
        <w:tc>
          <w:tcPr>
            <w:tcW w:w="413" w:type="pct"/>
            <w:shd w:val="clear" w:color="000000" w:fill="D9D9D9"/>
            <w:vAlign w:val="center"/>
            <w:hideMark/>
          </w:tcPr>
          <w:p w14:paraId="090AD897" w14:textId="77777777" w:rsidR="007B2694" w:rsidRPr="00D207EA" w:rsidRDefault="007B2694" w:rsidP="007B2694">
            <w:pPr>
              <w:spacing w:before="0" w:after="0"/>
              <w:jc w:val="right"/>
              <w:rPr>
                <w:rFonts w:eastAsia="Times New Roman"/>
                <w:b/>
                <w:noProof/>
                <w:color w:val="000000"/>
                <w:sz w:val="20"/>
                <w:szCs w:val="20"/>
              </w:rPr>
            </w:pPr>
            <w:r w:rsidRPr="00D207EA">
              <w:rPr>
                <w:b/>
                <w:noProof/>
                <w:color w:val="000000"/>
                <w:sz w:val="18"/>
              </w:rPr>
              <w:t>71 933,000</w:t>
            </w:r>
          </w:p>
        </w:tc>
      </w:tr>
      <w:tr w:rsidR="001F3400" w:rsidRPr="00D207EA" w14:paraId="05FDA4B5" w14:textId="77777777" w:rsidTr="001F3400">
        <w:trPr>
          <w:trHeight w:val="300"/>
        </w:trPr>
        <w:tc>
          <w:tcPr>
            <w:tcW w:w="1029" w:type="pct"/>
            <w:vMerge/>
            <w:vAlign w:val="center"/>
            <w:hideMark/>
          </w:tcPr>
          <w:p w14:paraId="7B3CC9B3" w14:textId="77777777" w:rsidR="007B2694" w:rsidRPr="00D207E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6612CCD7" w14:textId="77777777" w:rsidR="007B2694" w:rsidRPr="00D207EA" w:rsidRDefault="007B2694" w:rsidP="007B2694">
            <w:pPr>
              <w:spacing w:before="0" w:after="0"/>
              <w:rPr>
                <w:rFonts w:eastAsia="Times New Roman"/>
                <w:noProof/>
                <w:color w:val="000000"/>
                <w:sz w:val="18"/>
                <w:szCs w:val="18"/>
              </w:rPr>
            </w:pPr>
            <w:r w:rsidRPr="00D207EA">
              <w:rPr>
                <w:noProof/>
                <w:sz w:val="18"/>
              </w:rPr>
              <w:t>Paiements</w:t>
            </w:r>
          </w:p>
        </w:tc>
        <w:tc>
          <w:tcPr>
            <w:tcW w:w="242" w:type="pct"/>
            <w:vAlign w:val="center"/>
            <w:hideMark/>
          </w:tcPr>
          <w:p w14:paraId="7A494339"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(2a)</w:t>
            </w:r>
          </w:p>
        </w:tc>
        <w:tc>
          <w:tcPr>
            <w:tcW w:w="414" w:type="pct"/>
            <w:vAlign w:val="center"/>
            <w:hideMark/>
          </w:tcPr>
          <w:p w14:paraId="67A4C9DB"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p.m.</w:t>
            </w:r>
          </w:p>
        </w:tc>
        <w:tc>
          <w:tcPr>
            <w:tcW w:w="414" w:type="pct"/>
            <w:vAlign w:val="center"/>
            <w:hideMark/>
          </w:tcPr>
          <w:p w14:paraId="37E0C2FB"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44A4EAA7"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05CAEFD9"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55600FE1"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614DFF7B"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084EFC3C"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592F4883"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30742EEC" w14:textId="77777777" w:rsidTr="001F3400">
        <w:trPr>
          <w:trHeight w:val="300"/>
        </w:trPr>
        <w:tc>
          <w:tcPr>
            <w:tcW w:w="1029" w:type="pct"/>
            <w:vMerge w:val="restart"/>
            <w:vAlign w:val="center"/>
            <w:hideMark/>
          </w:tcPr>
          <w:p w14:paraId="6EA4626F" w14:textId="77777777" w:rsidR="007B2694" w:rsidRPr="00D207EA" w:rsidRDefault="007B2694" w:rsidP="007B2694">
            <w:pPr>
              <w:spacing w:before="0" w:after="0"/>
              <w:jc w:val="left"/>
              <w:rPr>
                <w:rFonts w:eastAsia="Times New Roman"/>
                <w:noProof/>
                <w:color w:val="000000"/>
                <w:sz w:val="20"/>
                <w:szCs w:val="20"/>
              </w:rPr>
            </w:pPr>
            <w:r w:rsidRPr="00D207EA">
              <w:rPr>
                <w:noProof/>
                <w:sz w:val="18"/>
              </w:rPr>
              <w:t>02.03.01 Actions de l’Union</w:t>
            </w:r>
          </w:p>
        </w:tc>
        <w:tc>
          <w:tcPr>
            <w:tcW w:w="462" w:type="pct"/>
            <w:vAlign w:val="center"/>
            <w:hideMark/>
          </w:tcPr>
          <w:p w14:paraId="33611C62" w14:textId="77777777" w:rsidR="007B2694" w:rsidRPr="00D207EA" w:rsidRDefault="007B2694" w:rsidP="007B2694">
            <w:pPr>
              <w:spacing w:before="0" w:after="0"/>
              <w:rPr>
                <w:rFonts w:eastAsia="Times New Roman"/>
                <w:noProof/>
                <w:color w:val="000000"/>
                <w:sz w:val="18"/>
                <w:szCs w:val="18"/>
              </w:rPr>
            </w:pPr>
            <w:r w:rsidRPr="00D207EA">
              <w:rPr>
                <w:noProof/>
                <w:sz w:val="18"/>
              </w:rPr>
              <w:t>Engagements</w:t>
            </w:r>
          </w:p>
        </w:tc>
        <w:tc>
          <w:tcPr>
            <w:tcW w:w="242" w:type="pct"/>
            <w:vAlign w:val="center"/>
            <w:hideMark/>
          </w:tcPr>
          <w:p w14:paraId="2F8AB059"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(1a)</w:t>
            </w:r>
          </w:p>
        </w:tc>
        <w:tc>
          <w:tcPr>
            <w:tcW w:w="414" w:type="pct"/>
            <w:vAlign w:val="center"/>
            <w:hideMark/>
          </w:tcPr>
          <w:p w14:paraId="769C0A84"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10 512,000</w:t>
            </w:r>
          </w:p>
        </w:tc>
        <w:tc>
          <w:tcPr>
            <w:tcW w:w="414" w:type="pct"/>
            <w:vAlign w:val="center"/>
            <w:hideMark/>
          </w:tcPr>
          <w:p w14:paraId="5B4C4F08" w14:textId="77777777" w:rsidR="007B2694" w:rsidRPr="00D207EA" w:rsidRDefault="007B2694" w:rsidP="007B2694">
            <w:pPr>
              <w:spacing w:before="0" w:after="0"/>
              <w:jc w:val="left"/>
              <w:rPr>
                <w:rFonts w:eastAsia="Times New Roman"/>
                <w:noProof/>
                <w:sz w:val="20"/>
                <w:szCs w:val="20"/>
              </w:rPr>
            </w:pPr>
            <w:r w:rsidRPr="00D207EA">
              <w:rPr>
                <w:noProof/>
                <w:sz w:val="18"/>
              </w:rPr>
              <w:t>8 951,000</w:t>
            </w:r>
          </w:p>
        </w:tc>
        <w:tc>
          <w:tcPr>
            <w:tcW w:w="373" w:type="pct"/>
            <w:vAlign w:val="center"/>
            <w:hideMark/>
          </w:tcPr>
          <w:p w14:paraId="1980C119" w14:textId="77777777" w:rsidR="007B2694" w:rsidRPr="00D207EA" w:rsidRDefault="007B2694" w:rsidP="007B2694">
            <w:pPr>
              <w:spacing w:before="0" w:after="0"/>
              <w:jc w:val="left"/>
              <w:rPr>
                <w:rFonts w:eastAsia="Times New Roman"/>
                <w:noProof/>
                <w:sz w:val="20"/>
                <w:szCs w:val="20"/>
              </w:rPr>
            </w:pPr>
            <w:r w:rsidRPr="00D207EA">
              <w:rPr>
                <w:noProof/>
                <w:sz w:val="18"/>
              </w:rPr>
              <w:t>8 690,000</w:t>
            </w:r>
          </w:p>
        </w:tc>
        <w:tc>
          <w:tcPr>
            <w:tcW w:w="414" w:type="pct"/>
            <w:vAlign w:val="center"/>
            <w:hideMark/>
          </w:tcPr>
          <w:p w14:paraId="7B7C91BA" w14:textId="77777777" w:rsidR="007B2694" w:rsidRPr="00D207EA" w:rsidRDefault="007B2694" w:rsidP="007B2694">
            <w:pPr>
              <w:spacing w:before="0" w:after="0"/>
              <w:jc w:val="left"/>
              <w:rPr>
                <w:rFonts w:eastAsia="Times New Roman"/>
                <w:noProof/>
                <w:sz w:val="20"/>
                <w:szCs w:val="20"/>
              </w:rPr>
            </w:pPr>
            <w:r w:rsidRPr="00D207EA">
              <w:rPr>
                <w:noProof/>
                <w:sz w:val="18"/>
              </w:rPr>
              <w:t>8 852,000</w:t>
            </w:r>
          </w:p>
        </w:tc>
        <w:tc>
          <w:tcPr>
            <w:tcW w:w="413" w:type="pct"/>
            <w:vAlign w:val="center"/>
            <w:hideMark/>
          </w:tcPr>
          <w:p w14:paraId="74EF8EDE" w14:textId="77777777" w:rsidR="007B2694" w:rsidRPr="00D207EA" w:rsidRDefault="007B2694" w:rsidP="007B2694">
            <w:pPr>
              <w:spacing w:before="0" w:after="0"/>
              <w:jc w:val="left"/>
              <w:rPr>
                <w:rFonts w:eastAsia="Times New Roman"/>
                <w:noProof/>
                <w:sz w:val="20"/>
                <w:szCs w:val="20"/>
              </w:rPr>
            </w:pPr>
            <w:r w:rsidRPr="00D207EA">
              <w:rPr>
                <w:noProof/>
                <w:sz w:val="18"/>
              </w:rPr>
              <w:t>8 353,000</w:t>
            </w:r>
          </w:p>
        </w:tc>
        <w:tc>
          <w:tcPr>
            <w:tcW w:w="414" w:type="pct"/>
            <w:vAlign w:val="center"/>
            <w:hideMark/>
          </w:tcPr>
          <w:p w14:paraId="2548D60F" w14:textId="77777777" w:rsidR="007B2694" w:rsidRPr="00D207EA" w:rsidRDefault="007B2694" w:rsidP="007B2694">
            <w:pPr>
              <w:spacing w:before="0" w:after="0"/>
              <w:jc w:val="left"/>
              <w:rPr>
                <w:rFonts w:eastAsia="Times New Roman"/>
                <w:noProof/>
                <w:sz w:val="20"/>
                <w:szCs w:val="20"/>
              </w:rPr>
            </w:pPr>
            <w:r w:rsidRPr="00D207EA">
              <w:rPr>
                <w:noProof/>
                <w:sz w:val="18"/>
              </w:rPr>
              <w:t>8 853,000</w:t>
            </w:r>
          </w:p>
        </w:tc>
        <w:tc>
          <w:tcPr>
            <w:tcW w:w="414" w:type="pct"/>
            <w:vAlign w:val="center"/>
            <w:hideMark/>
          </w:tcPr>
          <w:p w14:paraId="7648B737" w14:textId="77777777" w:rsidR="007B2694" w:rsidRPr="00D207EA" w:rsidRDefault="007B2694" w:rsidP="007B2694">
            <w:pPr>
              <w:spacing w:before="0" w:after="0"/>
              <w:jc w:val="left"/>
              <w:rPr>
                <w:rFonts w:eastAsia="Times New Roman"/>
                <w:noProof/>
                <w:sz w:val="20"/>
                <w:szCs w:val="20"/>
              </w:rPr>
            </w:pPr>
            <w:r w:rsidRPr="00D207EA">
              <w:rPr>
                <w:noProof/>
                <w:sz w:val="18"/>
              </w:rPr>
              <w:t>9 012,000</w:t>
            </w:r>
          </w:p>
        </w:tc>
        <w:tc>
          <w:tcPr>
            <w:tcW w:w="413" w:type="pct"/>
            <w:shd w:val="clear" w:color="000000" w:fill="D9D9D9"/>
            <w:vAlign w:val="center"/>
            <w:hideMark/>
          </w:tcPr>
          <w:p w14:paraId="5EA9BAE8"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63 223,000</w:t>
            </w:r>
          </w:p>
        </w:tc>
      </w:tr>
      <w:tr w:rsidR="001F3400" w:rsidRPr="00D207EA" w14:paraId="36D8CEE0" w14:textId="77777777" w:rsidTr="001F3400">
        <w:trPr>
          <w:trHeight w:val="300"/>
        </w:trPr>
        <w:tc>
          <w:tcPr>
            <w:tcW w:w="1029" w:type="pct"/>
            <w:vMerge/>
            <w:vAlign w:val="center"/>
            <w:hideMark/>
          </w:tcPr>
          <w:p w14:paraId="7438E900" w14:textId="77777777" w:rsidR="007B2694" w:rsidRPr="00D207E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464F99F7" w14:textId="77777777" w:rsidR="007B2694" w:rsidRPr="00D207EA" w:rsidRDefault="007B2694" w:rsidP="007B2694">
            <w:pPr>
              <w:spacing w:before="0" w:after="0"/>
              <w:rPr>
                <w:rFonts w:eastAsia="Times New Roman"/>
                <w:noProof/>
                <w:color w:val="000000"/>
                <w:sz w:val="18"/>
                <w:szCs w:val="18"/>
              </w:rPr>
            </w:pPr>
            <w:r w:rsidRPr="00D207EA">
              <w:rPr>
                <w:noProof/>
                <w:sz w:val="18"/>
              </w:rPr>
              <w:t>Paiements</w:t>
            </w:r>
          </w:p>
        </w:tc>
        <w:tc>
          <w:tcPr>
            <w:tcW w:w="242" w:type="pct"/>
            <w:vAlign w:val="center"/>
            <w:hideMark/>
          </w:tcPr>
          <w:p w14:paraId="76D26109"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(2a)</w:t>
            </w:r>
          </w:p>
        </w:tc>
        <w:tc>
          <w:tcPr>
            <w:tcW w:w="414" w:type="pct"/>
            <w:vAlign w:val="center"/>
            <w:hideMark/>
          </w:tcPr>
          <w:p w14:paraId="7FE17AF8"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p.m.</w:t>
            </w:r>
          </w:p>
        </w:tc>
        <w:tc>
          <w:tcPr>
            <w:tcW w:w="414" w:type="pct"/>
            <w:vAlign w:val="center"/>
            <w:hideMark/>
          </w:tcPr>
          <w:p w14:paraId="08378118"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54603914"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0A7A996C"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1C5C7FF4"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23A58491"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1FDB68BF"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3F4E3876"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2556B734" w14:textId="77777777" w:rsidTr="001F3400">
        <w:trPr>
          <w:trHeight w:val="300"/>
        </w:trPr>
        <w:tc>
          <w:tcPr>
            <w:tcW w:w="1029" w:type="pct"/>
            <w:vMerge w:val="restart"/>
            <w:vAlign w:val="center"/>
            <w:hideMark/>
          </w:tcPr>
          <w:p w14:paraId="36853035" w14:textId="77777777" w:rsidR="007B2694" w:rsidRPr="00D207EA" w:rsidRDefault="007B2694" w:rsidP="007B2694">
            <w:pPr>
              <w:spacing w:before="0" w:after="0"/>
              <w:jc w:val="left"/>
              <w:rPr>
                <w:rFonts w:eastAsia="Times New Roman"/>
                <w:noProof/>
                <w:color w:val="000000"/>
                <w:sz w:val="20"/>
                <w:szCs w:val="20"/>
              </w:rPr>
            </w:pPr>
            <w:r w:rsidRPr="00D207EA">
              <w:rPr>
                <w:noProof/>
                <w:sz w:val="18"/>
              </w:rPr>
              <w:t>02.03.01.01 Situations de crise – Solidarité de l’Union européenne</w:t>
            </w:r>
          </w:p>
        </w:tc>
        <w:tc>
          <w:tcPr>
            <w:tcW w:w="462" w:type="pct"/>
            <w:vAlign w:val="center"/>
            <w:hideMark/>
          </w:tcPr>
          <w:p w14:paraId="2E972A03" w14:textId="77777777" w:rsidR="007B2694" w:rsidRPr="00D207EA" w:rsidRDefault="007B2694" w:rsidP="007B2694">
            <w:pPr>
              <w:spacing w:before="0" w:after="0"/>
              <w:rPr>
                <w:rFonts w:eastAsia="Times New Roman"/>
                <w:noProof/>
                <w:color w:val="000000"/>
                <w:sz w:val="18"/>
                <w:szCs w:val="18"/>
              </w:rPr>
            </w:pPr>
            <w:r w:rsidRPr="00D207EA">
              <w:rPr>
                <w:noProof/>
                <w:sz w:val="18"/>
              </w:rPr>
              <w:t>Engagements</w:t>
            </w:r>
          </w:p>
        </w:tc>
        <w:tc>
          <w:tcPr>
            <w:tcW w:w="242" w:type="pct"/>
            <w:vAlign w:val="center"/>
            <w:hideMark/>
          </w:tcPr>
          <w:p w14:paraId="783376E0"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(1a)</w:t>
            </w:r>
          </w:p>
        </w:tc>
        <w:tc>
          <w:tcPr>
            <w:tcW w:w="414" w:type="pct"/>
            <w:vAlign w:val="center"/>
            <w:hideMark/>
          </w:tcPr>
          <w:p w14:paraId="69645BA5"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2 706,000</w:t>
            </w:r>
          </w:p>
        </w:tc>
        <w:tc>
          <w:tcPr>
            <w:tcW w:w="414" w:type="pct"/>
            <w:vAlign w:val="center"/>
            <w:hideMark/>
          </w:tcPr>
          <w:p w14:paraId="4A1CB4EA" w14:textId="77777777" w:rsidR="007B2694" w:rsidRPr="00D207EA" w:rsidRDefault="007B2694" w:rsidP="007B2694">
            <w:pPr>
              <w:spacing w:before="0" w:after="0"/>
              <w:jc w:val="left"/>
              <w:rPr>
                <w:rFonts w:eastAsia="Times New Roman"/>
                <w:noProof/>
                <w:sz w:val="20"/>
                <w:szCs w:val="20"/>
              </w:rPr>
            </w:pPr>
            <w:r w:rsidRPr="00D207EA">
              <w:rPr>
                <w:noProof/>
                <w:sz w:val="18"/>
              </w:rPr>
              <w:t>2 760,000</w:t>
            </w:r>
          </w:p>
        </w:tc>
        <w:tc>
          <w:tcPr>
            <w:tcW w:w="373" w:type="pct"/>
            <w:vAlign w:val="center"/>
            <w:hideMark/>
          </w:tcPr>
          <w:p w14:paraId="4A554508" w14:textId="77777777" w:rsidR="007B2694" w:rsidRPr="00D207EA" w:rsidRDefault="007B2694" w:rsidP="007B2694">
            <w:pPr>
              <w:spacing w:before="0" w:after="0"/>
              <w:jc w:val="left"/>
              <w:rPr>
                <w:rFonts w:eastAsia="Times New Roman"/>
                <w:noProof/>
                <w:sz w:val="20"/>
                <w:szCs w:val="20"/>
              </w:rPr>
            </w:pPr>
            <w:r w:rsidRPr="00D207EA">
              <w:rPr>
                <w:noProof/>
                <w:sz w:val="18"/>
              </w:rPr>
              <w:t>2 815,000</w:t>
            </w:r>
          </w:p>
        </w:tc>
        <w:tc>
          <w:tcPr>
            <w:tcW w:w="414" w:type="pct"/>
            <w:vAlign w:val="center"/>
            <w:hideMark/>
          </w:tcPr>
          <w:p w14:paraId="44461D72" w14:textId="77777777" w:rsidR="007B2694" w:rsidRPr="00D207EA" w:rsidRDefault="007B2694" w:rsidP="007B2694">
            <w:pPr>
              <w:spacing w:before="0" w:after="0"/>
              <w:jc w:val="left"/>
              <w:rPr>
                <w:rFonts w:eastAsia="Times New Roman"/>
                <w:noProof/>
                <w:sz w:val="20"/>
                <w:szCs w:val="20"/>
              </w:rPr>
            </w:pPr>
            <w:r w:rsidRPr="00D207EA">
              <w:rPr>
                <w:noProof/>
                <w:sz w:val="18"/>
              </w:rPr>
              <w:t>2 872,000</w:t>
            </w:r>
          </w:p>
        </w:tc>
        <w:tc>
          <w:tcPr>
            <w:tcW w:w="413" w:type="pct"/>
            <w:vAlign w:val="center"/>
            <w:hideMark/>
          </w:tcPr>
          <w:p w14:paraId="50E47A93" w14:textId="77777777" w:rsidR="007B2694" w:rsidRPr="00D207EA" w:rsidRDefault="007B2694" w:rsidP="007B2694">
            <w:pPr>
              <w:spacing w:before="0" w:after="0"/>
              <w:jc w:val="left"/>
              <w:rPr>
                <w:rFonts w:eastAsia="Times New Roman"/>
                <w:noProof/>
                <w:sz w:val="20"/>
                <w:szCs w:val="20"/>
              </w:rPr>
            </w:pPr>
            <w:r w:rsidRPr="00D207EA">
              <w:rPr>
                <w:noProof/>
                <w:sz w:val="18"/>
              </w:rPr>
              <w:t>2 929,000</w:t>
            </w:r>
          </w:p>
        </w:tc>
        <w:tc>
          <w:tcPr>
            <w:tcW w:w="414" w:type="pct"/>
            <w:vAlign w:val="center"/>
            <w:hideMark/>
          </w:tcPr>
          <w:p w14:paraId="683F4346" w14:textId="77777777" w:rsidR="007B2694" w:rsidRPr="00D207EA" w:rsidRDefault="007B2694" w:rsidP="007B2694">
            <w:pPr>
              <w:spacing w:before="0" w:after="0"/>
              <w:jc w:val="left"/>
              <w:rPr>
                <w:rFonts w:eastAsia="Times New Roman"/>
                <w:noProof/>
                <w:sz w:val="20"/>
                <w:szCs w:val="20"/>
              </w:rPr>
            </w:pPr>
            <w:r w:rsidRPr="00D207EA">
              <w:rPr>
                <w:noProof/>
                <w:sz w:val="18"/>
              </w:rPr>
              <w:t>2 988,000</w:t>
            </w:r>
          </w:p>
        </w:tc>
        <w:tc>
          <w:tcPr>
            <w:tcW w:w="414" w:type="pct"/>
            <w:vAlign w:val="center"/>
            <w:hideMark/>
          </w:tcPr>
          <w:p w14:paraId="5E04C785" w14:textId="77777777" w:rsidR="007B2694" w:rsidRPr="00D207EA" w:rsidRDefault="007B2694" w:rsidP="007B2694">
            <w:pPr>
              <w:spacing w:before="0" w:after="0"/>
              <w:jc w:val="left"/>
              <w:rPr>
                <w:rFonts w:eastAsia="Times New Roman"/>
                <w:noProof/>
                <w:sz w:val="20"/>
                <w:szCs w:val="20"/>
              </w:rPr>
            </w:pPr>
            <w:r w:rsidRPr="00D207EA">
              <w:rPr>
                <w:noProof/>
                <w:sz w:val="18"/>
              </w:rPr>
              <w:t>3 047,000</w:t>
            </w:r>
          </w:p>
        </w:tc>
        <w:tc>
          <w:tcPr>
            <w:tcW w:w="413" w:type="pct"/>
            <w:shd w:val="clear" w:color="000000" w:fill="D9D9D9"/>
            <w:vAlign w:val="center"/>
            <w:hideMark/>
          </w:tcPr>
          <w:p w14:paraId="78671327"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20 117,000</w:t>
            </w:r>
          </w:p>
        </w:tc>
      </w:tr>
      <w:tr w:rsidR="001F3400" w:rsidRPr="00D207EA" w14:paraId="6909551B" w14:textId="77777777" w:rsidTr="001F3400">
        <w:trPr>
          <w:trHeight w:val="300"/>
        </w:trPr>
        <w:tc>
          <w:tcPr>
            <w:tcW w:w="1029" w:type="pct"/>
            <w:vMerge/>
            <w:vAlign w:val="center"/>
            <w:hideMark/>
          </w:tcPr>
          <w:p w14:paraId="0ABF1F6F" w14:textId="77777777" w:rsidR="007B2694" w:rsidRPr="00D207E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61259B1F" w14:textId="77777777" w:rsidR="007B2694" w:rsidRPr="00D207EA" w:rsidRDefault="007B2694" w:rsidP="007B2694">
            <w:pPr>
              <w:spacing w:before="0" w:after="0"/>
              <w:rPr>
                <w:rFonts w:eastAsia="Times New Roman"/>
                <w:noProof/>
                <w:color w:val="000000"/>
                <w:sz w:val="18"/>
                <w:szCs w:val="18"/>
              </w:rPr>
            </w:pPr>
            <w:r w:rsidRPr="00D207EA">
              <w:rPr>
                <w:noProof/>
                <w:sz w:val="18"/>
              </w:rPr>
              <w:t>Paiements</w:t>
            </w:r>
          </w:p>
        </w:tc>
        <w:tc>
          <w:tcPr>
            <w:tcW w:w="242" w:type="pct"/>
            <w:vAlign w:val="center"/>
            <w:hideMark/>
          </w:tcPr>
          <w:p w14:paraId="7ABCDE22"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(2a)</w:t>
            </w:r>
          </w:p>
        </w:tc>
        <w:tc>
          <w:tcPr>
            <w:tcW w:w="414" w:type="pct"/>
            <w:vAlign w:val="center"/>
            <w:hideMark/>
          </w:tcPr>
          <w:p w14:paraId="3AA2B171"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p.m.</w:t>
            </w:r>
          </w:p>
        </w:tc>
        <w:tc>
          <w:tcPr>
            <w:tcW w:w="414" w:type="pct"/>
            <w:vAlign w:val="center"/>
            <w:hideMark/>
          </w:tcPr>
          <w:p w14:paraId="0E7E15E5"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161A9D81"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161910E4"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5AA9C90D"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3E92E9D7"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2521A916"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17606B84"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669C5404" w14:textId="77777777" w:rsidTr="001F3400">
        <w:trPr>
          <w:trHeight w:val="300"/>
        </w:trPr>
        <w:tc>
          <w:tcPr>
            <w:tcW w:w="1029" w:type="pct"/>
            <w:vMerge w:val="restart"/>
            <w:vAlign w:val="center"/>
            <w:hideMark/>
          </w:tcPr>
          <w:p w14:paraId="2612E8D1" w14:textId="77777777" w:rsidR="007B2694" w:rsidRPr="00D207EA" w:rsidRDefault="007B2694" w:rsidP="007B2694">
            <w:pPr>
              <w:spacing w:before="0" w:after="0"/>
              <w:jc w:val="left"/>
              <w:rPr>
                <w:rFonts w:eastAsia="Times New Roman"/>
                <w:noProof/>
                <w:color w:val="000000"/>
                <w:sz w:val="20"/>
                <w:szCs w:val="20"/>
              </w:rPr>
            </w:pPr>
            <w:r w:rsidRPr="00D207EA">
              <w:rPr>
                <w:noProof/>
                <w:sz w:val="18"/>
              </w:rPr>
              <w:t>02.03.01.02 Filet de sécurité unitaire (stabilisation des marchés agricoles)</w:t>
            </w:r>
          </w:p>
        </w:tc>
        <w:tc>
          <w:tcPr>
            <w:tcW w:w="462" w:type="pct"/>
            <w:vAlign w:val="center"/>
            <w:hideMark/>
          </w:tcPr>
          <w:p w14:paraId="3E7A6501" w14:textId="77777777" w:rsidR="007B2694" w:rsidRPr="00D207EA" w:rsidRDefault="007B2694" w:rsidP="007B2694">
            <w:pPr>
              <w:spacing w:before="0" w:after="0"/>
              <w:rPr>
                <w:rFonts w:eastAsia="Times New Roman"/>
                <w:noProof/>
                <w:color w:val="000000"/>
                <w:sz w:val="18"/>
                <w:szCs w:val="18"/>
              </w:rPr>
            </w:pPr>
            <w:r w:rsidRPr="00D207EA">
              <w:rPr>
                <w:noProof/>
                <w:sz w:val="18"/>
              </w:rPr>
              <w:t>Engagements</w:t>
            </w:r>
          </w:p>
        </w:tc>
        <w:tc>
          <w:tcPr>
            <w:tcW w:w="242" w:type="pct"/>
            <w:vAlign w:val="center"/>
            <w:hideMark/>
          </w:tcPr>
          <w:p w14:paraId="7881B159"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(1a)</w:t>
            </w:r>
          </w:p>
        </w:tc>
        <w:tc>
          <w:tcPr>
            <w:tcW w:w="414" w:type="pct"/>
            <w:vAlign w:val="center"/>
            <w:hideMark/>
          </w:tcPr>
          <w:p w14:paraId="227DA94E"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900,000</w:t>
            </w:r>
          </w:p>
        </w:tc>
        <w:tc>
          <w:tcPr>
            <w:tcW w:w="414" w:type="pct"/>
            <w:vAlign w:val="center"/>
            <w:hideMark/>
          </w:tcPr>
          <w:p w14:paraId="49D4E67C" w14:textId="77777777" w:rsidR="007B2694" w:rsidRPr="00D207EA" w:rsidRDefault="007B2694" w:rsidP="007B2694">
            <w:pPr>
              <w:spacing w:before="0" w:after="0"/>
              <w:jc w:val="left"/>
              <w:rPr>
                <w:rFonts w:eastAsia="Times New Roman"/>
                <w:noProof/>
                <w:sz w:val="20"/>
                <w:szCs w:val="20"/>
              </w:rPr>
            </w:pPr>
            <w:r w:rsidRPr="00D207EA">
              <w:rPr>
                <w:noProof/>
                <w:sz w:val="18"/>
              </w:rPr>
              <w:t>900,000</w:t>
            </w:r>
          </w:p>
        </w:tc>
        <w:tc>
          <w:tcPr>
            <w:tcW w:w="373" w:type="pct"/>
            <w:vAlign w:val="center"/>
            <w:hideMark/>
          </w:tcPr>
          <w:p w14:paraId="079AF206" w14:textId="77777777" w:rsidR="007B2694" w:rsidRPr="00D207EA" w:rsidRDefault="007B2694" w:rsidP="007B2694">
            <w:pPr>
              <w:spacing w:before="0" w:after="0"/>
              <w:jc w:val="left"/>
              <w:rPr>
                <w:rFonts w:eastAsia="Times New Roman"/>
                <w:noProof/>
                <w:sz w:val="20"/>
                <w:szCs w:val="20"/>
              </w:rPr>
            </w:pPr>
            <w:r w:rsidRPr="00D207EA">
              <w:rPr>
                <w:noProof/>
                <w:sz w:val="18"/>
              </w:rPr>
              <w:t>900,000</w:t>
            </w:r>
          </w:p>
        </w:tc>
        <w:tc>
          <w:tcPr>
            <w:tcW w:w="414" w:type="pct"/>
            <w:vAlign w:val="center"/>
            <w:hideMark/>
          </w:tcPr>
          <w:p w14:paraId="5E4394E3" w14:textId="77777777" w:rsidR="007B2694" w:rsidRPr="00D207EA" w:rsidRDefault="007B2694" w:rsidP="007B2694">
            <w:pPr>
              <w:spacing w:before="0" w:after="0"/>
              <w:jc w:val="left"/>
              <w:rPr>
                <w:rFonts w:eastAsia="Times New Roman"/>
                <w:noProof/>
                <w:sz w:val="20"/>
                <w:szCs w:val="20"/>
              </w:rPr>
            </w:pPr>
            <w:r w:rsidRPr="00D207EA">
              <w:rPr>
                <w:noProof/>
                <w:sz w:val="18"/>
              </w:rPr>
              <w:t>900,000</w:t>
            </w:r>
          </w:p>
        </w:tc>
        <w:tc>
          <w:tcPr>
            <w:tcW w:w="413" w:type="pct"/>
            <w:vAlign w:val="center"/>
            <w:hideMark/>
          </w:tcPr>
          <w:p w14:paraId="61B3B7F5" w14:textId="77777777" w:rsidR="007B2694" w:rsidRPr="00D207EA" w:rsidRDefault="007B2694" w:rsidP="007B2694">
            <w:pPr>
              <w:spacing w:before="0" w:after="0"/>
              <w:jc w:val="left"/>
              <w:rPr>
                <w:rFonts w:eastAsia="Times New Roman"/>
                <w:noProof/>
                <w:sz w:val="20"/>
                <w:szCs w:val="20"/>
              </w:rPr>
            </w:pPr>
            <w:r w:rsidRPr="00D207EA">
              <w:rPr>
                <w:noProof/>
                <w:sz w:val="18"/>
              </w:rPr>
              <w:t>901,000</w:t>
            </w:r>
          </w:p>
        </w:tc>
        <w:tc>
          <w:tcPr>
            <w:tcW w:w="414" w:type="pct"/>
            <w:vAlign w:val="center"/>
            <w:hideMark/>
          </w:tcPr>
          <w:p w14:paraId="46A516A2" w14:textId="77777777" w:rsidR="007B2694" w:rsidRPr="00D207EA" w:rsidRDefault="007B2694" w:rsidP="007B2694">
            <w:pPr>
              <w:spacing w:before="0" w:after="0"/>
              <w:jc w:val="left"/>
              <w:rPr>
                <w:rFonts w:eastAsia="Times New Roman"/>
                <w:noProof/>
                <w:sz w:val="20"/>
                <w:szCs w:val="20"/>
              </w:rPr>
            </w:pPr>
            <w:r w:rsidRPr="00D207EA">
              <w:rPr>
                <w:noProof/>
                <w:sz w:val="18"/>
              </w:rPr>
              <w:t>900,000</w:t>
            </w:r>
          </w:p>
        </w:tc>
        <w:tc>
          <w:tcPr>
            <w:tcW w:w="414" w:type="pct"/>
            <w:vAlign w:val="center"/>
            <w:hideMark/>
          </w:tcPr>
          <w:p w14:paraId="46621C85" w14:textId="77777777" w:rsidR="007B2694" w:rsidRPr="00D207EA" w:rsidRDefault="007B2694" w:rsidP="007B2694">
            <w:pPr>
              <w:spacing w:before="0" w:after="0"/>
              <w:jc w:val="left"/>
              <w:rPr>
                <w:rFonts w:eastAsia="Times New Roman"/>
                <w:noProof/>
                <w:sz w:val="20"/>
                <w:szCs w:val="20"/>
              </w:rPr>
            </w:pPr>
            <w:r w:rsidRPr="00D207EA">
              <w:rPr>
                <w:noProof/>
                <w:sz w:val="18"/>
              </w:rPr>
              <w:t>900,000</w:t>
            </w:r>
          </w:p>
        </w:tc>
        <w:tc>
          <w:tcPr>
            <w:tcW w:w="413" w:type="pct"/>
            <w:shd w:val="clear" w:color="000000" w:fill="D9D9D9"/>
            <w:vAlign w:val="center"/>
            <w:hideMark/>
          </w:tcPr>
          <w:p w14:paraId="3CECE1B9"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6 301,000</w:t>
            </w:r>
          </w:p>
        </w:tc>
      </w:tr>
      <w:tr w:rsidR="001F3400" w:rsidRPr="00D207EA" w14:paraId="6491C973" w14:textId="77777777" w:rsidTr="001F3400">
        <w:trPr>
          <w:trHeight w:val="300"/>
        </w:trPr>
        <w:tc>
          <w:tcPr>
            <w:tcW w:w="1029" w:type="pct"/>
            <w:vMerge/>
            <w:vAlign w:val="center"/>
            <w:hideMark/>
          </w:tcPr>
          <w:p w14:paraId="1650072E" w14:textId="77777777" w:rsidR="007B2694" w:rsidRPr="00D207E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17302E81" w14:textId="77777777" w:rsidR="007B2694" w:rsidRPr="00D207EA" w:rsidRDefault="007B2694" w:rsidP="007B2694">
            <w:pPr>
              <w:spacing w:before="0" w:after="0"/>
              <w:rPr>
                <w:rFonts w:eastAsia="Times New Roman"/>
                <w:noProof/>
                <w:color w:val="000000"/>
                <w:sz w:val="18"/>
                <w:szCs w:val="18"/>
              </w:rPr>
            </w:pPr>
            <w:r w:rsidRPr="00D207EA">
              <w:rPr>
                <w:noProof/>
                <w:sz w:val="18"/>
              </w:rPr>
              <w:t>Paiements</w:t>
            </w:r>
          </w:p>
        </w:tc>
        <w:tc>
          <w:tcPr>
            <w:tcW w:w="242" w:type="pct"/>
            <w:vAlign w:val="center"/>
            <w:hideMark/>
          </w:tcPr>
          <w:p w14:paraId="2E74C695"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(2a)</w:t>
            </w:r>
          </w:p>
        </w:tc>
        <w:tc>
          <w:tcPr>
            <w:tcW w:w="414" w:type="pct"/>
            <w:vAlign w:val="center"/>
            <w:hideMark/>
          </w:tcPr>
          <w:p w14:paraId="50F3130D"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p.m.</w:t>
            </w:r>
          </w:p>
        </w:tc>
        <w:tc>
          <w:tcPr>
            <w:tcW w:w="414" w:type="pct"/>
            <w:vAlign w:val="center"/>
            <w:hideMark/>
          </w:tcPr>
          <w:p w14:paraId="182EBA28"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53A8619A"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7DB53F50"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2D4ACF42"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29FDDFBC"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0B7CF116"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53399EE6"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792401A1" w14:textId="77777777" w:rsidTr="001F3400">
        <w:trPr>
          <w:trHeight w:val="300"/>
        </w:trPr>
        <w:tc>
          <w:tcPr>
            <w:tcW w:w="1029" w:type="pct"/>
            <w:vMerge w:val="restart"/>
            <w:vAlign w:val="center"/>
            <w:hideMark/>
          </w:tcPr>
          <w:p w14:paraId="47EA3032" w14:textId="77777777" w:rsidR="007B2694" w:rsidRPr="00D207EA" w:rsidRDefault="007B2694" w:rsidP="007B2694">
            <w:pPr>
              <w:spacing w:before="0" w:after="0"/>
              <w:jc w:val="left"/>
              <w:rPr>
                <w:rFonts w:eastAsia="Times New Roman"/>
                <w:noProof/>
                <w:color w:val="000000"/>
                <w:sz w:val="20"/>
                <w:szCs w:val="20"/>
              </w:rPr>
            </w:pPr>
            <w:r w:rsidRPr="00D207EA">
              <w:rPr>
                <w:noProof/>
                <w:sz w:val="18"/>
              </w:rPr>
              <w:t>02.03.01.03 Migration, asile, gestion des frontières, visas et sécurité intérieure</w:t>
            </w:r>
          </w:p>
        </w:tc>
        <w:tc>
          <w:tcPr>
            <w:tcW w:w="462" w:type="pct"/>
            <w:vAlign w:val="center"/>
            <w:hideMark/>
          </w:tcPr>
          <w:p w14:paraId="7E47CBD2" w14:textId="77777777" w:rsidR="007B2694" w:rsidRPr="00D207EA" w:rsidRDefault="007B2694" w:rsidP="007B2694">
            <w:pPr>
              <w:spacing w:before="0" w:after="0"/>
              <w:rPr>
                <w:rFonts w:eastAsia="Times New Roman"/>
                <w:noProof/>
                <w:color w:val="000000"/>
                <w:sz w:val="18"/>
                <w:szCs w:val="18"/>
              </w:rPr>
            </w:pPr>
            <w:r w:rsidRPr="00D207EA">
              <w:rPr>
                <w:noProof/>
                <w:sz w:val="18"/>
              </w:rPr>
              <w:t>Engagements</w:t>
            </w:r>
          </w:p>
        </w:tc>
        <w:tc>
          <w:tcPr>
            <w:tcW w:w="242" w:type="pct"/>
            <w:vAlign w:val="center"/>
            <w:hideMark/>
          </w:tcPr>
          <w:p w14:paraId="23633971"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(1a)</w:t>
            </w:r>
          </w:p>
        </w:tc>
        <w:tc>
          <w:tcPr>
            <w:tcW w:w="414" w:type="pct"/>
            <w:vAlign w:val="center"/>
            <w:hideMark/>
          </w:tcPr>
          <w:p w14:paraId="309F6B29"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3 401 000</w:t>
            </w:r>
          </w:p>
        </w:tc>
        <w:tc>
          <w:tcPr>
            <w:tcW w:w="414" w:type="pct"/>
            <w:vAlign w:val="center"/>
            <w:hideMark/>
          </w:tcPr>
          <w:p w14:paraId="6EDEC5D4" w14:textId="77777777" w:rsidR="007B2694" w:rsidRPr="00D207EA" w:rsidRDefault="007B2694" w:rsidP="007B2694">
            <w:pPr>
              <w:spacing w:before="0" w:after="0"/>
              <w:jc w:val="left"/>
              <w:rPr>
                <w:rFonts w:eastAsia="Times New Roman"/>
                <w:noProof/>
                <w:sz w:val="20"/>
                <w:szCs w:val="20"/>
              </w:rPr>
            </w:pPr>
            <w:r w:rsidRPr="00D207EA">
              <w:rPr>
                <w:noProof/>
                <w:sz w:val="18"/>
              </w:rPr>
              <w:t>3 469 000</w:t>
            </w:r>
          </w:p>
        </w:tc>
        <w:tc>
          <w:tcPr>
            <w:tcW w:w="373" w:type="pct"/>
            <w:vAlign w:val="center"/>
            <w:hideMark/>
          </w:tcPr>
          <w:p w14:paraId="73585039" w14:textId="77777777" w:rsidR="007B2694" w:rsidRPr="00D207EA" w:rsidRDefault="007B2694" w:rsidP="007B2694">
            <w:pPr>
              <w:spacing w:before="0" w:after="0"/>
              <w:jc w:val="left"/>
              <w:rPr>
                <w:rFonts w:eastAsia="Times New Roman"/>
                <w:noProof/>
                <w:sz w:val="20"/>
                <w:szCs w:val="20"/>
              </w:rPr>
            </w:pPr>
            <w:r w:rsidRPr="00D207EA">
              <w:rPr>
                <w:noProof/>
                <w:sz w:val="18"/>
              </w:rPr>
              <w:t>3 539 000</w:t>
            </w:r>
          </w:p>
        </w:tc>
        <w:tc>
          <w:tcPr>
            <w:tcW w:w="414" w:type="pct"/>
            <w:vAlign w:val="center"/>
            <w:hideMark/>
          </w:tcPr>
          <w:p w14:paraId="1E0A7E70" w14:textId="77777777" w:rsidR="007B2694" w:rsidRPr="00D207EA" w:rsidRDefault="007B2694" w:rsidP="007B2694">
            <w:pPr>
              <w:spacing w:before="0" w:after="0"/>
              <w:jc w:val="left"/>
              <w:rPr>
                <w:rFonts w:eastAsia="Times New Roman"/>
                <w:noProof/>
                <w:sz w:val="20"/>
                <w:szCs w:val="20"/>
              </w:rPr>
            </w:pPr>
            <w:r w:rsidRPr="00D207EA">
              <w:rPr>
                <w:noProof/>
                <w:sz w:val="18"/>
              </w:rPr>
              <w:t>3 609 000</w:t>
            </w:r>
          </w:p>
        </w:tc>
        <w:tc>
          <w:tcPr>
            <w:tcW w:w="413" w:type="pct"/>
            <w:vAlign w:val="center"/>
            <w:hideMark/>
          </w:tcPr>
          <w:p w14:paraId="13A15F8A" w14:textId="77777777" w:rsidR="007B2694" w:rsidRPr="00D207EA" w:rsidRDefault="007B2694" w:rsidP="007B2694">
            <w:pPr>
              <w:spacing w:before="0" w:after="0"/>
              <w:jc w:val="left"/>
              <w:rPr>
                <w:rFonts w:eastAsia="Times New Roman"/>
                <w:noProof/>
                <w:sz w:val="20"/>
                <w:szCs w:val="20"/>
              </w:rPr>
            </w:pPr>
            <w:r w:rsidRPr="00D207EA">
              <w:rPr>
                <w:noProof/>
                <w:sz w:val="18"/>
              </w:rPr>
              <w:t>3 682 000</w:t>
            </w:r>
          </w:p>
        </w:tc>
        <w:tc>
          <w:tcPr>
            <w:tcW w:w="414" w:type="pct"/>
            <w:vAlign w:val="center"/>
            <w:hideMark/>
          </w:tcPr>
          <w:p w14:paraId="30DAE43C" w14:textId="77777777" w:rsidR="007B2694" w:rsidRPr="00D207EA" w:rsidRDefault="007B2694" w:rsidP="007B2694">
            <w:pPr>
              <w:spacing w:before="0" w:after="0"/>
              <w:jc w:val="left"/>
              <w:rPr>
                <w:rFonts w:eastAsia="Times New Roman"/>
                <w:noProof/>
                <w:sz w:val="20"/>
                <w:szCs w:val="20"/>
              </w:rPr>
            </w:pPr>
            <w:r w:rsidRPr="00D207EA">
              <w:rPr>
                <w:noProof/>
                <w:sz w:val="18"/>
              </w:rPr>
              <w:t>3 755 000</w:t>
            </w:r>
          </w:p>
        </w:tc>
        <w:tc>
          <w:tcPr>
            <w:tcW w:w="414" w:type="pct"/>
            <w:vAlign w:val="center"/>
            <w:hideMark/>
          </w:tcPr>
          <w:p w14:paraId="5872A6FD" w14:textId="77777777" w:rsidR="007B2694" w:rsidRPr="00D207EA" w:rsidRDefault="007B2694" w:rsidP="007B2694">
            <w:pPr>
              <w:spacing w:before="0" w:after="0"/>
              <w:jc w:val="left"/>
              <w:rPr>
                <w:rFonts w:eastAsia="Times New Roman"/>
                <w:noProof/>
                <w:sz w:val="20"/>
                <w:szCs w:val="20"/>
              </w:rPr>
            </w:pPr>
            <w:r w:rsidRPr="00D207EA">
              <w:rPr>
                <w:noProof/>
                <w:sz w:val="18"/>
              </w:rPr>
              <w:t>3 830 000</w:t>
            </w:r>
          </w:p>
        </w:tc>
        <w:tc>
          <w:tcPr>
            <w:tcW w:w="413" w:type="pct"/>
            <w:shd w:val="clear" w:color="000000" w:fill="D9D9D9"/>
            <w:vAlign w:val="center"/>
            <w:hideMark/>
          </w:tcPr>
          <w:p w14:paraId="417D25E8"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25 285 000</w:t>
            </w:r>
          </w:p>
        </w:tc>
      </w:tr>
      <w:tr w:rsidR="001F3400" w:rsidRPr="00D207EA" w14:paraId="622FD00D" w14:textId="77777777" w:rsidTr="001F3400">
        <w:trPr>
          <w:trHeight w:val="300"/>
        </w:trPr>
        <w:tc>
          <w:tcPr>
            <w:tcW w:w="1029" w:type="pct"/>
            <w:vMerge/>
            <w:vAlign w:val="center"/>
            <w:hideMark/>
          </w:tcPr>
          <w:p w14:paraId="755F8136" w14:textId="77777777" w:rsidR="007B2694" w:rsidRPr="00D207E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6BECDB0B" w14:textId="77777777" w:rsidR="007B2694" w:rsidRPr="00D207EA" w:rsidRDefault="007B2694" w:rsidP="007B2694">
            <w:pPr>
              <w:spacing w:before="0" w:after="0"/>
              <w:rPr>
                <w:rFonts w:eastAsia="Times New Roman"/>
                <w:noProof/>
                <w:color w:val="000000"/>
                <w:sz w:val="18"/>
                <w:szCs w:val="18"/>
              </w:rPr>
            </w:pPr>
            <w:r w:rsidRPr="00D207EA">
              <w:rPr>
                <w:noProof/>
                <w:sz w:val="18"/>
              </w:rPr>
              <w:t>Paiements</w:t>
            </w:r>
          </w:p>
        </w:tc>
        <w:tc>
          <w:tcPr>
            <w:tcW w:w="242" w:type="pct"/>
            <w:vAlign w:val="center"/>
            <w:hideMark/>
          </w:tcPr>
          <w:p w14:paraId="789C1A85"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(2a)</w:t>
            </w:r>
          </w:p>
        </w:tc>
        <w:tc>
          <w:tcPr>
            <w:tcW w:w="414" w:type="pct"/>
            <w:vAlign w:val="center"/>
            <w:hideMark/>
          </w:tcPr>
          <w:p w14:paraId="17B26551" w14:textId="77777777" w:rsidR="007B2694" w:rsidRPr="00D207E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31E597CA"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4FFCDF2C"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330A7D11"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346CC619"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4BF88D84"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1959D207"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25DB1E8D"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6FAC1A44" w14:textId="77777777" w:rsidTr="001F3400">
        <w:trPr>
          <w:trHeight w:val="300"/>
        </w:trPr>
        <w:tc>
          <w:tcPr>
            <w:tcW w:w="1029" w:type="pct"/>
            <w:vMerge w:val="restart"/>
            <w:vAlign w:val="center"/>
            <w:hideMark/>
          </w:tcPr>
          <w:p w14:paraId="5F4D71D7" w14:textId="77777777" w:rsidR="007B2694" w:rsidRPr="00D207EA" w:rsidRDefault="007B2694" w:rsidP="007B2694">
            <w:pPr>
              <w:spacing w:before="0" w:after="0"/>
              <w:jc w:val="left"/>
              <w:rPr>
                <w:rFonts w:eastAsia="Times New Roman"/>
                <w:noProof/>
                <w:color w:val="000000"/>
                <w:sz w:val="20"/>
                <w:szCs w:val="20"/>
              </w:rPr>
            </w:pPr>
            <w:r w:rsidRPr="00D207EA">
              <w:rPr>
                <w:noProof/>
                <w:sz w:val="18"/>
              </w:rPr>
              <w:t>02.03.01.04 Autres actions de l’Union</w:t>
            </w:r>
          </w:p>
        </w:tc>
        <w:tc>
          <w:tcPr>
            <w:tcW w:w="462" w:type="pct"/>
            <w:vAlign w:val="center"/>
            <w:hideMark/>
          </w:tcPr>
          <w:p w14:paraId="39152D42" w14:textId="77777777" w:rsidR="007B2694" w:rsidRPr="00D207EA" w:rsidRDefault="007B2694" w:rsidP="007B2694">
            <w:pPr>
              <w:spacing w:before="0" w:after="0"/>
              <w:rPr>
                <w:rFonts w:eastAsia="Times New Roman"/>
                <w:noProof/>
                <w:color w:val="000000"/>
                <w:sz w:val="18"/>
                <w:szCs w:val="18"/>
              </w:rPr>
            </w:pPr>
            <w:r w:rsidRPr="00D207EA">
              <w:rPr>
                <w:noProof/>
                <w:sz w:val="18"/>
              </w:rPr>
              <w:t>Engagements</w:t>
            </w:r>
          </w:p>
        </w:tc>
        <w:tc>
          <w:tcPr>
            <w:tcW w:w="242" w:type="pct"/>
            <w:vAlign w:val="center"/>
            <w:hideMark/>
          </w:tcPr>
          <w:p w14:paraId="7C7602E2"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(1a)</w:t>
            </w:r>
          </w:p>
        </w:tc>
        <w:tc>
          <w:tcPr>
            <w:tcW w:w="414" w:type="pct"/>
            <w:vAlign w:val="center"/>
            <w:hideMark/>
          </w:tcPr>
          <w:p w14:paraId="565983FF" w14:textId="77777777" w:rsidR="007B2694" w:rsidRPr="00D207E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4329BD0E"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33469FBF"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376B3E2D"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283D0B62"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48EA6992"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63E0DE01"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44B1AFA5"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5CFF7F0D" w14:textId="77777777" w:rsidTr="001F3400">
        <w:trPr>
          <w:trHeight w:val="300"/>
        </w:trPr>
        <w:tc>
          <w:tcPr>
            <w:tcW w:w="1029" w:type="pct"/>
            <w:vMerge/>
            <w:vAlign w:val="center"/>
            <w:hideMark/>
          </w:tcPr>
          <w:p w14:paraId="38788DED" w14:textId="77777777" w:rsidR="007B2694" w:rsidRPr="00D207E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03E9943E" w14:textId="77777777" w:rsidR="007B2694" w:rsidRPr="00D207EA" w:rsidRDefault="007B2694" w:rsidP="007B2694">
            <w:pPr>
              <w:spacing w:before="0" w:after="0"/>
              <w:rPr>
                <w:rFonts w:eastAsia="Times New Roman"/>
                <w:noProof/>
                <w:color w:val="000000"/>
                <w:sz w:val="18"/>
                <w:szCs w:val="18"/>
              </w:rPr>
            </w:pPr>
            <w:r w:rsidRPr="00D207EA">
              <w:rPr>
                <w:noProof/>
                <w:sz w:val="18"/>
              </w:rPr>
              <w:t>Paiements</w:t>
            </w:r>
          </w:p>
        </w:tc>
        <w:tc>
          <w:tcPr>
            <w:tcW w:w="242" w:type="pct"/>
            <w:vAlign w:val="center"/>
            <w:hideMark/>
          </w:tcPr>
          <w:p w14:paraId="32E8CB84"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(2a)</w:t>
            </w:r>
          </w:p>
        </w:tc>
        <w:tc>
          <w:tcPr>
            <w:tcW w:w="414" w:type="pct"/>
            <w:vAlign w:val="center"/>
            <w:hideMark/>
          </w:tcPr>
          <w:p w14:paraId="27D45B40" w14:textId="77777777" w:rsidR="007B2694" w:rsidRPr="00D207E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18BD66FE" w14:textId="77777777" w:rsidR="007B2694" w:rsidRPr="00D207EA" w:rsidRDefault="007B2694" w:rsidP="007B2694">
            <w:pPr>
              <w:spacing w:before="0" w:after="0"/>
              <w:jc w:val="left"/>
              <w:rPr>
                <w:rFonts w:eastAsia="Times New Roman"/>
                <w:noProof/>
                <w:sz w:val="20"/>
                <w:szCs w:val="20"/>
                <w:lang w:eastAsia="en-IE"/>
              </w:rPr>
            </w:pPr>
          </w:p>
        </w:tc>
        <w:tc>
          <w:tcPr>
            <w:tcW w:w="373" w:type="pct"/>
            <w:vAlign w:val="center"/>
            <w:hideMark/>
          </w:tcPr>
          <w:p w14:paraId="3524CF5A"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6033888F" w14:textId="77777777" w:rsidR="007B2694" w:rsidRPr="00D207EA" w:rsidRDefault="007B2694" w:rsidP="007B2694">
            <w:pPr>
              <w:spacing w:before="0" w:after="0"/>
              <w:jc w:val="left"/>
              <w:rPr>
                <w:rFonts w:eastAsia="Times New Roman"/>
                <w:noProof/>
                <w:sz w:val="20"/>
                <w:szCs w:val="20"/>
                <w:lang w:eastAsia="en-IE"/>
              </w:rPr>
            </w:pPr>
          </w:p>
        </w:tc>
        <w:tc>
          <w:tcPr>
            <w:tcW w:w="413" w:type="pct"/>
            <w:vAlign w:val="center"/>
            <w:hideMark/>
          </w:tcPr>
          <w:p w14:paraId="340AC020"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1B794DDD" w14:textId="77777777" w:rsidR="007B2694" w:rsidRPr="00D207EA" w:rsidRDefault="007B2694" w:rsidP="007B2694">
            <w:pPr>
              <w:spacing w:before="0" w:after="0"/>
              <w:jc w:val="left"/>
              <w:rPr>
                <w:rFonts w:eastAsia="Times New Roman"/>
                <w:noProof/>
                <w:sz w:val="20"/>
                <w:szCs w:val="20"/>
                <w:lang w:eastAsia="en-IE"/>
              </w:rPr>
            </w:pPr>
          </w:p>
        </w:tc>
        <w:tc>
          <w:tcPr>
            <w:tcW w:w="414" w:type="pct"/>
            <w:vAlign w:val="center"/>
            <w:hideMark/>
          </w:tcPr>
          <w:p w14:paraId="17ACE0A5" w14:textId="77777777" w:rsidR="007B2694" w:rsidRPr="00D207E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5E32C6BF"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38B234BF" w14:textId="77777777" w:rsidTr="001F3400">
        <w:trPr>
          <w:trHeight w:val="300"/>
        </w:trPr>
        <w:tc>
          <w:tcPr>
            <w:tcW w:w="1029" w:type="pct"/>
            <w:vMerge w:val="restart"/>
            <w:vAlign w:val="center"/>
            <w:hideMark/>
          </w:tcPr>
          <w:p w14:paraId="50BA049E" w14:textId="77777777" w:rsidR="007B2694" w:rsidRPr="00D207EA" w:rsidRDefault="007B2694" w:rsidP="007B2694">
            <w:pPr>
              <w:spacing w:before="0" w:after="0"/>
              <w:jc w:val="left"/>
              <w:rPr>
                <w:rFonts w:eastAsia="Times New Roman"/>
                <w:noProof/>
                <w:color w:val="000000"/>
                <w:sz w:val="20"/>
                <w:szCs w:val="20"/>
              </w:rPr>
            </w:pPr>
            <w:r w:rsidRPr="00D207EA">
              <w:rPr>
                <w:noProof/>
                <w:sz w:val="18"/>
              </w:rPr>
              <w:t>02.03.02. Réserve pour les priorités et défis émergents</w:t>
            </w:r>
          </w:p>
        </w:tc>
        <w:tc>
          <w:tcPr>
            <w:tcW w:w="462" w:type="pct"/>
            <w:vAlign w:val="center"/>
            <w:hideMark/>
          </w:tcPr>
          <w:p w14:paraId="0B4FF4A6" w14:textId="77777777" w:rsidR="007B2694" w:rsidRPr="00D207EA" w:rsidRDefault="007B2694" w:rsidP="007B2694">
            <w:pPr>
              <w:spacing w:before="0" w:after="0"/>
              <w:rPr>
                <w:rFonts w:eastAsia="Times New Roman"/>
                <w:noProof/>
                <w:color w:val="000000"/>
                <w:sz w:val="18"/>
                <w:szCs w:val="18"/>
              </w:rPr>
            </w:pPr>
            <w:r w:rsidRPr="00D207EA">
              <w:rPr>
                <w:noProof/>
                <w:sz w:val="18"/>
              </w:rPr>
              <w:t>Engagements</w:t>
            </w:r>
          </w:p>
        </w:tc>
        <w:tc>
          <w:tcPr>
            <w:tcW w:w="242" w:type="pct"/>
            <w:vAlign w:val="center"/>
            <w:hideMark/>
          </w:tcPr>
          <w:p w14:paraId="15693037"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(1a)</w:t>
            </w:r>
          </w:p>
        </w:tc>
        <w:tc>
          <w:tcPr>
            <w:tcW w:w="414" w:type="pct"/>
            <w:vAlign w:val="center"/>
            <w:hideMark/>
          </w:tcPr>
          <w:p w14:paraId="7F6B7263" w14:textId="77777777" w:rsidR="007B2694" w:rsidRPr="00D207EA" w:rsidRDefault="007B2694" w:rsidP="007B2694">
            <w:pPr>
              <w:spacing w:before="0" w:after="0"/>
              <w:jc w:val="center"/>
              <w:rPr>
                <w:rFonts w:eastAsia="Times New Roman"/>
                <w:noProof/>
                <w:color w:val="000000"/>
                <w:sz w:val="18"/>
                <w:szCs w:val="18"/>
              </w:rPr>
            </w:pPr>
            <w:r w:rsidRPr="00D207EA">
              <w:rPr>
                <w:noProof/>
                <w:color w:val="000000"/>
                <w:sz w:val="18"/>
              </w:rPr>
              <w:t>1 172,000</w:t>
            </w:r>
          </w:p>
        </w:tc>
        <w:tc>
          <w:tcPr>
            <w:tcW w:w="414" w:type="pct"/>
            <w:vAlign w:val="center"/>
            <w:hideMark/>
          </w:tcPr>
          <w:p w14:paraId="581039F2" w14:textId="77777777" w:rsidR="007B2694" w:rsidRPr="00D207EA" w:rsidRDefault="007B2694" w:rsidP="007B2694">
            <w:pPr>
              <w:spacing w:before="0" w:after="0"/>
              <w:jc w:val="right"/>
              <w:rPr>
                <w:rFonts w:eastAsia="Times New Roman"/>
                <w:noProof/>
                <w:sz w:val="20"/>
                <w:szCs w:val="20"/>
              </w:rPr>
            </w:pPr>
            <w:r w:rsidRPr="00D207EA">
              <w:rPr>
                <w:noProof/>
                <w:color w:val="000000"/>
                <w:sz w:val="18"/>
              </w:rPr>
              <w:t>1 195,000</w:t>
            </w:r>
          </w:p>
        </w:tc>
        <w:tc>
          <w:tcPr>
            <w:tcW w:w="373" w:type="pct"/>
            <w:vAlign w:val="center"/>
            <w:hideMark/>
          </w:tcPr>
          <w:p w14:paraId="018BEE08" w14:textId="77777777" w:rsidR="007B2694" w:rsidRPr="00D207EA" w:rsidRDefault="007B2694" w:rsidP="007B2694">
            <w:pPr>
              <w:spacing w:before="0" w:after="0"/>
              <w:jc w:val="right"/>
              <w:rPr>
                <w:rFonts w:eastAsia="Times New Roman"/>
                <w:noProof/>
                <w:sz w:val="20"/>
                <w:szCs w:val="20"/>
              </w:rPr>
            </w:pPr>
            <w:r w:rsidRPr="00D207EA">
              <w:rPr>
                <w:noProof/>
                <w:color w:val="000000"/>
                <w:sz w:val="18"/>
              </w:rPr>
              <w:t>1 219,000</w:t>
            </w:r>
          </w:p>
        </w:tc>
        <w:tc>
          <w:tcPr>
            <w:tcW w:w="414" w:type="pct"/>
            <w:vAlign w:val="center"/>
            <w:hideMark/>
          </w:tcPr>
          <w:p w14:paraId="703758B5" w14:textId="77777777" w:rsidR="007B2694" w:rsidRPr="00D207EA" w:rsidRDefault="007B2694" w:rsidP="007B2694">
            <w:pPr>
              <w:spacing w:before="0" w:after="0"/>
              <w:jc w:val="right"/>
              <w:rPr>
                <w:rFonts w:eastAsia="Times New Roman"/>
                <w:noProof/>
                <w:sz w:val="20"/>
                <w:szCs w:val="20"/>
              </w:rPr>
            </w:pPr>
            <w:r w:rsidRPr="00D207EA">
              <w:rPr>
                <w:noProof/>
                <w:color w:val="000000"/>
                <w:sz w:val="18"/>
              </w:rPr>
              <w:t>1 243,000</w:t>
            </w:r>
          </w:p>
        </w:tc>
        <w:tc>
          <w:tcPr>
            <w:tcW w:w="413" w:type="pct"/>
            <w:vAlign w:val="center"/>
            <w:hideMark/>
          </w:tcPr>
          <w:p w14:paraId="1653139D" w14:textId="77777777" w:rsidR="007B2694" w:rsidRPr="00D207EA" w:rsidRDefault="007B2694" w:rsidP="007B2694">
            <w:pPr>
              <w:spacing w:before="0" w:after="0"/>
              <w:jc w:val="right"/>
              <w:rPr>
                <w:rFonts w:eastAsia="Times New Roman"/>
                <w:noProof/>
                <w:sz w:val="20"/>
                <w:szCs w:val="20"/>
              </w:rPr>
            </w:pPr>
            <w:r w:rsidRPr="00D207EA">
              <w:rPr>
                <w:noProof/>
                <w:color w:val="000000"/>
                <w:sz w:val="18"/>
              </w:rPr>
              <w:t>1 268,000</w:t>
            </w:r>
          </w:p>
        </w:tc>
        <w:tc>
          <w:tcPr>
            <w:tcW w:w="414" w:type="pct"/>
            <w:vAlign w:val="center"/>
            <w:hideMark/>
          </w:tcPr>
          <w:p w14:paraId="0C2436CB" w14:textId="77777777" w:rsidR="007B2694" w:rsidRPr="00D207EA" w:rsidRDefault="007B2694" w:rsidP="007B2694">
            <w:pPr>
              <w:spacing w:before="0" w:after="0"/>
              <w:jc w:val="right"/>
              <w:rPr>
                <w:rFonts w:eastAsia="Times New Roman"/>
                <w:noProof/>
                <w:sz w:val="20"/>
                <w:szCs w:val="20"/>
              </w:rPr>
            </w:pPr>
            <w:r w:rsidRPr="00D207EA">
              <w:rPr>
                <w:noProof/>
                <w:color w:val="000000"/>
                <w:sz w:val="18"/>
              </w:rPr>
              <w:t>1 294,000</w:t>
            </w:r>
          </w:p>
        </w:tc>
        <w:tc>
          <w:tcPr>
            <w:tcW w:w="414" w:type="pct"/>
            <w:vAlign w:val="center"/>
            <w:hideMark/>
          </w:tcPr>
          <w:p w14:paraId="6456CB88" w14:textId="77777777" w:rsidR="007B2694" w:rsidRPr="00D207EA" w:rsidRDefault="007B2694" w:rsidP="007B2694">
            <w:pPr>
              <w:spacing w:before="0" w:after="0"/>
              <w:jc w:val="right"/>
              <w:rPr>
                <w:rFonts w:eastAsia="Times New Roman"/>
                <w:noProof/>
                <w:sz w:val="20"/>
                <w:szCs w:val="20"/>
              </w:rPr>
            </w:pPr>
            <w:r w:rsidRPr="00D207EA">
              <w:rPr>
                <w:noProof/>
                <w:color w:val="000000"/>
                <w:sz w:val="18"/>
              </w:rPr>
              <w:t>1 319,000</w:t>
            </w:r>
          </w:p>
        </w:tc>
        <w:tc>
          <w:tcPr>
            <w:tcW w:w="413" w:type="pct"/>
            <w:shd w:val="clear" w:color="000000" w:fill="D9D9D9"/>
            <w:vAlign w:val="center"/>
            <w:hideMark/>
          </w:tcPr>
          <w:p w14:paraId="70CB0CAD" w14:textId="77777777" w:rsidR="007B2694" w:rsidRPr="00D207EA" w:rsidRDefault="007B2694" w:rsidP="007B2694">
            <w:pPr>
              <w:spacing w:before="0" w:after="0"/>
              <w:jc w:val="right"/>
              <w:rPr>
                <w:rFonts w:eastAsia="Times New Roman"/>
                <w:b/>
                <w:noProof/>
                <w:color w:val="000000"/>
                <w:sz w:val="20"/>
                <w:szCs w:val="20"/>
              </w:rPr>
            </w:pPr>
            <w:r w:rsidRPr="00D207EA">
              <w:rPr>
                <w:b/>
                <w:noProof/>
                <w:color w:val="000000"/>
                <w:sz w:val="18"/>
              </w:rPr>
              <w:t>8 710,000</w:t>
            </w:r>
          </w:p>
        </w:tc>
      </w:tr>
      <w:tr w:rsidR="001F3400" w:rsidRPr="00D207EA" w14:paraId="0B7B6267" w14:textId="77777777" w:rsidTr="001F3400">
        <w:trPr>
          <w:trHeight w:val="315"/>
        </w:trPr>
        <w:tc>
          <w:tcPr>
            <w:tcW w:w="1029" w:type="pct"/>
            <w:vMerge/>
            <w:vAlign w:val="center"/>
            <w:hideMark/>
          </w:tcPr>
          <w:p w14:paraId="279E4C72" w14:textId="77777777" w:rsidR="007B2694" w:rsidRPr="00D207E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7EE768B5" w14:textId="77777777" w:rsidR="007B2694" w:rsidRPr="00D207EA" w:rsidRDefault="007B2694" w:rsidP="007B2694">
            <w:pPr>
              <w:spacing w:before="0" w:after="0"/>
              <w:rPr>
                <w:rFonts w:eastAsia="Times New Roman"/>
                <w:noProof/>
                <w:color w:val="000000"/>
                <w:sz w:val="18"/>
                <w:szCs w:val="18"/>
              </w:rPr>
            </w:pPr>
            <w:r w:rsidRPr="00D207EA">
              <w:rPr>
                <w:noProof/>
                <w:sz w:val="18"/>
              </w:rPr>
              <w:t>Paiements</w:t>
            </w:r>
          </w:p>
        </w:tc>
        <w:tc>
          <w:tcPr>
            <w:tcW w:w="242" w:type="pct"/>
            <w:vAlign w:val="center"/>
            <w:hideMark/>
          </w:tcPr>
          <w:p w14:paraId="0EA8E9E8"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(2a)</w:t>
            </w:r>
          </w:p>
        </w:tc>
        <w:tc>
          <w:tcPr>
            <w:tcW w:w="414" w:type="pct"/>
            <w:vAlign w:val="center"/>
            <w:hideMark/>
          </w:tcPr>
          <w:p w14:paraId="01223064" w14:textId="77777777" w:rsidR="007B2694" w:rsidRPr="00D207EA" w:rsidRDefault="007B2694" w:rsidP="007B2694">
            <w:pPr>
              <w:spacing w:before="0" w:after="0"/>
              <w:jc w:val="center"/>
              <w:rPr>
                <w:rFonts w:eastAsia="Times New Roman"/>
                <w:noProof/>
                <w:color w:val="000000"/>
                <w:sz w:val="18"/>
                <w:szCs w:val="18"/>
              </w:rPr>
            </w:pPr>
            <w:r w:rsidRPr="00D207EA">
              <w:rPr>
                <w:noProof/>
                <w:sz w:val="18"/>
              </w:rPr>
              <w:t>p.m.</w:t>
            </w:r>
          </w:p>
        </w:tc>
        <w:tc>
          <w:tcPr>
            <w:tcW w:w="414" w:type="pct"/>
            <w:vAlign w:val="center"/>
            <w:hideMark/>
          </w:tcPr>
          <w:p w14:paraId="17A72E45" w14:textId="77777777" w:rsidR="007B2694" w:rsidRPr="00D207EA" w:rsidRDefault="007B2694" w:rsidP="007B2694">
            <w:pPr>
              <w:spacing w:before="0" w:after="0"/>
              <w:jc w:val="right"/>
              <w:rPr>
                <w:rFonts w:eastAsia="Times New Roman"/>
                <w:noProof/>
                <w:sz w:val="20"/>
                <w:szCs w:val="20"/>
                <w:lang w:eastAsia="en-IE"/>
              </w:rPr>
            </w:pPr>
          </w:p>
        </w:tc>
        <w:tc>
          <w:tcPr>
            <w:tcW w:w="373" w:type="pct"/>
            <w:vAlign w:val="center"/>
            <w:hideMark/>
          </w:tcPr>
          <w:p w14:paraId="03A6BA8E" w14:textId="77777777" w:rsidR="007B2694" w:rsidRPr="00D207EA" w:rsidRDefault="007B2694" w:rsidP="007B2694">
            <w:pPr>
              <w:spacing w:before="0" w:after="0"/>
              <w:jc w:val="right"/>
              <w:rPr>
                <w:rFonts w:eastAsia="Times New Roman"/>
                <w:noProof/>
                <w:sz w:val="20"/>
                <w:szCs w:val="20"/>
                <w:lang w:eastAsia="en-IE"/>
              </w:rPr>
            </w:pPr>
          </w:p>
        </w:tc>
        <w:tc>
          <w:tcPr>
            <w:tcW w:w="414" w:type="pct"/>
            <w:vAlign w:val="center"/>
            <w:hideMark/>
          </w:tcPr>
          <w:p w14:paraId="2E4F7C04" w14:textId="77777777" w:rsidR="007B2694" w:rsidRPr="00D207EA" w:rsidRDefault="007B2694" w:rsidP="007B2694">
            <w:pPr>
              <w:spacing w:before="0" w:after="0"/>
              <w:jc w:val="right"/>
              <w:rPr>
                <w:rFonts w:eastAsia="Times New Roman"/>
                <w:noProof/>
                <w:sz w:val="20"/>
                <w:szCs w:val="20"/>
                <w:lang w:eastAsia="en-IE"/>
              </w:rPr>
            </w:pPr>
          </w:p>
        </w:tc>
        <w:tc>
          <w:tcPr>
            <w:tcW w:w="413" w:type="pct"/>
            <w:vAlign w:val="center"/>
            <w:hideMark/>
          </w:tcPr>
          <w:p w14:paraId="3A557DE8" w14:textId="77777777" w:rsidR="007B2694" w:rsidRPr="00D207EA" w:rsidRDefault="007B2694" w:rsidP="007B2694">
            <w:pPr>
              <w:spacing w:before="0" w:after="0"/>
              <w:jc w:val="right"/>
              <w:rPr>
                <w:rFonts w:eastAsia="Times New Roman"/>
                <w:noProof/>
                <w:sz w:val="20"/>
                <w:szCs w:val="20"/>
                <w:lang w:eastAsia="en-IE"/>
              </w:rPr>
            </w:pPr>
          </w:p>
        </w:tc>
        <w:tc>
          <w:tcPr>
            <w:tcW w:w="414" w:type="pct"/>
            <w:vAlign w:val="center"/>
            <w:hideMark/>
          </w:tcPr>
          <w:p w14:paraId="7CCC044F" w14:textId="77777777" w:rsidR="007B2694" w:rsidRPr="00D207EA" w:rsidRDefault="007B2694" w:rsidP="007B2694">
            <w:pPr>
              <w:spacing w:before="0" w:after="0"/>
              <w:jc w:val="right"/>
              <w:rPr>
                <w:rFonts w:eastAsia="Times New Roman"/>
                <w:noProof/>
                <w:sz w:val="20"/>
                <w:szCs w:val="20"/>
                <w:lang w:eastAsia="en-IE"/>
              </w:rPr>
            </w:pPr>
          </w:p>
        </w:tc>
        <w:tc>
          <w:tcPr>
            <w:tcW w:w="414" w:type="pct"/>
            <w:vAlign w:val="center"/>
            <w:hideMark/>
          </w:tcPr>
          <w:p w14:paraId="39CE36BF" w14:textId="77777777" w:rsidR="007B2694" w:rsidRPr="00D207EA" w:rsidRDefault="007B2694" w:rsidP="007B2694">
            <w:pPr>
              <w:spacing w:before="0" w:after="0"/>
              <w:jc w:val="right"/>
              <w:rPr>
                <w:rFonts w:eastAsia="Times New Roman"/>
                <w:noProof/>
                <w:sz w:val="20"/>
                <w:szCs w:val="20"/>
                <w:lang w:eastAsia="en-IE"/>
              </w:rPr>
            </w:pPr>
          </w:p>
        </w:tc>
        <w:tc>
          <w:tcPr>
            <w:tcW w:w="413" w:type="pct"/>
            <w:shd w:val="clear" w:color="000000" w:fill="D9D9D9"/>
            <w:vAlign w:val="center"/>
            <w:hideMark/>
          </w:tcPr>
          <w:p w14:paraId="37171487"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0,000</w:t>
            </w:r>
          </w:p>
        </w:tc>
      </w:tr>
      <w:tr w:rsidR="001F3400" w:rsidRPr="00D207EA" w14:paraId="119CCE0C" w14:textId="77777777" w:rsidTr="001F3400">
        <w:trPr>
          <w:trHeight w:val="300"/>
        </w:trPr>
        <w:tc>
          <w:tcPr>
            <w:tcW w:w="1029" w:type="pct"/>
            <w:vMerge w:val="restart"/>
            <w:vAlign w:val="center"/>
            <w:hideMark/>
          </w:tcPr>
          <w:p w14:paraId="177AB75A" w14:textId="77777777" w:rsidR="007B2694" w:rsidRPr="00D207EA" w:rsidRDefault="007B2694" w:rsidP="007B2694">
            <w:pPr>
              <w:spacing w:before="0" w:after="0"/>
              <w:jc w:val="left"/>
              <w:rPr>
                <w:rFonts w:eastAsia="Times New Roman"/>
                <w:noProof/>
                <w:color w:val="000000"/>
                <w:sz w:val="20"/>
                <w:szCs w:val="20"/>
              </w:rPr>
            </w:pPr>
            <w:r w:rsidRPr="00D207EA">
              <w:rPr>
                <w:noProof/>
                <w:sz w:val="18"/>
              </w:rPr>
              <w:t>TOTAL des crédits</w:t>
            </w:r>
          </w:p>
        </w:tc>
        <w:tc>
          <w:tcPr>
            <w:tcW w:w="462" w:type="pct"/>
            <w:vAlign w:val="center"/>
            <w:hideMark/>
          </w:tcPr>
          <w:p w14:paraId="59D8B86F" w14:textId="77777777" w:rsidR="007B2694" w:rsidRPr="00D207EA" w:rsidRDefault="007B2694" w:rsidP="007B2694">
            <w:pPr>
              <w:spacing w:before="0" w:after="0"/>
              <w:rPr>
                <w:rFonts w:eastAsia="Times New Roman"/>
                <w:noProof/>
                <w:color w:val="000000"/>
                <w:sz w:val="18"/>
                <w:szCs w:val="18"/>
              </w:rPr>
            </w:pPr>
            <w:r w:rsidRPr="00D207EA">
              <w:rPr>
                <w:noProof/>
                <w:sz w:val="18"/>
              </w:rPr>
              <w:t>Engagements</w:t>
            </w:r>
          </w:p>
        </w:tc>
        <w:tc>
          <w:tcPr>
            <w:tcW w:w="242" w:type="pct"/>
            <w:vAlign w:val="center"/>
            <w:hideMark/>
          </w:tcPr>
          <w:p w14:paraId="6A2851C3" w14:textId="77777777" w:rsidR="007B2694" w:rsidRPr="00D207EA" w:rsidRDefault="007B2694" w:rsidP="007B2694">
            <w:pPr>
              <w:spacing w:before="0" w:after="0"/>
              <w:jc w:val="center"/>
              <w:rPr>
                <w:rFonts w:eastAsia="Times New Roman"/>
                <w:noProof/>
                <w:color w:val="000000"/>
                <w:sz w:val="14"/>
                <w:szCs w:val="14"/>
              </w:rPr>
            </w:pPr>
            <w:r w:rsidRPr="00D207EA">
              <w:rPr>
                <w:noProof/>
                <w:sz w:val="18"/>
              </w:rPr>
              <w:t>=1a+1b+3</w:t>
            </w:r>
          </w:p>
        </w:tc>
        <w:tc>
          <w:tcPr>
            <w:tcW w:w="414" w:type="pct"/>
            <w:shd w:val="clear" w:color="000000" w:fill="D9D9D9"/>
            <w:vAlign w:val="center"/>
            <w:hideMark/>
          </w:tcPr>
          <w:p w14:paraId="27D5A512" w14:textId="77777777" w:rsidR="007B2694" w:rsidRPr="00D207EA" w:rsidRDefault="007B2694" w:rsidP="007B2694">
            <w:pPr>
              <w:spacing w:before="0" w:after="0"/>
              <w:jc w:val="right"/>
              <w:rPr>
                <w:rFonts w:eastAsia="Times New Roman"/>
                <w:b/>
                <w:noProof/>
                <w:color w:val="000000"/>
                <w:sz w:val="20"/>
                <w:szCs w:val="20"/>
              </w:rPr>
            </w:pPr>
            <w:r w:rsidRPr="00D207EA">
              <w:rPr>
                <w:b/>
                <w:noProof/>
                <w:color w:val="000000"/>
                <w:sz w:val="18"/>
              </w:rPr>
              <w:t>135 571,000</w:t>
            </w:r>
          </w:p>
        </w:tc>
        <w:tc>
          <w:tcPr>
            <w:tcW w:w="414" w:type="pct"/>
            <w:shd w:val="clear" w:color="000000" w:fill="D9D9D9"/>
            <w:vAlign w:val="center"/>
            <w:hideMark/>
          </w:tcPr>
          <w:p w14:paraId="4A2A6759" w14:textId="77777777" w:rsidR="007B2694" w:rsidRPr="00D207EA" w:rsidRDefault="007B2694" w:rsidP="007B2694">
            <w:pPr>
              <w:spacing w:before="0" w:after="0"/>
              <w:jc w:val="right"/>
              <w:rPr>
                <w:rFonts w:eastAsia="Times New Roman"/>
                <w:b/>
                <w:noProof/>
                <w:color w:val="000000"/>
                <w:sz w:val="20"/>
                <w:szCs w:val="20"/>
              </w:rPr>
            </w:pPr>
            <w:r w:rsidRPr="00D207EA">
              <w:rPr>
                <w:b/>
                <w:noProof/>
                <w:color w:val="000000"/>
                <w:sz w:val="18"/>
              </w:rPr>
              <w:t>133 134,000</w:t>
            </w:r>
          </w:p>
        </w:tc>
        <w:tc>
          <w:tcPr>
            <w:tcW w:w="373" w:type="pct"/>
            <w:shd w:val="clear" w:color="000000" w:fill="D9D9D9"/>
            <w:vAlign w:val="center"/>
            <w:hideMark/>
          </w:tcPr>
          <w:p w14:paraId="57CBA9EE" w14:textId="77777777" w:rsidR="007B2694" w:rsidRPr="00D207EA" w:rsidRDefault="007B2694" w:rsidP="007B2694">
            <w:pPr>
              <w:spacing w:before="0" w:after="0"/>
              <w:jc w:val="right"/>
              <w:rPr>
                <w:rFonts w:eastAsia="Times New Roman"/>
                <w:b/>
                <w:noProof/>
                <w:color w:val="000000"/>
                <w:sz w:val="20"/>
                <w:szCs w:val="20"/>
              </w:rPr>
            </w:pPr>
            <w:r w:rsidRPr="00D207EA">
              <w:rPr>
                <w:b/>
                <w:noProof/>
                <w:color w:val="000000"/>
                <w:sz w:val="18"/>
              </w:rPr>
              <w:t>130 131,000</w:t>
            </w:r>
          </w:p>
        </w:tc>
        <w:tc>
          <w:tcPr>
            <w:tcW w:w="414" w:type="pct"/>
            <w:shd w:val="clear" w:color="000000" w:fill="D9D9D9"/>
            <w:vAlign w:val="center"/>
            <w:hideMark/>
          </w:tcPr>
          <w:p w14:paraId="3B42FF2E" w14:textId="77777777" w:rsidR="007B2694" w:rsidRPr="00D207EA" w:rsidRDefault="007B2694" w:rsidP="007B2694">
            <w:pPr>
              <w:spacing w:before="0" w:after="0"/>
              <w:jc w:val="right"/>
              <w:rPr>
                <w:rFonts w:eastAsia="Times New Roman"/>
                <w:b/>
                <w:noProof/>
                <w:color w:val="000000"/>
                <w:sz w:val="20"/>
                <w:szCs w:val="20"/>
              </w:rPr>
            </w:pPr>
            <w:r w:rsidRPr="00D207EA">
              <w:rPr>
                <w:b/>
                <w:noProof/>
                <w:color w:val="000000"/>
                <w:sz w:val="18"/>
              </w:rPr>
              <w:t>127 411,000</w:t>
            </w:r>
          </w:p>
        </w:tc>
        <w:tc>
          <w:tcPr>
            <w:tcW w:w="413" w:type="pct"/>
            <w:shd w:val="clear" w:color="000000" w:fill="D9D9D9"/>
            <w:vAlign w:val="center"/>
            <w:hideMark/>
          </w:tcPr>
          <w:p w14:paraId="14445AE2" w14:textId="77777777" w:rsidR="007B2694" w:rsidRPr="00D207EA" w:rsidRDefault="007B2694" w:rsidP="007B2694">
            <w:pPr>
              <w:spacing w:before="0" w:after="0"/>
              <w:jc w:val="right"/>
              <w:rPr>
                <w:rFonts w:eastAsia="Times New Roman"/>
                <w:b/>
                <w:noProof/>
                <w:color w:val="000000"/>
                <w:sz w:val="20"/>
                <w:szCs w:val="20"/>
              </w:rPr>
            </w:pPr>
            <w:r w:rsidRPr="00D207EA">
              <w:rPr>
                <w:b/>
                <w:noProof/>
                <w:color w:val="000000"/>
                <w:sz w:val="18"/>
              </w:rPr>
              <w:t>123 879,000</w:t>
            </w:r>
          </w:p>
        </w:tc>
        <w:tc>
          <w:tcPr>
            <w:tcW w:w="414" w:type="pct"/>
            <w:shd w:val="clear" w:color="000000" w:fill="D9D9D9"/>
            <w:vAlign w:val="center"/>
            <w:hideMark/>
          </w:tcPr>
          <w:p w14:paraId="1D5F5B68" w14:textId="77777777" w:rsidR="007B2694" w:rsidRPr="00D207EA" w:rsidRDefault="007B2694" w:rsidP="007B2694">
            <w:pPr>
              <w:spacing w:before="0" w:after="0"/>
              <w:jc w:val="right"/>
              <w:rPr>
                <w:rFonts w:eastAsia="Times New Roman"/>
                <w:b/>
                <w:noProof/>
                <w:color w:val="000000"/>
                <w:sz w:val="20"/>
                <w:szCs w:val="20"/>
              </w:rPr>
            </w:pPr>
            <w:r w:rsidRPr="00D207EA">
              <w:rPr>
                <w:b/>
                <w:noProof/>
                <w:color w:val="000000"/>
                <w:sz w:val="18"/>
              </w:rPr>
              <w:t>111 535,000</w:t>
            </w:r>
          </w:p>
        </w:tc>
        <w:tc>
          <w:tcPr>
            <w:tcW w:w="414" w:type="pct"/>
            <w:shd w:val="clear" w:color="000000" w:fill="D9D9D9"/>
            <w:vAlign w:val="center"/>
            <w:hideMark/>
          </w:tcPr>
          <w:p w14:paraId="6E426D4F" w14:textId="77777777" w:rsidR="007B2694" w:rsidRPr="00D207EA" w:rsidRDefault="007B2694" w:rsidP="007B2694">
            <w:pPr>
              <w:spacing w:before="0" w:after="0"/>
              <w:jc w:val="right"/>
              <w:rPr>
                <w:rFonts w:eastAsia="Times New Roman"/>
                <w:b/>
                <w:noProof/>
                <w:color w:val="000000"/>
                <w:sz w:val="20"/>
                <w:szCs w:val="20"/>
              </w:rPr>
            </w:pPr>
            <w:r w:rsidRPr="00D207EA">
              <w:rPr>
                <w:b/>
                <w:noProof/>
                <w:color w:val="000000"/>
                <w:sz w:val="18"/>
              </w:rPr>
              <w:t>103 415,000</w:t>
            </w:r>
          </w:p>
        </w:tc>
        <w:tc>
          <w:tcPr>
            <w:tcW w:w="413" w:type="pct"/>
            <w:shd w:val="clear" w:color="000000" w:fill="D9D9D9"/>
            <w:vAlign w:val="center"/>
            <w:hideMark/>
          </w:tcPr>
          <w:p w14:paraId="05686950" w14:textId="77777777" w:rsidR="007B2694" w:rsidRPr="00D207EA" w:rsidRDefault="007B2694" w:rsidP="007B2694">
            <w:pPr>
              <w:spacing w:before="0" w:after="0"/>
              <w:jc w:val="right"/>
              <w:rPr>
                <w:rFonts w:eastAsia="Times New Roman"/>
                <w:b/>
                <w:noProof/>
                <w:color w:val="000000"/>
                <w:sz w:val="20"/>
                <w:szCs w:val="20"/>
              </w:rPr>
            </w:pPr>
            <w:r w:rsidRPr="00D207EA">
              <w:rPr>
                <w:b/>
                <w:noProof/>
                <w:color w:val="000000"/>
                <w:sz w:val="18"/>
              </w:rPr>
              <w:t>865 076,000</w:t>
            </w:r>
          </w:p>
        </w:tc>
      </w:tr>
      <w:tr w:rsidR="001F3400" w:rsidRPr="00D207EA" w14:paraId="4F8CB15C" w14:textId="77777777" w:rsidTr="001F3400">
        <w:trPr>
          <w:trHeight w:val="300"/>
        </w:trPr>
        <w:tc>
          <w:tcPr>
            <w:tcW w:w="1029" w:type="pct"/>
            <w:vMerge/>
            <w:vAlign w:val="center"/>
            <w:hideMark/>
          </w:tcPr>
          <w:p w14:paraId="47996DBD" w14:textId="77777777" w:rsidR="007B2694" w:rsidRPr="00D207E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6413BB28" w14:textId="77777777" w:rsidR="007B2694" w:rsidRPr="00D207EA" w:rsidRDefault="007B2694" w:rsidP="007B2694">
            <w:pPr>
              <w:spacing w:before="0" w:after="0"/>
              <w:rPr>
                <w:rFonts w:eastAsia="Times New Roman"/>
                <w:noProof/>
                <w:color w:val="000000"/>
                <w:sz w:val="18"/>
                <w:szCs w:val="18"/>
              </w:rPr>
            </w:pPr>
            <w:r w:rsidRPr="00D207EA">
              <w:rPr>
                <w:noProof/>
                <w:sz w:val="18"/>
              </w:rPr>
              <w:t>Paiements</w:t>
            </w:r>
          </w:p>
        </w:tc>
        <w:tc>
          <w:tcPr>
            <w:tcW w:w="242" w:type="pct"/>
            <w:vAlign w:val="center"/>
            <w:hideMark/>
          </w:tcPr>
          <w:p w14:paraId="63FFE304" w14:textId="77777777" w:rsidR="007B2694" w:rsidRPr="00D207EA" w:rsidRDefault="007B2694" w:rsidP="007B2694">
            <w:pPr>
              <w:spacing w:before="0" w:after="0"/>
              <w:jc w:val="center"/>
              <w:rPr>
                <w:rFonts w:eastAsia="Times New Roman"/>
                <w:noProof/>
                <w:color w:val="000000"/>
                <w:sz w:val="14"/>
                <w:szCs w:val="14"/>
              </w:rPr>
            </w:pPr>
            <w:r w:rsidRPr="00D207EA">
              <w:rPr>
                <w:noProof/>
                <w:sz w:val="18"/>
              </w:rPr>
              <w:t>=2a+2b+3</w:t>
            </w:r>
          </w:p>
        </w:tc>
        <w:tc>
          <w:tcPr>
            <w:tcW w:w="414" w:type="pct"/>
            <w:shd w:val="clear" w:color="000000" w:fill="D9D9D9"/>
            <w:vAlign w:val="center"/>
            <w:hideMark/>
          </w:tcPr>
          <w:p w14:paraId="6AB50976"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p.m.</w:t>
            </w:r>
          </w:p>
        </w:tc>
        <w:tc>
          <w:tcPr>
            <w:tcW w:w="414" w:type="pct"/>
            <w:shd w:val="clear" w:color="000000" w:fill="D9D9D9"/>
            <w:vAlign w:val="center"/>
            <w:hideMark/>
          </w:tcPr>
          <w:p w14:paraId="3E38DB1E"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p.m.</w:t>
            </w:r>
          </w:p>
        </w:tc>
        <w:tc>
          <w:tcPr>
            <w:tcW w:w="373" w:type="pct"/>
            <w:shd w:val="clear" w:color="000000" w:fill="D9D9D9"/>
            <w:vAlign w:val="center"/>
            <w:hideMark/>
          </w:tcPr>
          <w:p w14:paraId="263AF347"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p.m.</w:t>
            </w:r>
          </w:p>
        </w:tc>
        <w:tc>
          <w:tcPr>
            <w:tcW w:w="414" w:type="pct"/>
            <w:shd w:val="clear" w:color="000000" w:fill="D9D9D9"/>
            <w:vAlign w:val="center"/>
            <w:hideMark/>
          </w:tcPr>
          <w:p w14:paraId="3E93BB6B"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p.m.</w:t>
            </w:r>
          </w:p>
        </w:tc>
        <w:tc>
          <w:tcPr>
            <w:tcW w:w="413" w:type="pct"/>
            <w:shd w:val="clear" w:color="000000" w:fill="D9D9D9"/>
            <w:vAlign w:val="center"/>
            <w:hideMark/>
          </w:tcPr>
          <w:p w14:paraId="4489BC6E"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p.m.</w:t>
            </w:r>
          </w:p>
        </w:tc>
        <w:tc>
          <w:tcPr>
            <w:tcW w:w="414" w:type="pct"/>
            <w:shd w:val="clear" w:color="000000" w:fill="D9D9D9"/>
            <w:vAlign w:val="center"/>
            <w:hideMark/>
          </w:tcPr>
          <w:p w14:paraId="730EA984"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p.m.</w:t>
            </w:r>
          </w:p>
        </w:tc>
        <w:tc>
          <w:tcPr>
            <w:tcW w:w="414" w:type="pct"/>
            <w:shd w:val="clear" w:color="000000" w:fill="D9D9D9"/>
            <w:vAlign w:val="center"/>
            <w:hideMark/>
          </w:tcPr>
          <w:p w14:paraId="148A19D4"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p.m.</w:t>
            </w:r>
          </w:p>
        </w:tc>
        <w:tc>
          <w:tcPr>
            <w:tcW w:w="413" w:type="pct"/>
            <w:shd w:val="clear" w:color="000000" w:fill="D9D9D9"/>
            <w:vAlign w:val="center"/>
            <w:hideMark/>
          </w:tcPr>
          <w:p w14:paraId="110D8AA6" w14:textId="77777777" w:rsidR="007B2694" w:rsidRPr="00D207EA" w:rsidRDefault="007B2694" w:rsidP="007B2694">
            <w:pPr>
              <w:spacing w:before="0" w:after="0"/>
              <w:jc w:val="right"/>
              <w:rPr>
                <w:rFonts w:eastAsia="Times New Roman"/>
                <w:b/>
                <w:noProof/>
                <w:color w:val="000000"/>
                <w:sz w:val="20"/>
                <w:szCs w:val="20"/>
              </w:rPr>
            </w:pPr>
            <w:r w:rsidRPr="00D207EA">
              <w:rPr>
                <w:b/>
                <w:noProof/>
                <w:sz w:val="18"/>
              </w:rPr>
              <w:t>p.m.</w:t>
            </w:r>
          </w:p>
        </w:tc>
      </w:tr>
    </w:tbl>
    <w:p w14:paraId="637CF2F5" w14:textId="77777777" w:rsidR="004A489F" w:rsidRPr="00D207EA" w:rsidRDefault="004A489F" w:rsidP="004A489F">
      <w:pPr>
        <w:pStyle w:val="ManualHeading3"/>
        <w:rPr>
          <w:noProof/>
        </w:rPr>
      </w:pPr>
    </w:p>
    <w:tbl>
      <w:tblPr>
        <w:tblW w:w="5000" w:type="pct"/>
        <w:tblCellMar>
          <w:top w:w="15" w:type="dxa"/>
          <w:bottom w:w="15" w:type="dxa"/>
        </w:tblCellMar>
        <w:tblLook w:val="04A0" w:firstRow="1" w:lastRow="0" w:firstColumn="1" w:lastColumn="0" w:noHBand="0" w:noVBand="1"/>
      </w:tblPr>
      <w:tblGrid>
        <w:gridCol w:w="2416"/>
        <w:gridCol w:w="1236"/>
        <w:gridCol w:w="80"/>
        <w:gridCol w:w="438"/>
        <w:gridCol w:w="799"/>
        <w:gridCol w:w="515"/>
        <w:gridCol w:w="436"/>
        <w:gridCol w:w="185"/>
        <w:gridCol w:w="950"/>
        <w:gridCol w:w="1116"/>
        <w:gridCol w:w="1578"/>
        <w:gridCol w:w="1116"/>
        <w:gridCol w:w="1116"/>
        <w:gridCol w:w="1116"/>
        <w:gridCol w:w="1123"/>
      </w:tblGrid>
      <w:tr w:rsidR="005B2A0C" w:rsidRPr="00D207EA" w14:paraId="3CC355EE" w14:textId="77777777" w:rsidTr="005B2A0C">
        <w:trPr>
          <w:trHeight w:val="300"/>
        </w:trPr>
        <w:tc>
          <w:tcPr>
            <w:tcW w:w="1467" w:type="pct"/>
            <w:gridSpan w:val="4"/>
            <w:vMerge w:val="restart"/>
            <w:tcBorders>
              <w:top w:val="single" w:sz="8" w:space="0" w:color="auto"/>
              <w:left w:val="single" w:sz="8" w:space="0" w:color="auto"/>
              <w:bottom w:val="nil"/>
              <w:right w:val="nil"/>
            </w:tcBorders>
            <w:vAlign w:val="center"/>
            <w:hideMark/>
          </w:tcPr>
          <w:p w14:paraId="4B81875B" w14:textId="77777777" w:rsidR="004A489F" w:rsidRPr="00D207EA" w:rsidRDefault="004A489F">
            <w:pPr>
              <w:spacing w:before="0" w:after="0"/>
              <w:jc w:val="left"/>
              <w:rPr>
                <w:rFonts w:eastAsia="Times New Roman"/>
                <w:noProof/>
                <w:sz w:val="20"/>
                <w:szCs w:val="24"/>
                <w:lang w:eastAsia="en-IE"/>
              </w:rPr>
            </w:pPr>
          </w:p>
        </w:tc>
        <w:tc>
          <w:tcPr>
            <w:tcW w:w="615" w:type="pct"/>
            <w:gridSpan w:val="3"/>
            <w:tcBorders>
              <w:top w:val="single" w:sz="8" w:space="0" w:color="auto"/>
              <w:left w:val="single" w:sz="8" w:space="0" w:color="auto"/>
              <w:bottom w:val="single" w:sz="8" w:space="0" w:color="auto"/>
              <w:right w:val="single" w:sz="8" w:space="0" w:color="auto"/>
            </w:tcBorders>
            <w:vAlign w:val="center"/>
            <w:hideMark/>
          </w:tcPr>
          <w:p w14:paraId="43328C8B" w14:textId="77777777" w:rsidR="004A489F" w:rsidRPr="00D207EA" w:rsidRDefault="004A489F">
            <w:pPr>
              <w:spacing w:before="0" w:after="0"/>
              <w:jc w:val="center"/>
              <w:rPr>
                <w:rFonts w:eastAsia="Times New Roman"/>
                <w:noProof/>
                <w:color w:val="000000"/>
                <w:sz w:val="20"/>
                <w:szCs w:val="20"/>
              </w:rPr>
            </w:pPr>
            <w:r w:rsidRPr="00D207EA">
              <w:rPr>
                <w:noProof/>
                <w:color w:val="000000"/>
                <w:sz w:val="20"/>
              </w:rPr>
              <w:t>Année</w:t>
            </w:r>
          </w:p>
        </w:tc>
        <w:tc>
          <w:tcPr>
            <w:tcW w:w="399" w:type="pct"/>
            <w:gridSpan w:val="2"/>
            <w:tcBorders>
              <w:top w:val="single" w:sz="8" w:space="0" w:color="auto"/>
              <w:left w:val="single" w:sz="8" w:space="0" w:color="auto"/>
              <w:bottom w:val="single" w:sz="8" w:space="0" w:color="auto"/>
              <w:right w:val="single" w:sz="8" w:space="0" w:color="auto"/>
            </w:tcBorders>
            <w:vAlign w:val="center"/>
            <w:hideMark/>
          </w:tcPr>
          <w:p w14:paraId="05468C36" w14:textId="77777777" w:rsidR="004A489F" w:rsidRPr="00D207EA" w:rsidRDefault="004A489F">
            <w:pPr>
              <w:spacing w:before="0" w:after="0"/>
              <w:jc w:val="center"/>
              <w:rPr>
                <w:rFonts w:eastAsia="Times New Roman"/>
                <w:noProof/>
                <w:color w:val="000000"/>
                <w:sz w:val="20"/>
                <w:szCs w:val="20"/>
              </w:rPr>
            </w:pPr>
            <w:r w:rsidRPr="00D207EA">
              <w:rPr>
                <w:noProof/>
                <w:color w:val="000000"/>
                <w:sz w:val="20"/>
              </w:rPr>
              <w:t>Année</w:t>
            </w:r>
          </w:p>
        </w:tc>
        <w:tc>
          <w:tcPr>
            <w:tcW w:w="392" w:type="pct"/>
            <w:tcBorders>
              <w:top w:val="single" w:sz="8" w:space="0" w:color="auto"/>
              <w:left w:val="single" w:sz="8" w:space="0" w:color="auto"/>
              <w:bottom w:val="single" w:sz="8" w:space="0" w:color="auto"/>
              <w:right w:val="single" w:sz="8" w:space="0" w:color="auto"/>
            </w:tcBorders>
            <w:vAlign w:val="center"/>
            <w:hideMark/>
          </w:tcPr>
          <w:p w14:paraId="7E7DB3AD" w14:textId="77777777" w:rsidR="004A489F" w:rsidRPr="00D207EA" w:rsidRDefault="004A489F">
            <w:pPr>
              <w:spacing w:before="0" w:after="0"/>
              <w:jc w:val="center"/>
              <w:rPr>
                <w:rFonts w:eastAsia="Times New Roman"/>
                <w:noProof/>
                <w:color w:val="000000"/>
                <w:sz w:val="20"/>
                <w:szCs w:val="20"/>
              </w:rPr>
            </w:pPr>
            <w:r w:rsidRPr="00D207EA">
              <w:rPr>
                <w:noProof/>
                <w:color w:val="000000"/>
                <w:sz w:val="20"/>
              </w:rPr>
              <w:t>Année</w:t>
            </w:r>
          </w:p>
        </w:tc>
        <w:tc>
          <w:tcPr>
            <w:tcW w:w="555" w:type="pct"/>
            <w:tcBorders>
              <w:top w:val="single" w:sz="8" w:space="0" w:color="auto"/>
              <w:left w:val="single" w:sz="8" w:space="0" w:color="auto"/>
              <w:bottom w:val="single" w:sz="8" w:space="0" w:color="auto"/>
              <w:right w:val="single" w:sz="8" w:space="0" w:color="auto"/>
            </w:tcBorders>
            <w:vAlign w:val="center"/>
            <w:hideMark/>
          </w:tcPr>
          <w:p w14:paraId="3762FFAA" w14:textId="77777777" w:rsidR="004A489F" w:rsidRPr="00D207EA" w:rsidRDefault="004A489F">
            <w:pPr>
              <w:spacing w:before="0" w:after="0"/>
              <w:jc w:val="center"/>
              <w:rPr>
                <w:rFonts w:eastAsia="Times New Roman"/>
                <w:noProof/>
                <w:color w:val="000000"/>
                <w:sz w:val="20"/>
                <w:szCs w:val="20"/>
              </w:rPr>
            </w:pPr>
            <w:r w:rsidRPr="00D207EA">
              <w:rPr>
                <w:noProof/>
                <w:color w:val="000000"/>
                <w:sz w:val="20"/>
              </w:rPr>
              <w:t>Année</w:t>
            </w:r>
          </w:p>
        </w:tc>
        <w:tc>
          <w:tcPr>
            <w:tcW w:w="392" w:type="pct"/>
            <w:tcBorders>
              <w:top w:val="single" w:sz="8" w:space="0" w:color="auto"/>
              <w:left w:val="single" w:sz="8" w:space="0" w:color="auto"/>
              <w:bottom w:val="single" w:sz="8" w:space="0" w:color="auto"/>
              <w:right w:val="single" w:sz="8" w:space="0" w:color="auto"/>
            </w:tcBorders>
            <w:vAlign w:val="center"/>
            <w:hideMark/>
          </w:tcPr>
          <w:p w14:paraId="6BF6F47F" w14:textId="77777777" w:rsidR="004A489F" w:rsidRPr="00D207EA" w:rsidRDefault="004A489F">
            <w:pPr>
              <w:spacing w:before="0" w:after="0"/>
              <w:jc w:val="center"/>
              <w:rPr>
                <w:rFonts w:eastAsia="Times New Roman"/>
                <w:noProof/>
                <w:color w:val="000000"/>
                <w:sz w:val="20"/>
                <w:szCs w:val="20"/>
              </w:rPr>
            </w:pPr>
            <w:r w:rsidRPr="00D207EA">
              <w:rPr>
                <w:noProof/>
                <w:color w:val="000000"/>
                <w:sz w:val="20"/>
              </w:rPr>
              <w:t>Année</w:t>
            </w:r>
          </w:p>
        </w:tc>
        <w:tc>
          <w:tcPr>
            <w:tcW w:w="392" w:type="pct"/>
            <w:tcBorders>
              <w:top w:val="single" w:sz="8" w:space="0" w:color="auto"/>
              <w:left w:val="single" w:sz="8" w:space="0" w:color="auto"/>
              <w:bottom w:val="single" w:sz="8" w:space="0" w:color="auto"/>
              <w:right w:val="single" w:sz="8" w:space="0" w:color="auto"/>
            </w:tcBorders>
            <w:vAlign w:val="center"/>
            <w:hideMark/>
          </w:tcPr>
          <w:p w14:paraId="7C0EA0DF" w14:textId="77777777" w:rsidR="004A489F" w:rsidRPr="00D207EA" w:rsidRDefault="004A489F">
            <w:pPr>
              <w:spacing w:before="0" w:after="0"/>
              <w:jc w:val="center"/>
              <w:rPr>
                <w:rFonts w:eastAsia="Times New Roman"/>
                <w:noProof/>
                <w:color w:val="000000"/>
                <w:sz w:val="20"/>
                <w:szCs w:val="20"/>
              </w:rPr>
            </w:pPr>
            <w:r w:rsidRPr="00D207EA">
              <w:rPr>
                <w:noProof/>
                <w:color w:val="000000"/>
                <w:sz w:val="20"/>
              </w:rPr>
              <w:t>Année</w:t>
            </w:r>
          </w:p>
        </w:tc>
        <w:tc>
          <w:tcPr>
            <w:tcW w:w="392" w:type="pct"/>
            <w:tcBorders>
              <w:top w:val="single" w:sz="8" w:space="0" w:color="auto"/>
              <w:left w:val="single" w:sz="8" w:space="0" w:color="auto"/>
              <w:bottom w:val="single" w:sz="8" w:space="0" w:color="auto"/>
              <w:right w:val="single" w:sz="8" w:space="0" w:color="auto"/>
            </w:tcBorders>
            <w:vAlign w:val="center"/>
            <w:hideMark/>
          </w:tcPr>
          <w:p w14:paraId="583E8B36" w14:textId="77777777" w:rsidR="004A489F" w:rsidRPr="00D207EA" w:rsidRDefault="004A489F">
            <w:pPr>
              <w:spacing w:before="0" w:after="0"/>
              <w:jc w:val="center"/>
              <w:rPr>
                <w:rFonts w:eastAsia="Times New Roman"/>
                <w:noProof/>
                <w:color w:val="000000"/>
                <w:sz w:val="20"/>
                <w:szCs w:val="20"/>
              </w:rPr>
            </w:pPr>
            <w:r w:rsidRPr="00D207EA">
              <w:rPr>
                <w:noProof/>
                <w:color w:val="000000"/>
                <w:sz w:val="20"/>
              </w:rPr>
              <w:t>Année</w:t>
            </w:r>
          </w:p>
        </w:tc>
        <w:tc>
          <w:tcPr>
            <w:tcW w:w="395" w:type="pct"/>
            <w:vMerge w:val="restart"/>
            <w:tcBorders>
              <w:top w:val="single" w:sz="8" w:space="0" w:color="auto"/>
              <w:left w:val="single" w:sz="8" w:space="0" w:color="auto"/>
              <w:bottom w:val="single" w:sz="8" w:space="0" w:color="auto"/>
              <w:right w:val="single" w:sz="8" w:space="0" w:color="auto"/>
            </w:tcBorders>
            <w:vAlign w:val="center"/>
            <w:hideMark/>
          </w:tcPr>
          <w:p w14:paraId="726F8EB9"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TOTAL CFP</w:t>
            </w:r>
            <w:r w:rsidRPr="00D207EA">
              <w:rPr>
                <w:b/>
                <w:noProof/>
                <w:color w:val="000000"/>
                <w:sz w:val="20"/>
              </w:rPr>
              <w:br/>
              <w:t>2028-2034</w:t>
            </w:r>
          </w:p>
        </w:tc>
      </w:tr>
      <w:tr w:rsidR="005B2A0C" w:rsidRPr="00D207EA" w14:paraId="17AADF93" w14:textId="77777777" w:rsidTr="005B2A0C">
        <w:trPr>
          <w:trHeight w:val="300"/>
        </w:trPr>
        <w:tc>
          <w:tcPr>
            <w:tcW w:w="1467" w:type="pct"/>
            <w:gridSpan w:val="4"/>
            <w:vMerge/>
            <w:tcBorders>
              <w:top w:val="single" w:sz="8" w:space="0" w:color="auto"/>
              <w:left w:val="single" w:sz="8" w:space="0" w:color="auto"/>
              <w:bottom w:val="nil"/>
              <w:right w:val="nil"/>
            </w:tcBorders>
            <w:vAlign w:val="center"/>
            <w:hideMark/>
          </w:tcPr>
          <w:p w14:paraId="2CC455B7" w14:textId="77777777" w:rsidR="004A489F" w:rsidRPr="00D207EA" w:rsidRDefault="004A489F">
            <w:pPr>
              <w:spacing w:before="0" w:after="0"/>
              <w:jc w:val="left"/>
              <w:rPr>
                <w:rFonts w:eastAsia="Times New Roman"/>
                <w:noProof/>
                <w:sz w:val="20"/>
                <w:szCs w:val="24"/>
                <w:lang w:eastAsia="en-IE"/>
              </w:rPr>
            </w:pPr>
          </w:p>
        </w:tc>
        <w:tc>
          <w:tcPr>
            <w:tcW w:w="615" w:type="pct"/>
            <w:gridSpan w:val="3"/>
            <w:tcBorders>
              <w:top w:val="single" w:sz="8" w:space="0" w:color="auto"/>
              <w:left w:val="single" w:sz="8" w:space="0" w:color="auto"/>
              <w:bottom w:val="single" w:sz="8" w:space="0" w:color="auto"/>
              <w:right w:val="single" w:sz="8" w:space="0" w:color="auto"/>
            </w:tcBorders>
            <w:vAlign w:val="center"/>
            <w:hideMark/>
          </w:tcPr>
          <w:p w14:paraId="0319278C"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2028</w:t>
            </w:r>
          </w:p>
        </w:tc>
        <w:tc>
          <w:tcPr>
            <w:tcW w:w="399" w:type="pct"/>
            <w:gridSpan w:val="2"/>
            <w:tcBorders>
              <w:top w:val="single" w:sz="8" w:space="0" w:color="auto"/>
              <w:left w:val="single" w:sz="8" w:space="0" w:color="auto"/>
              <w:bottom w:val="single" w:sz="8" w:space="0" w:color="auto"/>
              <w:right w:val="single" w:sz="8" w:space="0" w:color="auto"/>
            </w:tcBorders>
            <w:vAlign w:val="center"/>
            <w:hideMark/>
          </w:tcPr>
          <w:p w14:paraId="770EE612"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2029</w:t>
            </w:r>
          </w:p>
        </w:tc>
        <w:tc>
          <w:tcPr>
            <w:tcW w:w="392" w:type="pct"/>
            <w:tcBorders>
              <w:top w:val="single" w:sz="8" w:space="0" w:color="auto"/>
              <w:left w:val="single" w:sz="8" w:space="0" w:color="auto"/>
              <w:bottom w:val="single" w:sz="8" w:space="0" w:color="auto"/>
              <w:right w:val="single" w:sz="8" w:space="0" w:color="auto"/>
            </w:tcBorders>
            <w:vAlign w:val="center"/>
            <w:hideMark/>
          </w:tcPr>
          <w:p w14:paraId="119D33EF"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2030</w:t>
            </w:r>
          </w:p>
        </w:tc>
        <w:tc>
          <w:tcPr>
            <w:tcW w:w="555" w:type="pct"/>
            <w:tcBorders>
              <w:top w:val="single" w:sz="8" w:space="0" w:color="auto"/>
              <w:left w:val="single" w:sz="8" w:space="0" w:color="auto"/>
              <w:bottom w:val="single" w:sz="8" w:space="0" w:color="auto"/>
              <w:right w:val="single" w:sz="8" w:space="0" w:color="auto"/>
            </w:tcBorders>
            <w:vAlign w:val="center"/>
            <w:hideMark/>
          </w:tcPr>
          <w:p w14:paraId="56DE17E3"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2031</w:t>
            </w:r>
          </w:p>
        </w:tc>
        <w:tc>
          <w:tcPr>
            <w:tcW w:w="392" w:type="pct"/>
            <w:tcBorders>
              <w:top w:val="single" w:sz="8" w:space="0" w:color="auto"/>
              <w:left w:val="single" w:sz="8" w:space="0" w:color="auto"/>
              <w:bottom w:val="single" w:sz="8" w:space="0" w:color="auto"/>
              <w:right w:val="single" w:sz="8" w:space="0" w:color="auto"/>
            </w:tcBorders>
            <w:vAlign w:val="center"/>
            <w:hideMark/>
          </w:tcPr>
          <w:p w14:paraId="214744EC"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2032</w:t>
            </w:r>
          </w:p>
        </w:tc>
        <w:tc>
          <w:tcPr>
            <w:tcW w:w="392" w:type="pct"/>
            <w:tcBorders>
              <w:top w:val="single" w:sz="8" w:space="0" w:color="auto"/>
              <w:left w:val="single" w:sz="8" w:space="0" w:color="auto"/>
              <w:bottom w:val="single" w:sz="8" w:space="0" w:color="auto"/>
              <w:right w:val="single" w:sz="8" w:space="0" w:color="auto"/>
            </w:tcBorders>
            <w:vAlign w:val="center"/>
            <w:hideMark/>
          </w:tcPr>
          <w:p w14:paraId="462BC2F6"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2033</w:t>
            </w:r>
          </w:p>
        </w:tc>
        <w:tc>
          <w:tcPr>
            <w:tcW w:w="392" w:type="pct"/>
            <w:tcBorders>
              <w:top w:val="single" w:sz="8" w:space="0" w:color="auto"/>
              <w:left w:val="single" w:sz="8" w:space="0" w:color="auto"/>
              <w:bottom w:val="single" w:sz="8" w:space="0" w:color="auto"/>
              <w:right w:val="single" w:sz="8" w:space="0" w:color="auto"/>
            </w:tcBorders>
            <w:vAlign w:val="center"/>
            <w:hideMark/>
          </w:tcPr>
          <w:p w14:paraId="17E33E2C"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2034</w:t>
            </w:r>
          </w:p>
        </w:tc>
        <w:tc>
          <w:tcPr>
            <w:tcW w:w="395" w:type="pct"/>
            <w:vMerge/>
            <w:tcBorders>
              <w:top w:val="single" w:sz="8" w:space="0" w:color="auto"/>
              <w:left w:val="single" w:sz="8" w:space="0" w:color="auto"/>
              <w:bottom w:val="single" w:sz="8" w:space="0" w:color="auto"/>
              <w:right w:val="single" w:sz="8" w:space="0" w:color="auto"/>
            </w:tcBorders>
            <w:vAlign w:val="center"/>
            <w:hideMark/>
          </w:tcPr>
          <w:p w14:paraId="03D4D98E" w14:textId="77777777" w:rsidR="004A489F" w:rsidRPr="00D207EA" w:rsidRDefault="004A489F">
            <w:pPr>
              <w:spacing w:before="0" w:after="0"/>
              <w:jc w:val="left"/>
              <w:rPr>
                <w:rFonts w:eastAsia="Times New Roman"/>
                <w:b/>
                <w:noProof/>
                <w:color w:val="000000"/>
                <w:sz w:val="20"/>
                <w:szCs w:val="20"/>
                <w:lang w:eastAsia="en-IE"/>
              </w:rPr>
            </w:pPr>
          </w:p>
        </w:tc>
      </w:tr>
      <w:tr w:rsidR="005B2A0C" w:rsidRPr="00D207EA" w14:paraId="6F0B4CB0" w14:textId="77777777" w:rsidTr="005B2A0C">
        <w:trPr>
          <w:trHeight w:val="420"/>
        </w:trPr>
        <w:tc>
          <w:tcPr>
            <w:tcW w:w="850" w:type="pct"/>
            <w:vMerge w:val="restart"/>
            <w:tcBorders>
              <w:top w:val="single" w:sz="8" w:space="0" w:color="auto"/>
              <w:left w:val="single" w:sz="8" w:space="0" w:color="auto"/>
              <w:bottom w:val="single" w:sz="8" w:space="0" w:color="auto"/>
              <w:right w:val="single" w:sz="8" w:space="0" w:color="auto"/>
            </w:tcBorders>
            <w:vAlign w:val="center"/>
            <w:hideMark/>
          </w:tcPr>
          <w:p w14:paraId="114FCCB8" w14:textId="77777777" w:rsidR="005B2A0C" w:rsidRPr="00D207EA" w:rsidRDefault="005B2A0C" w:rsidP="00812AD2">
            <w:pPr>
              <w:spacing w:before="0" w:after="0"/>
              <w:rPr>
                <w:rFonts w:eastAsia="Times New Roman"/>
                <w:noProof/>
                <w:sz w:val="21"/>
                <w:szCs w:val="21"/>
              </w:rPr>
            </w:pPr>
            <w:r w:rsidRPr="00D207EA">
              <w:rPr>
                <w:noProof/>
                <w:sz w:val="21"/>
              </w:rPr>
              <w:t xml:space="preserve">TOTAL des crédits opérationnels </w:t>
            </w:r>
            <w:r w:rsidRPr="00D207EA">
              <w:rPr>
                <w:noProof/>
                <w:sz w:val="21"/>
              </w:rPr>
              <w:br/>
              <w:t>(y compris la contribution à l’organisme décentralisé)</w:t>
            </w:r>
          </w:p>
        </w:tc>
        <w:tc>
          <w:tcPr>
            <w:tcW w:w="435" w:type="pct"/>
            <w:tcBorders>
              <w:top w:val="single" w:sz="8" w:space="0" w:color="auto"/>
              <w:left w:val="single" w:sz="8" w:space="0" w:color="auto"/>
              <w:bottom w:val="single" w:sz="8" w:space="0" w:color="auto"/>
              <w:right w:val="single" w:sz="8" w:space="0" w:color="auto"/>
            </w:tcBorders>
            <w:vAlign w:val="center"/>
            <w:hideMark/>
          </w:tcPr>
          <w:p w14:paraId="3D6D58CE" w14:textId="77777777" w:rsidR="005B2A0C" w:rsidRPr="00D207EA" w:rsidRDefault="005B2A0C" w:rsidP="00812AD2">
            <w:pPr>
              <w:spacing w:before="0" w:after="0"/>
              <w:rPr>
                <w:rFonts w:eastAsia="Times New Roman"/>
                <w:noProof/>
                <w:sz w:val="18"/>
                <w:szCs w:val="18"/>
              </w:rPr>
            </w:pPr>
            <w:r w:rsidRPr="00D207EA">
              <w:rPr>
                <w:noProof/>
                <w:sz w:val="18"/>
              </w:rPr>
              <w:t>Engagements</w:t>
            </w:r>
          </w:p>
        </w:tc>
        <w:tc>
          <w:tcPr>
            <w:tcW w:w="182" w:type="pct"/>
            <w:gridSpan w:val="2"/>
            <w:tcBorders>
              <w:top w:val="single" w:sz="8" w:space="0" w:color="auto"/>
              <w:left w:val="single" w:sz="8" w:space="0" w:color="auto"/>
              <w:bottom w:val="single" w:sz="8" w:space="0" w:color="auto"/>
              <w:right w:val="single" w:sz="8" w:space="0" w:color="auto"/>
            </w:tcBorders>
            <w:vAlign w:val="center"/>
            <w:hideMark/>
          </w:tcPr>
          <w:p w14:paraId="26F4A5E3" w14:textId="77777777" w:rsidR="005B2A0C" w:rsidRPr="00D207EA" w:rsidRDefault="005B2A0C" w:rsidP="00812AD2">
            <w:pPr>
              <w:spacing w:before="0" w:after="0"/>
              <w:jc w:val="center"/>
              <w:rPr>
                <w:rFonts w:eastAsia="Times New Roman"/>
                <w:noProof/>
                <w:sz w:val="14"/>
                <w:szCs w:val="14"/>
              </w:rPr>
            </w:pPr>
            <w:r w:rsidRPr="00D207EA">
              <w:rPr>
                <w:noProof/>
                <w:sz w:val="14"/>
              </w:rPr>
              <w:t>(4)</w:t>
            </w:r>
          </w:p>
        </w:tc>
        <w:tc>
          <w:tcPr>
            <w:tcW w:w="615" w:type="pct"/>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14:paraId="128CC125" w14:textId="77777777" w:rsidR="005B2A0C" w:rsidRPr="00D207EA" w:rsidRDefault="005B2A0C" w:rsidP="00812AD2">
            <w:pPr>
              <w:spacing w:before="0" w:after="0"/>
              <w:jc w:val="right"/>
              <w:rPr>
                <w:rFonts w:eastAsia="Times New Roman"/>
                <w:noProof/>
                <w:sz w:val="18"/>
                <w:szCs w:val="18"/>
              </w:rPr>
            </w:pPr>
            <w:r w:rsidRPr="00D207EA">
              <w:rPr>
                <w:noProof/>
                <w:color w:val="000000"/>
                <w:sz w:val="18"/>
              </w:rPr>
              <w:t>135 571,000</w:t>
            </w:r>
          </w:p>
        </w:tc>
        <w:tc>
          <w:tcPr>
            <w:tcW w:w="399"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3CDA6D73" w14:textId="77777777" w:rsidR="005B2A0C" w:rsidRPr="00D207EA" w:rsidRDefault="005B2A0C" w:rsidP="00812AD2">
            <w:pPr>
              <w:spacing w:before="0" w:after="0"/>
              <w:jc w:val="right"/>
              <w:rPr>
                <w:rFonts w:eastAsia="Times New Roman"/>
                <w:noProof/>
                <w:sz w:val="18"/>
                <w:szCs w:val="18"/>
              </w:rPr>
            </w:pPr>
            <w:r w:rsidRPr="00D207EA">
              <w:rPr>
                <w:noProof/>
                <w:color w:val="000000"/>
                <w:sz w:val="18"/>
              </w:rPr>
              <w:t>133 134,000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A5B9C8" w14:textId="77777777" w:rsidR="005B2A0C" w:rsidRPr="00D207EA" w:rsidRDefault="005B2A0C" w:rsidP="00812AD2">
            <w:pPr>
              <w:spacing w:before="0" w:after="0"/>
              <w:jc w:val="right"/>
              <w:rPr>
                <w:rFonts w:eastAsia="Times New Roman"/>
                <w:noProof/>
                <w:sz w:val="18"/>
                <w:szCs w:val="18"/>
              </w:rPr>
            </w:pPr>
            <w:r w:rsidRPr="00D207EA">
              <w:rPr>
                <w:noProof/>
                <w:color w:val="000000"/>
                <w:sz w:val="18"/>
              </w:rPr>
              <w:t>130 131,000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D501CD" w14:textId="77777777" w:rsidR="005B2A0C" w:rsidRPr="00D207EA" w:rsidRDefault="005B2A0C" w:rsidP="00812AD2">
            <w:pPr>
              <w:spacing w:before="0" w:after="0"/>
              <w:jc w:val="right"/>
              <w:rPr>
                <w:rFonts w:eastAsia="Times New Roman"/>
                <w:noProof/>
                <w:sz w:val="18"/>
                <w:szCs w:val="18"/>
              </w:rPr>
            </w:pPr>
            <w:r w:rsidRPr="00D207EA">
              <w:rPr>
                <w:noProof/>
                <w:color w:val="000000"/>
                <w:sz w:val="18"/>
              </w:rPr>
              <w:t>127 411,000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8B2EEA3" w14:textId="77777777" w:rsidR="005B2A0C" w:rsidRPr="00D207EA" w:rsidRDefault="005B2A0C" w:rsidP="00812AD2">
            <w:pPr>
              <w:spacing w:before="0" w:after="0"/>
              <w:jc w:val="right"/>
              <w:rPr>
                <w:rFonts w:eastAsia="Times New Roman"/>
                <w:noProof/>
                <w:sz w:val="18"/>
                <w:szCs w:val="18"/>
              </w:rPr>
            </w:pPr>
            <w:r w:rsidRPr="00D207EA">
              <w:rPr>
                <w:noProof/>
                <w:color w:val="000000"/>
                <w:sz w:val="18"/>
              </w:rPr>
              <w:t>123 879,000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79C2E6" w14:textId="77777777" w:rsidR="005B2A0C" w:rsidRPr="00D207EA" w:rsidRDefault="005B2A0C" w:rsidP="00812AD2">
            <w:pPr>
              <w:spacing w:before="0" w:after="0"/>
              <w:jc w:val="right"/>
              <w:rPr>
                <w:rFonts w:eastAsia="Times New Roman"/>
                <w:noProof/>
                <w:sz w:val="18"/>
                <w:szCs w:val="18"/>
              </w:rPr>
            </w:pPr>
            <w:r w:rsidRPr="00D207EA">
              <w:rPr>
                <w:noProof/>
                <w:color w:val="000000"/>
                <w:sz w:val="18"/>
              </w:rPr>
              <w:t>111 535,000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136C9AB" w14:textId="77777777" w:rsidR="005B2A0C" w:rsidRPr="00D207EA" w:rsidRDefault="005B2A0C" w:rsidP="00812AD2">
            <w:pPr>
              <w:spacing w:before="0" w:after="0"/>
              <w:jc w:val="right"/>
              <w:rPr>
                <w:rFonts w:eastAsia="Times New Roman"/>
                <w:noProof/>
                <w:sz w:val="18"/>
                <w:szCs w:val="18"/>
              </w:rPr>
            </w:pPr>
            <w:r w:rsidRPr="00D207EA">
              <w:rPr>
                <w:noProof/>
                <w:color w:val="000000"/>
                <w:sz w:val="18"/>
              </w:rPr>
              <w:t>103 414,000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E39657" w14:textId="77777777" w:rsidR="005B2A0C" w:rsidRPr="00D207EA" w:rsidRDefault="005B2A0C" w:rsidP="00812AD2">
            <w:pPr>
              <w:spacing w:before="0" w:after="0"/>
              <w:jc w:val="right"/>
              <w:rPr>
                <w:rFonts w:eastAsia="Times New Roman"/>
                <w:b/>
                <w:noProof/>
                <w:sz w:val="18"/>
                <w:szCs w:val="18"/>
              </w:rPr>
            </w:pPr>
            <w:r w:rsidRPr="00D207EA">
              <w:rPr>
                <w:b/>
                <w:noProof/>
                <w:color w:val="000000"/>
                <w:sz w:val="18"/>
              </w:rPr>
              <w:t>865 076,000</w:t>
            </w:r>
          </w:p>
        </w:tc>
      </w:tr>
      <w:tr w:rsidR="005B2A0C" w:rsidRPr="00D207EA" w14:paraId="55FC72D2" w14:textId="77777777" w:rsidTr="005B2A0C">
        <w:trPr>
          <w:trHeight w:val="450"/>
        </w:trPr>
        <w:tc>
          <w:tcPr>
            <w:tcW w:w="850" w:type="pct"/>
            <w:vMerge/>
            <w:tcBorders>
              <w:top w:val="single" w:sz="8" w:space="0" w:color="auto"/>
              <w:left w:val="single" w:sz="8" w:space="0" w:color="auto"/>
              <w:bottom w:val="single" w:sz="8" w:space="0" w:color="auto"/>
              <w:right w:val="single" w:sz="8" w:space="0" w:color="auto"/>
            </w:tcBorders>
            <w:vAlign w:val="center"/>
            <w:hideMark/>
          </w:tcPr>
          <w:p w14:paraId="1F89E7E9" w14:textId="77777777" w:rsidR="005B2A0C" w:rsidRPr="00D207EA" w:rsidRDefault="005B2A0C" w:rsidP="00812AD2">
            <w:pPr>
              <w:spacing w:before="0" w:after="0"/>
              <w:jc w:val="left"/>
              <w:rPr>
                <w:rFonts w:eastAsia="Times New Roman"/>
                <w:noProof/>
                <w:sz w:val="21"/>
                <w:szCs w:val="21"/>
                <w:lang w:eastAsia="en-IE"/>
              </w:rPr>
            </w:pPr>
          </w:p>
        </w:tc>
        <w:tc>
          <w:tcPr>
            <w:tcW w:w="435" w:type="pct"/>
            <w:tcBorders>
              <w:top w:val="single" w:sz="8" w:space="0" w:color="auto"/>
              <w:left w:val="single" w:sz="8" w:space="0" w:color="auto"/>
              <w:bottom w:val="single" w:sz="8" w:space="0" w:color="auto"/>
              <w:right w:val="single" w:sz="8" w:space="0" w:color="auto"/>
            </w:tcBorders>
            <w:vAlign w:val="center"/>
            <w:hideMark/>
          </w:tcPr>
          <w:p w14:paraId="0892A5BF" w14:textId="77777777" w:rsidR="005B2A0C" w:rsidRPr="00D207EA" w:rsidRDefault="005B2A0C" w:rsidP="00812AD2">
            <w:pPr>
              <w:spacing w:before="0" w:after="0"/>
              <w:rPr>
                <w:rFonts w:eastAsia="Times New Roman"/>
                <w:noProof/>
                <w:sz w:val="18"/>
                <w:szCs w:val="18"/>
              </w:rPr>
            </w:pPr>
            <w:r w:rsidRPr="00D207EA">
              <w:rPr>
                <w:noProof/>
                <w:sz w:val="18"/>
              </w:rPr>
              <w:t>Paiements</w:t>
            </w:r>
          </w:p>
        </w:tc>
        <w:tc>
          <w:tcPr>
            <w:tcW w:w="182" w:type="pct"/>
            <w:gridSpan w:val="2"/>
            <w:tcBorders>
              <w:top w:val="single" w:sz="8" w:space="0" w:color="auto"/>
              <w:left w:val="single" w:sz="8" w:space="0" w:color="auto"/>
              <w:bottom w:val="single" w:sz="8" w:space="0" w:color="auto"/>
              <w:right w:val="single" w:sz="8" w:space="0" w:color="auto"/>
            </w:tcBorders>
            <w:vAlign w:val="center"/>
            <w:hideMark/>
          </w:tcPr>
          <w:p w14:paraId="7CED4A87" w14:textId="77777777" w:rsidR="005B2A0C" w:rsidRPr="00D207EA" w:rsidRDefault="005B2A0C" w:rsidP="00812AD2">
            <w:pPr>
              <w:spacing w:before="0" w:after="0"/>
              <w:jc w:val="center"/>
              <w:rPr>
                <w:rFonts w:eastAsia="Times New Roman"/>
                <w:noProof/>
                <w:sz w:val="14"/>
                <w:szCs w:val="14"/>
              </w:rPr>
            </w:pPr>
            <w:r w:rsidRPr="00D207EA">
              <w:rPr>
                <w:noProof/>
                <w:sz w:val="14"/>
              </w:rPr>
              <w:t>(5)</w:t>
            </w:r>
          </w:p>
        </w:tc>
        <w:tc>
          <w:tcPr>
            <w:tcW w:w="615" w:type="pct"/>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14:paraId="36511B73" w14:textId="77777777" w:rsidR="005B2A0C" w:rsidRPr="00D207EA" w:rsidRDefault="005B2A0C" w:rsidP="00812AD2">
            <w:pPr>
              <w:spacing w:before="0" w:after="0"/>
              <w:jc w:val="right"/>
              <w:rPr>
                <w:rFonts w:eastAsia="Times New Roman"/>
                <w:noProof/>
                <w:sz w:val="18"/>
                <w:szCs w:val="18"/>
              </w:rPr>
            </w:pPr>
            <w:r w:rsidRPr="00D207EA">
              <w:rPr>
                <w:noProof/>
                <w:sz w:val="18"/>
              </w:rPr>
              <w:t>0,000</w:t>
            </w:r>
          </w:p>
        </w:tc>
        <w:tc>
          <w:tcPr>
            <w:tcW w:w="399"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6096CEBC" w14:textId="77777777" w:rsidR="005B2A0C" w:rsidRPr="00D207EA" w:rsidRDefault="005B2A0C" w:rsidP="00812AD2">
            <w:pPr>
              <w:spacing w:before="0" w:after="0"/>
              <w:jc w:val="right"/>
              <w:rPr>
                <w:rFonts w:eastAsia="Times New Roman"/>
                <w:noProof/>
                <w:sz w:val="18"/>
                <w:szCs w:val="18"/>
              </w:rPr>
            </w:pPr>
            <w:r w:rsidRPr="00D207EA">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485F8D6" w14:textId="77777777" w:rsidR="005B2A0C" w:rsidRPr="00D207EA" w:rsidRDefault="005B2A0C" w:rsidP="00812AD2">
            <w:pPr>
              <w:spacing w:before="0" w:after="0"/>
              <w:jc w:val="right"/>
              <w:rPr>
                <w:rFonts w:eastAsia="Times New Roman"/>
                <w:noProof/>
                <w:sz w:val="18"/>
                <w:szCs w:val="18"/>
              </w:rPr>
            </w:pPr>
            <w:r w:rsidRPr="00D207EA">
              <w:rPr>
                <w:noProof/>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A7EADA" w14:textId="77777777" w:rsidR="005B2A0C" w:rsidRPr="00D207EA" w:rsidRDefault="005B2A0C" w:rsidP="00812AD2">
            <w:pPr>
              <w:spacing w:before="0" w:after="0"/>
              <w:jc w:val="right"/>
              <w:rPr>
                <w:rFonts w:eastAsia="Times New Roman"/>
                <w:noProof/>
                <w:sz w:val="18"/>
                <w:szCs w:val="18"/>
              </w:rPr>
            </w:pPr>
            <w:r w:rsidRPr="00D207EA">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E9A77B" w14:textId="77777777" w:rsidR="005B2A0C" w:rsidRPr="00D207EA" w:rsidRDefault="005B2A0C" w:rsidP="00812AD2">
            <w:pPr>
              <w:spacing w:before="0" w:after="0"/>
              <w:jc w:val="right"/>
              <w:rPr>
                <w:rFonts w:eastAsia="Times New Roman"/>
                <w:noProof/>
                <w:sz w:val="18"/>
                <w:szCs w:val="18"/>
              </w:rPr>
            </w:pPr>
            <w:r w:rsidRPr="00D207EA">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4CADDF1" w14:textId="77777777" w:rsidR="005B2A0C" w:rsidRPr="00D207EA" w:rsidRDefault="005B2A0C" w:rsidP="00812AD2">
            <w:pPr>
              <w:spacing w:before="0" w:after="0"/>
              <w:jc w:val="right"/>
              <w:rPr>
                <w:rFonts w:eastAsia="Times New Roman"/>
                <w:noProof/>
                <w:sz w:val="18"/>
                <w:szCs w:val="18"/>
              </w:rPr>
            </w:pPr>
            <w:r w:rsidRPr="00D207EA">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5B1529A" w14:textId="77777777" w:rsidR="005B2A0C" w:rsidRPr="00D207EA" w:rsidRDefault="005B2A0C" w:rsidP="00812AD2">
            <w:pPr>
              <w:spacing w:before="0" w:after="0"/>
              <w:jc w:val="right"/>
              <w:rPr>
                <w:rFonts w:eastAsia="Times New Roman"/>
                <w:noProof/>
                <w:sz w:val="18"/>
                <w:szCs w:val="18"/>
              </w:rPr>
            </w:pPr>
            <w:r w:rsidRPr="00D207EA">
              <w:rPr>
                <w:noProof/>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BA8E92" w14:textId="77777777" w:rsidR="005B2A0C" w:rsidRPr="00D207EA" w:rsidRDefault="005B2A0C" w:rsidP="00812AD2">
            <w:pPr>
              <w:spacing w:before="0" w:after="0"/>
              <w:jc w:val="right"/>
              <w:rPr>
                <w:rFonts w:eastAsia="Times New Roman"/>
                <w:b/>
                <w:noProof/>
                <w:sz w:val="18"/>
                <w:szCs w:val="18"/>
              </w:rPr>
            </w:pPr>
            <w:r w:rsidRPr="00D207EA">
              <w:rPr>
                <w:b/>
                <w:noProof/>
                <w:sz w:val="18"/>
              </w:rPr>
              <w:t>0,000</w:t>
            </w:r>
          </w:p>
        </w:tc>
      </w:tr>
      <w:tr w:rsidR="005B2A0C" w:rsidRPr="00D207EA" w14:paraId="753B17FC" w14:textId="77777777" w:rsidTr="005B2A0C">
        <w:trPr>
          <w:trHeight w:val="915"/>
        </w:trPr>
        <w:tc>
          <w:tcPr>
            <w:tcW w:w="1284" w:type="pct"/>
            <w:gridSpan w:val="2"/>
            <w:tcBorders>
              <w:top w:val="single" w:sz="8" w:space="0" w:color="auto"/>
              <w:left w:val="single" w:sz="8" w:space="0" w:color="auto"/>
              <w:bottom w:val="single" w:sz="8" w:space="0" w:color="auto"/>
              <w:right w:val="single" w:sz="8" w:space="0" w:color="auto"/>
            </w:tcBorders>
            <w:vAlign w:val="center"/>
            <w:hideMark/>
          </w:tcPr>
          <w:p w14:paraId="50CDBED3" w14:textId="21B69237" w:rsidR="005B2A0C" w:rsidRPr="00D207EA" w:rsidRDefault="005B2A0C" w:rsidP="00812AD2">
            <w:pPr>
              <w:spacing w:before="0" w:after="0"/>
              <w:rPr>
                <w:rFonts w:eastAsia="Times New Roman"/>
                <w:noProof/>
                <w:sz w:val="21"/>
                <w:szCs w:val="21"/>
              </w:rPr>
            </w:pPr>
            <w:r w:rsidRPr="00D207EA">
              <w:rPr>
                <w:noProof/>
                <w:sz w:val="21"/>
              </w:rPr>
              <w:t>Ÿ TOTAL des crédits de nature administrative financés par l’enveloppe de certains programmes spécifiques</w:t>
            </w:r>
          </w:p>
        </w:tc>
        <w:tc>
          <w:tcPr>
            <w:tcW w:w="182" w:type="pct"/>
            <w:gridSpan w:val="2"/>
            <w:tcBorders>
              <w:top w:val="single" w:sz="8" w:space="0" w:color="auto"/>
              <w:left w:val="single" w:sz="8" w:space="0" w:color="auto"/>
              <w:bottom w:val="single" w:sz="8" w:space="0" w:color="auto"/>
              <w:right w:val="single" w:sz="8" w:space="0" w:color="auto"/>
            </w:tcBorders>
            <w:vAlign w:val="center"/>
            <w:hideMark/>
          </w:tcPr>
          <w:p w14:paraId="001E8B02" w14:textId="77777777" w:rsidR="005B2A0C" w:rsidRPr="00D207EA" w:rsidRDefault="005B2A0C" w:rsidP="00812AD2">
            <w:pPr>
              <w:spacing w:before="0" w:after="0"/>
              <w:jc w:val="center"/>
              <w:rPr>
                <w:rFonts w:eastAsia="Times New Roman"/>
                <w:noProof/>
                <w:sz w:val="14"/>
                <w:szCs w:val="14"/>
              </w:rPr>
            </w:pPr>
            <w:r w:rsidRPr="00D207EA">
              <w:rPr>
                <w:noProof/>
                <w:sz w:val="14"/>
              </w:rPr>
              <w:t>(6)</w:t>
            </w:r>
          </w:p>
        </w:tc>
        <w:tc>
          <w:tcPr>
            <w:tcW w:w="615" w:type="pct"/>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14:paraId="2EC783D9" w14:textId="77777777" w:rsidR="005B2A0C" w:rsidRPr="00D207EA" w:rsidRDefault="005B2A0C" w:rsidP="00812AD2">
            <w:pPr>
              <w:spacing w:before="0" w:after="0"/>
              <w:jc w:val="right"/>
              <w:rPr>
                <w:rFonts w:eastAsia="Times New Roman"/>
                <w:noProof/>
                <w:sz w:val="18"/>
                <w:szCs w:val="18"/>
              </w:rPr>
            </w:pPr>
            <w:r w:rsidRPr="00D207EA">
              <w:rPr>
                <w:noProof/>
                <w:sz w:val="18"/>
              </w:rPr>
              <w:t>0,000</w:t>
            </w:r>
          </w:p>
        </w:tc>
        <w:tc>
          <w:tcPr>
            <w:tcW w:w="399"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3719F78C" w14:textId="77777777" w:rsidR="005B2A0C" w:rsidRPr="00D207EA" w:rsidRDefault="005B2A0C" w:rsidP="00812AD2">
            <w:pPr>
              <w:spacing w:before="0" w:after="0"/>
              <w:jc w:val="right"/>
              <w:rPr>
                <w:rFonts w:eastAsia="Times New Roman"/>
                <w:noProof/>
                <w:sz w:val="18"/>
                <w:szCs w:val="18"/>
              </w:rPr>
            </w:pPr>
            <w:r w:rsidRPr="00D207EA">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3A844E" w14:textId="77777777" w:rsidR="005B2A0C" w:rsidRPr="00D207EA" w:rsidRDefault="005B2A0C" w:rsidP="00812AD2">
            <w:pPr>
              <w:spacing w:before="0" w:after="0"/>
              <w:jc w:val="right"/>
              <w:rPr>
                <w:rFonts w:eastAsia="Times New Roman"/>
                <w:noProof/>
                <w:sz w:val="18"/>
                <w:szCs w:val="18"/>
              </w:rPr>
            </w:pPr>
            <w:r w:rsidRPr="00D207EA">
              <w:rPr>
                <w:noProof/>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1F2AB5C" w14:textId="77777777" w:rsidR="005B2A0C" w:rsidRPr="00D207EA" w:rsidRDefault="005B2A0C" w:rsidP="00812AD2">
            <w:pPr>
              <w:spacing w:before="0" w:after="0"/>
              <w:jc w:val="right"/>
              <w:rPr>
                <w:rFonts w:eastAsia="Times New Roman"/>
                <w:noProof/>
                <w:sz w:val="18"/>
                <w:szCs w:val="18"/>
              </w:rPr>
            </w:pPr>
            <w:r w:rsidRPr="00D207EA">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A4A830" w14:textId="77777777" w:rsidR="005B2A0C" w:rsidRPr="00D207EA" w:rsidRDefault="005B2A0C" w:rsidP="00812AD2">
            <w:pPr>
              <w:spacing w:before="0" w:after="0"/>
              <w:jc w:val="right"/>
              <w:rPr>
                <w:rFonts w:eastAsia="Times New Roman"/>
                <w:noProof/>
                <w:sz w:val="18"/>
                <w:szCs w:val="18"/>
              </w:rPr>
            </w:pPr>
            <w:r w:rsidRPr="00D207EA">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D50304" w14:textId="77777777" w:rsidR="005B2A0C" w:rsidRPr="00D207EA" w:rsidRDefault="005B2A0C" w:rsidP="00812AD2">
            <w:pPr>
              <w:spacing w:before="0" w:after="0"/>
              <w:jc w:val="right"/>
              <w:rPr>
                <w:rFonts w:eastAsia="Times New Roman"/>
                <w:noProof/>
                <w:sz w:val="18"/>
                <w:szCs w:val="18"/>
              </w:rPr>
            </w:pPr>
            <w:r w:rsidRPr="00D207EA">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E19886" w14:textId="77777777" w:rsidR="005B2A0C" w:rsidRPr="00D207EA" w:rsidRDefault="005B2A0C" w:rsidP="00812AD2">
            <w:pPr>
              <w:spacing w:before="0" w:after="0"/>
              <w:jc w:val="right"/>
              <w:rPr>
                <w:rFonts w:eastAsia="Times New Roman"/>
                <w:noProof/>
                <w:sz w:val="18"/>
                <w:szCs w:val="18"/>
              </w:rPr>
            </w:pPr>
            <w:r w:rsidRPr="00D207EA">
              <w:rPr>
                <w:noProof/>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FA55859" w14:textId="77777777" w:rsidR="005B2A0C" w:rsidRPr="00D207EA" w:rsidRDefault="005B2A0C" w:rsidP="00812AD2">
            <w:pPr>
              <w:spacing w:before="0" w:after="0"/>
              <w:jc w:val="right"/>
              <w:rPr>
                <w:rFonts w:eastAsia="Times New Roman"/>
                <w:b/>
                <w:noProof/>
                <w:sz w:val="18"/>
                <w:szCs w:val="18"/>
              </w:rPr>
            </w:pPr>
            <w:r w:rsidRPr="00D207EA">
              <w:rPr>
                <w:b/>
                <w:noProof/>
                <w:sz w:val="18"/>
              </w:rPr>
              <w:t>0,000</w:t>
            </w:r>
          </w:p>
        </w:tc>
      </w:tr>
      <w:tr w:rsidR="005B2A0C" w:rsidRPr="00D207EA" w14:paraId="334F1CF0" w14:textId="77777777" w:rsidTr="005B2A0C">
        <w:trPr>
          <w:trHeight w:val="555"/>
        </w:trPr>
        <w:tc>
          <w:tcPr>
            <w:tcW w:w="850" w:type="pct"/>
            <w:tcBorders>
              <w:top w:val="single" w:sz="8" w:space="0" w:color="auto"/>
              <w:left w:val="single" w:sz="8" w:space="0" w:color="auto"/>
              <w:bottom w:val="nil"/>
              <w:right w:val="single" w:sz="8" w:space="0" w:color="auto"/>
            </w:tcBorders>
            <w:shd w:val="thinDiagStripe" w:color="C0C0C0" w:fill="F1F1F1"/>
            <w:vAlign w:val="center"/>
            <w:hideMark/>
          </w:tcPr>
          <w:p w14:paraId="77140D96" w14:textId="77777777" w:rsidR="005B2A0C" w:rsidRPr="00D207EA" w:rsidRDefault="005B2A0C" w:rsidP="00812AD2">
            <w:pPr>
              <w:spacing w:before="0" w:after="0"/>
              <w:jc w:val="center"/>
              <w:rPr>
                <w:rFonts w:eastAsia="Times New Roman"/>
                <w:b/>
                <w:noProof/>
                <w:sz w:val="22"/>
              </w:rPr>
            </w:pPr>
            <w:r w:rsidRPr="00D207EA">
              <w:rPr>
                <w:b/>
                <w:noProof/>
                <w:sz w:val="22"/>
              </w:rPr>
              <w:t>TOTAL des crédits</w:t>
            </w:r>
            <w:r w:rsidRPr="00D207EA">
              <w:rPr>
                <w:b/>
                <w:noProof/>
                <w:sz w:val="22"/>
              </w:rPr>
              <w:br/>
              <w:t>pour la RUBRIQUE 1</w:t>
            </w:r>
          </w:p>
        </w:tc>
        <w:tc>
          <w:tcPr>
            <w:tcW w:w="435" w:type="pct"/>
            <w:tcBorders>
              <w:top w:val="single" w:sz="8" w:space="0" w:color="auto"/>
              <w:left w:val="single" w:sz="8" w:space="0" w:color="auto"/>
              <w:bottom w:val="single" w:sz="8" w:space="0" w:color="auto"/>
              <w:right w:val="single" w:sz="8" w:space="0" w:color="auto"/>
            </w:tcBorders>
            <w:vAlign w:val="center"/>
            <w:hideMark/>
          </w:tcPr>
          <w:p w14:paraId="575A3B30" w14:textId="77777777" w:rsidR="005B2A0C" w:rsidRPr="00D207EA" w:rsidRDefault="005B2A0C" w:rsidP="00812AD2">
            <w:pPr>
              <w:spacing w:before="0" w:after="0"/>
              <w:rPr>
                <w:rFonts w:eastAsia="Times New Roman"/>
                <w:noProof/>
                <w:sz w:val="18"/>
                <w:szCs w:val="18"/>
              </w:rPr>
            </w:pPr>
            <w:r w:rsidRPr="00D207EA">
              <w:rPr>
                <w:noProof/>
                <w:sz w:val="18"/>
              </w:rPr>
              <w:t>Engagements</w:t>
            </w:r>
          </w:p>
        </w:tc>
        <w:tc>
          <w:tcPr>
            <w:tcW w:w="182" w:type="pct"/>
            <w:gridSpan w:val="2"/>
            <w:tcBorders>
              <w:top w:val="single" w:sz="8" w:space="0" w:color="auto"/>
              <w:left w:val="single" w:sz="8" w:space="0" w:color="auto"/>
              <w:bottom w:val="single" w:sz="8" w:space="0" w:color="auto"/>
              <w:right w:val="single" w:sz="8" w:space="0" w:color="auto"/>
            </w:tcBorders>
            <w:vAlign w:val="center"/>
            <w:hideMark/>
          </w:tcPr>
          <w:p w14:paraId="3B9D787B" w14:textId="77777777" w:rsidR="005B2A0C" w:rsidRPr="00D207EA" w:rsidRDefault="005B2A0C" w:rsidP="00812AD2">
            <w:pPr>
              <w:spacing w:before="0" w:after="0"/>
              <w:jc w:val="center"/>
              <w:rPr>
                <w:rFonts w:eastAsia="Times New Roman"/>
                <w:noProof/>
                <w:sz w:val="14"/>
                <w:szCs w:val="14"/>
              </w:rPr>
            </w:pPr>
            <w:r w:rsidRPr="00D207EA">
              <w:rPr>
                <w:noProof/>
                <w:sz w:val="14"/>
              </w:rPr>
              <w:t>=4+6</w:t>
            </w:r>
          </w:p>
        </w:tc>
        <w:tc>
          <w:tcPr>
            <w:tcW w:w="615" w:type="pct"/>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14:paraId="2323CA92" w14:textId="77777777" w:rsidR="005B2A0C" w:rsidRPr="00D207EA" w:rsidRDefault="005B2A0C" w:rsidP="00812AD2">
            <w:pPr>
              <w:spacing w:before="0" w:after="0"/>
              <w:jc w:val="right"/>
              <w:rPr>
                <w:rFonts w:eastAsia="Times New Roman"/>
                <w:b/>
                <w:noProof/>
                <w:sz w:val="18"/>
                <w:szCs w:val="18"/>
              </w:rPr>
            </w:pPr>
            <w:r w:rsidRPr="00D207EA">
              <w:rPr>
                <w:b/>
                <w:noProof/>
                <w:color w:val="000000"/>
                <w:sz w:val="18"/>
              </w:rPr>
              <w:t>135 571,000</w:t>
            </w:r>
          </w:p>
        </w:tc>
        <w:tc>
          <w:tcPr>
            <w:tcW w:w="399"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2F1F0C3F" w14:textId="77777777" w:rsidR="005B2A0C" w:rsidRPr="00D207EA" w:rsidRDefault="005B2A0C" w:rsidP="00812AD2">
            <w:pPr>
              <w:spacing w:before="0" w:after="0"/>
              <w:jc w:val="right"/>
              <w:rPr>
                <w:rFonts w:eastAsia="Times New Roman"/>
                <w:b/>
                <w:noProof/>
                <w:sz w:val="18"/>
                <w:szCs w:val="18"/>
              </w:rPr>
            </w:pPr>
            <w:r w:rsidRPr="00D207EA">
              <w:rPr>
                <w:b/>
                <w:noProof/>
                <w:color w:val="000000"/>
                <w:sz w:val="18"/>
              </w:rPr>
              <w:t>133 134,000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25921F" w14:textId="77777777" w:rsidR="005B2A0C" w:rsidRPr="00D207EA" w:rsidRDefault="005B2A0C" w:rsidP="00812AD2">
            <w:pPr>
              <w:spacing w:before="0" w:after="0"/>
              <w:jc w:val="right"/>
              <w:rPr>
                <w:rFonts w:eastAsia="Times New Roman"/>
                <w:b/>
                <w:noProof/>
                <w:sz w:val="18"/>
                <w:szCs w:val="18"/>
              </w:rPr>
            </w:pPr>
            <w:r w:rsidRPr="00D207EA">
              <w:rPr>
                <w:b/>
                <w:noProof/>
                <w:color w:val="000000"/>
                <w:sz w:val="18"/>
              </w:rPr>
              <w:t>130 131,000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6382CF" w14:textId="77777777" w:rsidR="005B2A0C" w:rsidRPr="00D207EA" w:rsidRDefault="005B2A0C" w:rsidP="00812AD2">
            <w:pPr>
              <w:spacing w:before="0" w:after="0"/>
              <w:jc w:val="right"/>
              <w:rPr>
                <w:rFonts w:eastAsia="Times New Roman"/>
                <w:b/>
                <w:noProof/>
                <w:sz w:val="18"/>
                <w:szCs w:val="18"/>
              </w:rPr>
            </w:pPr>
            <w:r w:rsidRPr="00D207EA">
              <w:rPr>
                <w:b/>
                <w:noProof/>
                <w:color w:val="000000"/>
                <w:sz w:val="18"/>
              </w:rPr>
              <w:t>127 411,000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9E06FC" w14:textId="77777777" w:rsidR="005B2A0C" w:rsidRPr="00D207EA" w:rsidRDefault="005B2A0C" w:rsidP="00812AD2">
            <w:pPr>
              <w:spacing w:before="0" w:after="0"/>
              <w:jc w:val="right"/>
              <w:rPr>
                <w:rFonts w:eastAsia="Times New Roman"/>
                <w:b/>
                <w:noProof/>
                <w:sz w:val="18"/>
                <w:szCs w:val="18"/>
              </w:rPr>
            </w:pPr>
            <w:r w:rsidRPr="00D207EA">
              <w:rPr>
                <w:b/>
                <w:noProof/>
                <w:color w:val="000000"/>
                <w:sz w:val="18"/>
              </w:rPr>
              <w:t>123 879,000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27EA57A" w14:textId="77777777" w:rsidR="005B2A0C" w:rsidRPr="00D207EA" w:rsidRDefault="005B2A0C" w:rsidP="00812AD2">
            <w:pPr>
              <w:spacing w:before="0" w:after="0"/>
              <w:jc w:val="right"/>
              <w:rPr>
                <w:rFonts w:eastAsia="Times New Roman"/>
                <w:b/>
                <w:noProof/>
                <w:sz w:val="18"/>
                <w:szCs w:val="18"/>
              </w:rPr>
            </w:pPr>
            <w:r w:rsidRPr="00D207EA">
              <w:rPr>
                <w:b/>
                <w:noProof/>
                <w:color w:val="000000"/>
                <w:sz w:val="18"/>
              </w:rPr>
              <w:t>111 535,000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9EE813" w14:textId="77777777" w:rsidR="005B2A0C" w:rsidRPr="00D207EA" w:rsidRDefault="005B2A0C" w:rsidP="00812AD2">
            <w:pPr>
              <w:spacing w:before="0" w:after="0"/>
              <w:jc w:val="right"/>
              <w:rPr>
                <w:rFonts w:eastAsia="Times New Roman"/>
                <w:b/>
                <w:noProof/>
                <w:sz w:val="18"/>
                <w:szCs w:val="18"/>
              </w:rPr>
            </w:pPr>
            <w:r w:rsidRPr="00D207EA">
              <w:rPr>
                <w:b/>
                <w:noProof/>
                <w:color w:val="000000"/>
                <w:sz w:val="18"/>
              </w:rPr>
              <w:t>103 415,000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E3A07EF" w14:textId="77777777" w:rsidR="005B2A0C" w:rsidRPr="00D207EA" w:rsidRDefault="005B2A0C" w:rsidP="00812AD2">
            <w:pPr>
              <w:spacing w:before="0" w:after="0"/>
              <w:jc w:val="right"/>
              <w:rPr>
                <w:rFonts w:eastAsia="Times New Roman"/>
                <w:b/>
                <w:noProof/>
                <w:sz w:val="18"/>
                <w:szCs w:val="18"/>
              </w:rPr>
            </w:pPr>
            <w:r w:rsidRPr="00D207EA">
              <w:rPr>
                <w:b/>
                <w:noProof/>
                <w:color w:val="000000"/>
                <w:sz w:val="18"/>
              </w:rPr>
              <w:t>865 076,000</w:t>
            </w:r>
          </w:p>
        </w:tc>
      </w:tr>
      <w:tr w:rsidR="005B2A0C" w:rsidRPr="00D207EA" w14:paraId="09F96EC7" w14:textId="77777777" w:rsidTr="005B2A0C">
        <w:trPr>
          <w:trHeight w:val="525"/>
        </w:trPr>
        <w:tc>
          <w:tcPr>
            <w:tcW w:w="850" w:type="pct"/>
            <w:tcBorders>
              <w:top w:val="nil"/>
              <w:left w:val="single" w:sz="8" w:space="0" w:color="auto"/>
              <w:bottom w:val="single" w:sz="8" w:space="0" w:color="auto"/>
              <w:right w:val="single" w:sz="8" w:space="0" w:color="auto"/>
            </w:tcBorders>
            <w:shd w:val="thinDiagStripe" w:color="C0C0C0" w:fill="F1F1F1"/>
            <w:vAlign w:val="center"/>
            <w:hideMark/>
          </w:tcPr>
          <w:p w14:paraId="7D15F71B" w14:textId="77777777" w:rsidR="005B2A0C" w:rsidRPr="00D207EA" w:rsidRDefault="005B2A0C" w:rsidP="00812AD2">
            <w:pPr>
              <w:spacing w:before="0" w:after="0"/>
              <w:jc w:val="center"/>
              <w:rPr>
                <w:rFonts w:eastAsia="Times New Roman"/>
                <w:noProof/>
                <w:sz w:val="22"/>
              </w:rPr>
            </w:pPr>
            <w:r w:rsidRPr="00D207EA">
              <w:rPr>
                <w:noProof/>
                <w:sz w:val="22"/>
              </w:rPr>
              <w:t>du cadre financier pluriannuel</w:t>
            </w:r>
          </w:p>
        </w:tc>
        <w:tc>
          <w:tcPr>
            <w:tcW w:w="435" w:type="pct"/>
            <w:tcBorders>
              <w:top w:val="single" w:sz="8" w:space="0" w:color="auto"/>
              <w:left w:val="single" w:sz="8" w:space="0" w:color="auto"/>
              <w:bottom w:val="single" w:sz="8" w:space="0" w:color="auto"/>
              <w:right w:val="single" w:sz="8" w:space="0" w:color="auto"/>
            </w:tcBorders>
            <w:vAlign w:val="center"/>
            <w:hideMark/>
          </w:tcPr>
          <w:p w14:paraId="4EB5B16E" w14:textId="77777777" w:rsidR="005B2A0C" w:rsidRPr="00D207EA" w:rsidRDefault="005B2A0C" w:rsidP="00812AD2">
            <w:pPr>
              <w:spacing w:before="0" w:after="0"/>
              <w:rPr>
                <w:rFonts w:eastAsia="Times New Roman"/>
                <w:noProof/>
                <w:sz w:val="18"/>
                <w:szCs w:val="18"/>
              </w:rPr>
            </w:pPr>
            <w:r w:rsidRPr="00D207EA">
              <w:rPr>
                <w:noProof/>
                <w:sz w:val="18"/>
              </w:rPr>
              <w:t>Paiements</w:t>
            </w:r>
          </w:p>
        </w:tc>
        <w:tc>
          <w:tcPr>
            <w:tcW w:w="182" w:type="pct"/>
            <w:gridSpan w:val="2"/>
            <w:tcBorders>
              <w:top w:val="single" w:sz="8" w:space="0" w:color="auto"/>
              <w:left w:val="single" w:sz="8" w:space="0" w:color="auto"/>
              <w:bottom w:val="single" w:sz="8" w:space="0" w:color="auto"/>
              <w:right w:val="single" w:sz="8" w:space="0" w:color="auto"/>
            </w:tcBorders>
            <w:vAlign w:val="center"/>
            <w:hideMark/>
          </w:tcPr>
          <w:p w14:paraId="2B64B516" w14:textId="77777777" w:rsidR="005B2A0C" w:rsidRPr="00D207EA" w:rsidRDefault="005B2A0C" w:rsidP="00812AD2">
            <w:pPr>
              <w:spacing w:before="0" w:after="0"/>
              <w:jc w:val="center"/>
              <w:rPr>
                <w:rFonts w:eastAsia="Times New Roman"/>
                <w:noProof/>
                <w:sz w:val="14"/>
                <w:szCs w:val="14"/>
              </w:rPr>
            </w:pPr>
            <w:r w:rsidRPr="00D207EA">
              <w:rPr>
                <w:noProof/>
                <w:sz w:val="14"/>
              </w:rPr>
              <w:t>=5+6</w:t>
            </w:r>
          </w:p>
        </w:tc>
        <w:tc>
          <w:tcPr>
            <w:tcW w:w="615" w:type="pct"/>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14:paraId="5183C497" w14:textId="77777777" w:rsidR="005B2A0C" w:rsidRPr="00D207EA" w:rsidRDefault="005B2A0C" w:rsidP="00812AD2">
            <w:pPr>
              <w:spacing w:before="0" w:after="0"/>
              <w:jc w:val="right"/>
              <w:rPr>
                <w:rFonts w:eastAsia="Times New Roman"/>
                <w:b/>
                <w:noProof/>
                <w:sz w:val="18"/>
                <w:szCs w:val="18"/>
              </w:rPr>
            </w:pPr>
            <w:r w:rsidRPr="00D207EA">
              <w:rPr>
                <w:b/>
                <w:noProof/>
                <w:sz w:val="18"/>
              </w:rPr>
              <w:t>0,000</w:t>
            </w:r>
          </w:p>
        </w:tc>
        <w:tc>
          <w:tcPr>
            <w:tcW w:w="399"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4719A627" w14:textId="77777777" w:rsidR="005B2A0C" w:rsidRPr="00D207EA" w:rsidRDefault="005B2A0C" w:rsidP="00812AD2">
            <w:pPr>
              <w:spacing w:before="0" w:after="0"/>
              <w:jc w:val="right"/>
              <w:rPr>
                <w:rFonts w:eastAsia="Times New Roman"/>
                <w:b/>
                <w:noProof/>
                <w:sz w:val="18"/>
                <w:szCs w:val="18"/>
              </w:rPr>
            </w:pPr>
            <w:r w:rsidRPr="00D207EA">
              <w:rPr>
                <w:b/>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E080314" w14:textId="77777777" w:rsidR="005B2A0C" w:rsidRPr="00D207EA" w:rsidRDefault="005B2A0C" w:rsidP="00812AD2">
            <w:pPr>
              <w:spacing w:before="0" w:after="0"/>
              <w:jc w:val="right"/>
              <w:rPr>
                <w:rFonts w:eastAsia="Times New Roman"/>
                <w:b/>
                <w:noProof/>
                <w:sz w:val="18"/>
                <w:szCs w:val="18"/>
              </w:rPr>
            </w:pPr>
            <w:r w:rsidRPr="00D207EA">
              <w:rPr>
                <w:b/>
                <w:noProof/>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46AF918" w14:textId="77777777" w:rsidR="005B2A0C" w:rsidRPr="00D207EA" w:rsidRDefault="005B2A0C" w:rsidP="00812AD2">
            <w:pPr>
              <w:spacing w:before="0" w:after="0"/>
              <w:jc w:val="right"/>
              <w:rPr>
                <w:rFonts w:eastAsia="Times New Roman"/>
                <w:b/>
                <w:noProof/>
                <w:sz w:val="18"/>
                <w:szCs w:val="18"/>
              </w:rPr>
            </w:pPr>
            <w:r w:rsidRPr="00D207EA">
              <w:rPr>
                <w:b/>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6E2FDF7" w14:textId="77777777" w:rsidR="005B2A0C" w:rsidRPr="00D207EA" w:rsidRDefault="005B2A0C" w:rsidP="00812AD2">
            <w:pPr>
              <w:spacing w:before="0" w:after="0"/>
              <w:jc w:val="right"/>
              <w:rPr>
                <w:rFonts w:eastAsia="Times New Roman"/>
                <w:b/>
                <w:noProof/>
                <w:sz w:val="18"/>
                <w:szCs w:val="18"/>
              </w:rPr>
            </w:pPr>
            <w:r w:rsidRPr="00D207EA">
              <w:rPr>
                <w:b/>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D35A3F3" w14:textId="77777777" w:rsidR="005B2A0C" w:rsidRPr="00D207EA" w:rsidRDefault="005B2A0C" w:rsidP="00812AD2">
            <w:pPr>
              <w:spacing w:before="0" w:after="0"/>
              <w:jc w:val="right"/>
              <w:rPr>
                <w:rFonts w:eastAsia="Times New Roman"/>
                <w:b/>
                <w:noProof/>
                <w:sz w:val="18"/>
                <w:szCs w:val="18"/>
              </w:rPr>
            </w:pPr>
            <w:r w:rsidRPr="00D207EA">
              <w:rPr>
                <w:b/>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DDF9C76" w14:textId="77777777" w:rsidR="005B2A0C" w:rsidRPr="00D207EA" w:rsidRDefault="005B2A0C" w:rsidP="00812AD2">
            <w:pPr>
              <w:spacing w:before="0" w:after="0"/>
              <w:jc w:val="right"/>
              <w:rPr>
                <w:rFonts w:eastAsia="Times New Roman"/>
                <w:b/>
                <w:noProof/>
                <w:sz w:val="18"/>
                <w:szCs w:val="18"/>
              </w:rPr>
            </w:pPr>
            <w:r w:rsidRPr="00D207EA">
              <w:rPr>
                <w:b/>
                <w:noProof/>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6822605" w14:textId="77777777" w:rsidR="005B2A0C" w:rsidRPr="00D207EA" w:rsidRDefault="005B2A0C" w:rsidP="00812AD2">
            <w:pPr>
              <w:spacing w:before="0" w:after="0"/>
              <w:jc w:val="right"/>
              <w:rPr>
                <w:rFonts w:eastAsia="Times New Roman"/>
                <w:b/>
                <w:noProof/>
                <w:sz w:val="18"/>
                <w:szCs w:val="18"/>
              </w:rPr>
            </w:pPr>
            <w:r w:rsidRPr="00D207EA">
              <w:rPr>
                <w:b/>
                <w:noProof/>
                <w:sz w:val="18"/>
              </w:rPr>
              <w:t>0,000</w:t>
            </w:r>
          </w:p>
        </w:tc>
      </w:tr>
      <w:tr w:rsidR="005B2A0C" w:rsidRPr="00D207EA" w14:paraId="42EB82CE" w14:textId="77777777" w:rsidTr="005B2A0C">
        <w:trPr>
          <w:trHeight w:val="420"/>
        </w:trPr>
        <w:tc>
          <w:tcPr>
            <w:tcW w:w="1313" w:type="pct"/>
            <w:gridSpan w:val="3"/>
            <w:vMerge w:val="restart"/>
            <w:tcBorders>
              <w:top w:val="single" w:sz="8" w:space="0" w:color="auto"/>
              <w:left w:val="single" w:sz="8" w:space="0" w:color="auto"/>
              <w:bottom w:val="single" w:sz="8" w:space="0" w:color="auto"/>
              <w:right w:val="single" w:sz="8" w:space="0" w:color="auto"/>
            </w:tcBorders>
            <w:vAlign w:val="center"/>
            <w:hideMark/>
          </w:tcPr>
          <w:p w14:paraId="411B7D6B" w14:textId="77777777" w:rsidR="004A489F" w:rsidRPr="00D207EA" w:rsidRDefault="004A489F">
            <w:pPr>
              <w:spacing w:before="0" w:after="0"/>
              <w:rPr>
                <w:rFonts w:eastAsia="Times New Roman"/>
                <w:noProof/>
                <w:color w:val="000000"/>
                <w:sz w:val="21"/>
                <w:szCs w:val="21"/>
              </w:rPr>
            </w:pPr>
            <w:r w:rsidRPr="00D207EA">
              <w:rPr>
                <w:noProof/>
                <w:color w:val="000000"/>
                <w:sz w:val="21"/>
              </w:rPr>
              <w:t xml:space="preserve">TOTAL des crédits opérationnels </w:t>
            </w:r>
            <w:r w:rsidRPr="00D207EA">
              <w:rPr>
                <w:noProof/>
                <w:color w:val="000000"/>
                <w:sz w:val="21"/>
              </w:rPr>
              <w:br/>
              <w:t>(y compris la contribution à l’organisme décentralisé)</w:t>
            </w:r>
          </w:p>
        </w:tc>
        <w:tc>
          <w:tcPr>
            <w:tcW w:w="435" w:type="pct"/>
            <w:gridSpan w:val="2"/>
            <w:tcBorders>
              <w:top w:val="single" w:sz="8" w:space="0" w:color="auto"/>
              <w:left w:val="single" w:sz="8" w:space="0" w:color="auto"/>
              <w:bottom w:val="single" w:sz="8" w:space="0" w:color="auto"/>
              <w:right w:val="single" w:sz="8" w:space="0" w:color="auto"/>
            </w:tcBorders>
            <w:vAlign w:val="center"/>
            <w:hideMark/>
          </w:tcPr>
          <w:p w14:paraId="56A74364" w14:textId="77777777" w:rsidR="004A489F" w:rsidRPr="00D207EA" w:rsidRDefault="004A489F">
            <w:pPr>
              <w:spacing w:before="0" w:after="0"/>
              <w:rPr>
                <w:rFonts w:eastAsia="Times New Roman"/>
                <w:noProof/>
                <w:color w:val="000000"/>
                <w:sz w:val="18"/>
                <w:szCs w:val="18"/>
              </w:rPr>
            </w:pPr>
            <w:r w:rsidRPr="00D207EA">
              <w:rPr>
                <w:noProof/>
                <w:color w:val="000000"/>
                <w:sz w:val="18"/>
              </w:rPr>
              <w:t>Engagements</w:t>
            </w:r>
          </w:p>
        </w:tc>
        <w:tc>
          <w:tcPr>
            <w:tcW w:w="181" w:type="pct"/>
            <w:tcBorders>
              <w:top w:val="single" w:sz="8" w:space="0" w:color="auto"/>
              <w:left w:val="single" w:sz="8" w:space="0" w:color="auto"/>
              <w:bottom w:val="single" w:sz="8" w:space="0" w:color="auto"/>
              <w:right w:val="single" w:sz="8" w:space="0" w:color="auto"/>
            </w:tcBorders>
            <w:vAlign w:val="center"/>
            <w:hideMark/>
          </w:tcPr>
          <w:p w14:paraId="69D14524" w14:textId="77777777" w:rsidR="004A489F" w:rsidRPr="00D207EA" w:rsidRDefault="004A489F">
            <w:pPr>
              <w:spacing w:before="0" w:after="0"/>
              <w:jc w:val="center"/>
              <w:rPr>
                <w:rFonts w:eastAsia="Times New Roman"/>
                <w:noProof/>
                <w:color w:val="000000"/>
                <w:sz w:val="14"/>
                <w:szCs w:val="14"/>
              </w:rPr>
            </w:pPr>
            <w:r w:rsidRPr="00D207EA">
              <w:rPr>
                <w:noProof/>
                <w:color w:val="000000"/>
                <w:sz w:val="14"/>
              </w:rPr>
              <w:t>(4)</w:t>
            </w:r>
          </w:p>
        </w:tc>
        <w:tc>
          <w:tcPr>
            <w:tcW w:w="218"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1C5672E9"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0,000</w:t>
            </w:r>
          </w:p>
        </w:tc>
        <w:tc>
          <w:tcPr>
            <w:tcW w:w="33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B831FA6"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061F654"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933B1E2"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F3BFBE1"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B3A92E0"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1214E53"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C6B3C5"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r>
      <w:tr w:rsidR="005B2A0C" w:rsidRPr="00D207EA" w14:paraId="369FB38E" w14:textId="77777777" w:rsidTr="005B2A0C">
        <w:trPr>
          <w:trHeight w:val="450"/>
        </w:trPr>
        <w:tc>
          <w:tcPr>
            <w:tcW w:w="1313" w:type="pct"/>
            <w:gridSpan w:val="3"/>
            <w:vMerge/>
            <w:tcBorders>
              <w:top w:val="single" w:sz="8" w:space="0" w:color="auto"/>
              <w:left w:val="single" w:sz="8" w:space="0" w:color="auto"/>
              <w:bottom w:val="single" w:sz="8" w:space="0" w:color="auto"/>
              <w:right w:val="single" w:sz="8" w:space="0" w:color="auto"/>
            </w:tcBorders>
            <w:vAlign w:val="center"/>
            <w:hideMark/>
          </w:tcPr>
          <w:p w14:paraId="6005E470" w14:textId="77777777" w:rsidR="004A489F" w:rsidRPr="00D207EA" w:rsidRDefault="004A489F">
            <w:pPr>
              <w:spacing w:before="0" w:after="0"/>
              <w:jc w:val="left"/>
              <w:rPr>
                <w:rFonts w:eastAsia="Times New Roman"/>
                <w:noProof/>
                <w:color w:val="000000"/>
                <w:sz w:val="21"/>
                <w:szCs w:val="21"/>
                <w:lang w:eastAsia="en-IE"/>
              </w:rPr>
            </w:pPr>
          </w:p>
        </w:tc>
        <w:tc>
          <w:tcPr>
            <w:tcW w:w="435" w:type="pct"/>
            <w:gridSpan w:val="2"/>
            <w:tcBorders>
              <w:top w:val="single" w:sz="8" w:space="0" w:color="auto"/>
              <w:left w:val="single" w:sz="8" w:space="0" w:color="auto"/>
              <w:bottom w:val="single" w:sz="8" w:space="0" w:color="auto"/>
              <w:right w:val="single" w:sz="8" w:space="0" w:color="auto"/>
            </w:tcBorders>
            <w:vAlign w:val="center"/>
            <w:hideMark/>
          </w:tcPr>
          <w:p w14:paraId="5D198117" w14:textId="77777777" w:rsidR="004A489F" w:rsidRPr="00D207EA" w:rsidRDefault="004A489F">
            <w:pPr>
              <w:spacing w:before="0" w:after="0"/>
              <w:rPr>
                <w:rFonts w:eastAsia="Times New Roman"/>
                <w:noProof/>
                <w:color w:val="000000"/>
                <w:sz w:val="18"/>
                <w:szCs w:val="18"/>
              </w:rPr>
            </w:pPr>
            <w:r w:rsidRPr="00D207EA">
              <w:rPr>
                <w:noProof/>
                <w:color w:val="000000"/>
                <w:sz w:val="18"/>
              </w:rPr>
              <w:t>Paiements</w:t>
            </w:r>
          </w:p>
        </w:tc>
        <w:tc>
          <w:tcPr>
            <w:tcW w:w="181" w:type="pct"/>
            <w:tcBorders>
              <w:top w:val="single" w:sz="8" w:space="0" w:color="auto"/>
              <w:left w:val="single" w:sz="8" w:space="0" w:color="auto"/>
              <w:bottom w:val="single" w:sz="8" w:space="0" w:color="auto"/>
              <w:right w:val="single" w:sz="8" w:space="0" w:color="auto"/>
            </w:tcBorders>
            <w:vAlign w:val="center"/>
            <w:hideMark/>
          </w:tcPr>
          <w:p w14:paraId="367A387B" w14:textId="77777777" w:rsidR="004A489F" w:rsidRPr="00D207EA" w:rsidRDefault="004A489F">
            <w:pPr>
              <w:spacing w:before="0" w:after="0"/>
              <w:jc w:val="center"/>
              <w:rPr>
                <w:rFonts w:eastAsia="Times New Roman"/>
                <w:noProof/>
                <w:color w:val="000000"/>
                <w:sz w:val="14"/>
                <w:szCs w:val="14"/>
              </w:rPr>
            </w:pPr>
            <w:r w:rsidRPr="00D207EA">
              <w:rPr>
                <w:noProof/>
                <w:color w:val="000000"/>
                <w:sz w:val="14"/>
              </w:rPr>
              <w:t>(5)</w:t>
            </w:r>
          </w:p>
        </w:tc>
        <w:tc>
          <w:tcPr>
            <w:tcW w:w="218"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09D59A75"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0,000</w:t>
            </w:r>
          </w:p>
        </w:tc>
        <w:tc>
          <w:tcPr>
            <w:tcW w:w="33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29330D3"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3C502F1"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80EADCA"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2E2135"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BCCDCA"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02F888F"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96CF68"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r>
      <w:tr w:rsidR="005B2A0C" w:rsidRPr="00D207EA" w14:paraId="323E5267" w14:textId="77777777" w:rsidTr="005B2A0C">
        <w:trPr>
          <w:trHeight w:val="915"/>
        </w:trPr>
        <w:tc>
          <w:tcPr>
            <w:tcW w:w="1748" w:type="pct"/>
            <w:gridSpan w:val="5"/>
            <w:tcBorders>
              <w:top w:val="single" w:sz="8" w:space="0" w:color="auto"/>
              <w:left w:val="single" w:sz="8" w:space="0" w:color="auto"/>
              <w:bottom w:val="single" w:sz="8" w:space="0" w:color="auto"/>
              <w:right w:val="single" w:sz="8" w:space="0" w:color="auto"/>
            </w:tcBorders>
            <w:vAlign w:val="center"/>
            <w:hideMark/>
          </w:tcPr>
          <w:p w14:paraId="27B82235" w14:textId="74141A79" w:rsidR="004A489F" w:rsidRPr="00D207EA" w:rsidRDefault="004A489F">
            <w:pPr>
              <w:spacing w:before="0" w:after="0"/>
              <w:rPr>
                <w:rFonts w:eastAsia="Times New Roman"/>
                <w:noProof/>
                <w:color w:val="000000"/>
                <w:sz w:val="21"/>
                <w:szCs w:val="21"/>
              </w:rPr>
            </w:pPr>
            <w:r w:rsidRPr="00D207EA">
              <w:rPr>
                <w:noProof/>
                <w:color w:val="000000"/>
                <w:sz w:val="21"/>
              </w:rPr>
              <w:t>Ÿ TOTAL des crédits de nature administrative financés par l’enveloppe de certains programmes spécifiques</w:t>
            </w:r>
          </w:p>
        </w:tc>
        <w:tc>
          <w:tcPr>
            <w:tcW w:w="181" w:type="pct"/>
            <w:tcBorders>
              <w:top w:val="single" w:sz="8" w:space="0" w:color="auto"/>
              <w:left w:val="single" w:sz="8" w:space="0" w:color="auto"/>
              <w:bottom w:val="single" w:sz="8" w:space="0" w:color="auto"/>
              <w:right w:val="single" w:sz="8" w:space="0" w:color="auto"/>
            </w:tcBorders>
            <w:vAlign w:val="center"/>
            <w:hideMark/>
          </w:tcPr>
          <w:p w14:paraId="5E051A01" w14:textId="77777777" w:rsidR="004A489F" w:rsidRPr="00D207EA" w:rsidRDefault="004A489F">
            <w:pPr>
              <w:spacing w:before="0" w:after="0"/>
              <w:jc w:val="center"/>
              <w:rPr>
                <w:rFonts w:eastAsia="Times New Roman"/>
                <w:noProof/>
                <w:color w:val="000000"/>
                <w:sz w:val="14"/>
                <w:szCs w:val="14"/>
              </w:rPr>
            </w:pPr>
            <w:r w:rsidRPr="00D207EA">
              <w:rPr>
                <w:noProof/>
                <w:color w:val="000000"/>
                <w:sz w:val="14"/>
              </w:rPr>
              <w:t>(6)</w:t>
            </w:r>
          </w:p>
        </w:tc>
        <w:tc>
          <w:tcPr>
            <w:tcW w:w="218"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04C36E89"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0,000</w:t>
            </w:r>
          </w:p>
        </w:tc>
        <w:tc>
          <w:tcPr>
            <w:tcW w:w="33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742CE6"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BEB570E"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77BCAF"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8E3E26"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F2F09A"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40511A6"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182CEA5"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r>
      <w:tr w:rsidR="005B2A0C" w:rsidRPr="00D207EA" w14:paraId="40579343" w14:textId="77777777" w:rsidTr="005B2A0C">
        <w:trPr>
          <w:trHeight w:val="555"/>
        </w:trPr>
        <w:tc>
          <w:tcPr>
            <w:tcW w:w="1313" w:type="pct"/>
            <w:gridSpan w:val="3"/>
            <w:tcBorders>
              <w:top w:val="single" w:sz="8" w:space="0" w:color="auto"/>
              <w:left w:val="single" w:sz="8" w:space="0" w:color="auto"/>
              <w:bottom w:val="nil"/>
              <w:right w:val="single" w:sz="8" w:space="0" w:color="auto"/>
            </w:tcBorders>
            <w:shd w:val="thinDiagStripe" w:color="C0C0C0" w:fill="F1F1F1"/>
            <w:vAlign w:val="center"/>
            <w:hideMark/>
          </w:tcPr>
          <w:p w14:paraId="1BEC17AE" w14:textId="77777777" w:rsidR="004A489F" w:rsidRPr="00D207EA" w:rsidRDefault="004A489F">
            <w:pPr>
              <w:spacing w:before="0" w:after="0"/>
              <w:jc w:val="center"/>
              <w:rPr>
                <w:rFonts w:eastAsia="Times New Roman"/>
                <w:b/>
                <w:noProof/>
                <w:color w:val="000000"/>
                <w:sz w:val="22"/>
              </w:rPr>
            </w:pPr>
            <w:r w:rsidRPr="00D207EA">
              <w:rPr>
                <w:b/>
                <w:noProof/>
                <w:color w:val="000000"/>
                <w:sz w:val="22"/>
              </w:rPr>
              <w:t>TOTAL des crédits</w:t>
            </w:r>
            <w:r w:rsidRPr="00D207EA">
              <w:rPr>
                <w:b/>
                <w:noProof/>
                <w:color w:val="000000"/>
                <w:sz w:val="22"/>
              </w:rPr>
              <w:br/>
              <w:t>pour la RUBRIQUE 1</w:t>
            </w:r>
          </w:p>
        </w:tc>
        <w:tc>
          <w:tcPr>
            <w:tcW w:w="435" w:type="pct"/>
            <w:gridSpan w:val="2"/>
            <w:tcBorders>
              <w:top w:val="single" w:sz="8" w:space="0" w:color="auto"/>
              <w:left w:val="single" w:sz="8" w:space="0" w:color="auto"/>
              <w:bottom w:val="single" w:sz="8" w:space="0" w:color="auto"/>
              <w:right w:val="single" w:sz="8" w:space="0" w:color="auto"/>
            </w:tcBorders>
            <w:vAlign w:val="center"/>
            <w:hideMark/>
          </w:tcPr>
          <w:p w14:paraId="4B553505" w14:textId="77777777" w:rsidR="004A489F" w:rsidRPr="00D207EA" w:rsidRDefault="004A489F">
            <w:pPr>
              <w:spacing w:before="0" w:after="0"/>
              <w:rPr>
                <w:rFonts w:eastAsia="Times New Roman"/>
                <w:noProof/>
                <w:color w:val="000000"/>
                <w:sz w:val="18"/>
                <w:szCs w:val="18"/>
              </w:rPr>
            </w:pPr>
            <w:r w:rsidRPr="00D207EA">
              <w:rPr>
                <w:noProof/>
                <w:color w:val="000000"/>
                <w:sz w:val="18"/>
              </w:rPr>
              <w:t>Engagements</w:t>
            </w:r>
          </w:p>
        </w:tc>
        <w:tc>
          <w:tcPr>
            <w:tcW w:w="181" w:type="pct"/>
            <w:tcBorders>
              <w:top w:val="single" w:sz="8" w:space="0" w:color="auto"/>
              <w:left w:val="single" w:sz="8" w:space="0" w:color="auto"/>
              <w:bottom w:val="single" w:sz="8" w:space="0" w:color="auto"/>
              <w:right w:val="single" w:sz="8" w:space="0" w:color="auto"/>
            </w:tcBorders>
            <w:vAlign w:val="center"/>
            <w:hideMark/>
          </w:tcPr>
          <w:p w14:paraId="1EDFCD3F" w14:textId="77777777" w:rsidR="004A489F" w:rsidRPr="00D207EA" w:rsidRDefault="004A489F">
            <w:pPr>
              <w:spacing w:before="0" w:after="0"/>
              <w:jc w:val="center"/>
              <w:rPr>
                <w:rFonts w:eastAsia="Times New Roman"/>
                <w:noProof/>
                <w:color w:val="000000"/>
                <w:sz w:val="14"/>
                <w:szCs w:val="14"/>
              </w:rPr>
            </w:pPr>
            <w:r w:rsidRPr="00D207EA">
              <w:rPr>
                <w:noProof/>
                <w:color w:val="000000"/>
                <w:sz w:val="14"/>
              </w:rPr>
              <w:t>=4+6</w:t>
            </w:r>
          </w:p>
        </w:tc>
        <w:tc>
          <w:tcPr>
            <w:tcW w:w="218"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0AD1A7DB"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33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21385A"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7BAC97"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C98D2CE"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DBFA48"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B1D8700"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D10C1A"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CA1A17"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r>
      <w:tr w:rsidR="005B2A0C" w:rsidRPr="00D207EA" w14:paraId="184D157D" w14:textId="77777777" w:rsidTr="005B2A0C">
        <w:trPr>
          <w:trHeight w:val="525"/>
        </w:trPr>
        <w:tc>
          <w:tcPr>
            <w:tcW w:w="1313" w:type="pct"/>
            <w:gridSpan w:val="3"/>
            <w:tcBorders>
              <w:top w:val="nil"/>
              <w:left w:val="single" w:sz="8" w:space="0" w:color="auto"/>
              <w:bottom w:val="single" w:sz="8" w:space="0" w:color="auto"/>
              <w:right w:val="single" w:sz="8" w:space="0" w:color="auto"/>
            </w:tcBorders>
            <w:shd w:val="thinDiagStripe" w:color="C0C0C0" w:fill="F1F1F1"/>
            <w:vAlign w:val="center"/>
            <w:hideMark/>
          </w:tcPr>
          <w:p w14:paraId="7AB93FF0" w14:textId="77777777" w:rsidR="004A489F" w:rsidRPr="00D207EA" w:rsidRDefault="004A489F">
            <w:pPr>
              <w:spacing w:before="0" w:after="0"/>
              <w:jc w:val="center"/>
              <w:rPr>
                <w:rFonts w:eastAsia="Times New Roman"/>
                <w:noProof/>
                <w:color w:val="000000"/>
                <w:sz w:val="22"/>
              </w:rPr>
            </w:pPr>
            <w:r w:rsidRPr="00D207EA">
              <w:rPr>
                <w:noProof/>
                <w:color w:val="000000"/>
                <w:sz w:val="22"/>
              </w:rPr>
              <w:t>du cadre financier pluriannuel</w:t>
            </w:r>
          </w:p>
        </w:tc>
        <w:tc>
          <w:tcPr>
            <w:tcW w:w="435" w:type="pct"/>
            <w:gridSpan w:val="2"/>
            <w:tcBorders>
              <w:top w:val="single" w:sz="8" w:space="0" w:color="auto"/>
              <w:left w:val="single" w:sz="8" w:space="0" w:color="auto"/>
              <w:bottom w:val="single" w:sz="8" w:space="0" w:color="auto"/>
              <w:right w:val="single" w:sz="8" w:space="0" w:color="auto"/>
            </w:tcBorders>
            <w:vAlign w:val="center"/>
            <w:hideMark/>
          </w:tcPr>
          <w:p w14:paraId="2FD6C8C8" w14:textId="77777777" w:rsidR="004A489F" w:rsidRPr="00D207EA" w:rsidRDefault="004A489F">
            <w:pPr>
              <w:spacing w:before="0" w:after="0"/>
              <w:rPr>
                <w:rFonts w:eastAsia="Times New Roman"/>
                <w:noProof/>
                <w:color w:val="000000"/>
                <w:sz w:val="18"/>
                <w:szCs w:val="18"/>
              </w:rPr>
            </w:pPr>
            <w:r w:rsidRPr="00D207EA">
              <w:rPr>
                <w:noProof/>
                <w:color w:val="000000"/>
                <w:sz w:val="18"/>
              </w:rPr>
              <w:t>Paiements</w:t>
            </w:r>
          </w:p>
        </w:tc>
        <w:tc>
          <w:tcPr>
            <w:tcW w:w="181" w:type="pct"/>
            <w:tcBorders>
              <w:top w:val="single" w:sz="8" w:space="0" w:color="auto"/>
              <w:left w:val="single" w:sz="8" w:space="0" w:color="auto"/>
              <w:bottom w:val="single" w:sz="8" w:space="0" w:color="auto"/>
              <w:right w:val="single" w:sz="8" w:space="0" w:color="auto"/>
            </w:tcBorders>
            <w:vAlign w:val="center"/>
            <w:hideMark/>
          </w:tcPr>
          <w:p w14:paraId="5DE17E64" w14:textId="77777777" w:rsidR="004A489F" w:rsidRPr="00D207EA" w:rsidRDefault="004A489F">
            <w:pPr>
              <w:spacing w:before="0" w:after="0"/>
              <w:jc w:val="center"/>
              <w:rPr>
                <w:rFonts w:eastAsia="Times New Roman"/>
                <w:noProof/>
                <w:color w:val="000000"/>
                <w:sz w:val="14"/>
                <w:szCs w:val="14"/>
              </w:rPr>
            </w:pPr>
            <w:r w:rsidRPr="00D207EA">
              <w:rPr>
                <w:noProof/>
                <w:color w:val="000000"/>
                <w:sz w:val="14"/>
              </w:rPr>
              <w:t>=5+6</w:t>
            </w:r>
          </w:p>
        </w:tc>
        <w:tc>
          <w:tcPr>
            <w:tcW w:w="218"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2EBAA516"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33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95BFFE7"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975229F"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BE2892"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32737B8"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29136AE"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7EB8AD2"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39A3C9"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r>
    </w:tbl>
    <w:p w14:paraId="603E0A1D" w14:textId="77777777" w:rsidR="004A489F" w:rsidRPr="00D207EA" w:rsidRDefault="004A489F" w:rsidP="004A489F">
      <w:pPr>
        <w:pStyle w:val="Text1"/>
        <w:ind w:left="0"/>
        <w:rPr>
          <w:noProof/>
        </w:rPr>
      </w:pPr>
    </w:p>
    <w:tbl>
      <w:tblPr>
        <w:tblW w:w="5860" w:type="dxa"/>
        <w:tblInd w:w="118" w:type="dxa"/>
        <w:tblCellMar>
          <w:top w:w="15" w:type="dxa"/>
          <w:bottom w:w="15" w:type="dxa"/>
        </w:tblCellMar>
        <w:tblLook w:val="04A0" w:firstRow="1" w:lastRow="0" w:firstColumn="1" w:lastColumn="0" w:noHBand="0" w:noVBand="1"/>
      </w:tblPr>
      <w:tblGrid>
        <w:gridCol w:w="4700"/>
        <w:gridCol w:w="1160"/>
      </w:tblGrid>
      <w:tr w:rsidR="004A489F" w:rsidRPr="00D207EA" w14:paraId="71F1C36B" w14:textId="77777777">
        <w:trPr>
          <w:trHeight w:val="840"/>
        </w:trPr>
        <w:tc>
          <w:tcPr>
            <w:tcW w:w="4700" w:type="dxa"/>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4716F318" w14:textId="77777777" w:rsidR="004A489F" w:rsidRPr="00D207EA" w:rsidRDefault="004A489F">
            <w:pPr>
              <w:spacing w:before="0" w:after="0"/>
              <w:jc w:val="center"/>
              <w:rPr>
                <w:rFonts w:eastAsia="Times New Roman"/>
                <w:b/>
                <w:noProof/>
                <w:color w:val="000000"/>
                <w:sz w:val="22"/>
              </w:rPr>
            </w:pPr>
            <w:r w:rsidRPr="00D207EA">
              <w:rPr>
                <w:b/>
                <w:noProof/>
                <w:color w:val="000000"/>
                <w:sz w:val="22"/>
              </w:rPr>
              <w:t>Rubrique du cadre financier</w:t>
            </w:r>
            <w:r w:rsidRPr="00D207EA">
              <w:rPr>
                <w:b/>
                <w:noProof/>
                <w:color w:val="000000"/>
                <w:sz w:val="22"/>
              </w:rPr>
              <w:br/>
              <w:t>pluriannuel</w:t>
            </w:r>
          </w:p>
        </w:tc>
        <w:tc>
          <w:tcPr>
            <w:tcW w:w="1160" w:type="dxa"/>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5678C386" w14:textId="77777777" w:rsidR="004A489F" w:rsidRPr="00D207EA" w:rsidRDefault="00373731">
            <w:pPr>
              <w:spacing w:before="0" w:after="0"/>
              <w:jc w:val="center"/>
              <w:rPr>
                <w:rFonts w:eastAsia="Times New Roman"/>
                <w:b/>
                <w:noProof/>
                <w:color w:val="000000"/>
                <w:sz w:val="22"/>
              </w:rPr>
            </w:pPr>
            <w:r w:rsidRPr="00D207EA">
              <w:rPr>
                <w:b/>
                <w:noProof/>
                <w:color w:val="000000"/>
                <w:sz w:val="22"/>
              </w:rPr>
              <w:t>4</w:t>
            </w:r>
          </w:p>
        </w:tc>
      </w:tr>
    </w:tbl>
    <w:p w14:paraId="62E2D49C" w14:textId="77777777" w:rsidR="004A489F" w:rsidRPr="00D207EA" w:rsidRDefault="004A489F" w:rsidP="004A489F">
      <w:pPr>
        <w:pStyle w:val="Text1"/>
        <w:ind w:left="0"/>
        <w:rPr>
          <w:noProof/>
        </w:rPr>
      </w:pPr>
    </w:p>
    <w:tbl>
      <w:tblPr>
        <w:tblW w:w="5000" w:type="pct"/>
        <w:tblCellMar>
          <w:top w:w="15" w:type="dxa"/>
          <w:bottom w:w="15" w:type="dxa"/>
        </w:tblCellMar>
        <w:tblLook w:val="04A0" w:firstRow="1" w:lastRow="0" w:firstColumn="1" w:lastColumn="0" w:noHBand="0" w:noVBand="1"/>
      </w:tblPr>
      <w:tblGrid>
        <w:gridCol w:w="4068"/>
        <w:gridCol w:w="992"/>
        <w:gridCol w:w="1156"/>
        <w:gridCol w:w="1131"/>
        <w:gridCol w:w="801"/>
        <w:gridCol w:w="995"/>
        <w:gridCol w:w="978"/>
        <w:gridCol w:w="978"/>
        <w:gridCol w:w="978"/>
        <w:gridCol w:w="978"/>
        <w:gridCol w:w="1165"/>
      </w:tblGrid>
      <w:tr w:rsidR="004A489F" w:rsidRPr="00D207EA" w14:paraId="474B430C" w14:textId="77777777">
        <w:trPr>
          <w:trHeight w:val="285"/>
        </w:trPr>
        <w:tc>
          <w:tcPr>
            <w:tcW w:w="2156" w:type="pct"/>
            <w:gridSpan w:val="3"/>
            <w:vMerge w:val="restart"/>
            <w:tcBorders>
              <w:top w:val="single" w:sz="8" w:space="0" w:color="auto"/>
              <w:left w:val="single" w:sz="8" w:space="0" w:color="auto"/>
              <w:bottom w:val="single" w:sz="8" w:space="0" w:color="auto"/>
              <w:right w:val="single" w:sz="8" w:space="0" w:color="auto"/>
            </w:tcBorders>
            <w:vAlign w:val="center"/>
            <w:hideMark/>
          </w:tcPr>
          <w:p w14:paraId="33033E83" w14:textId="77777777" w:rsidR="004A489F" w:rsidRPr="00D207EA" w:rsidRDefault="004A489F">
            <w:pPr>
              <w:spacing w:before="0" w:after="0"/>
              <w:jc w:val="left"/>
              <w:rPr>
                <w:rFonts w:eastAsia="Times New Roman"/>
                <w:noProof/>
                <w:sz w:val="20"/>
                <w:szCs w:val="24"/>
                <w:lang w:eastAsia="en-IE"/>
              </w:rPr>
            </w:pPr>
          </w:p>
        </w:tc>
        <w:tc>
          <w:tcPr>
            <w:tcW w:w="403" w:type="pct"/>
            <w:tcBorders>
              <w:top w:val="single" w:sz="8" w:space="0" w:color="auto"/>
              <w:left w:val="nil"/>
              <w:bottom w:val="nil"/>
              <w:right w:val="single" w:sz="8" w:space="0" w:color="auto"/>
            </w:tcBorders>
            <w:vAlign w:val="center"/>
            <w:hideMark/>
          </w:tcPr>
          <w:p w14:paraId="1E81F944" w14:textId="77777777" w:rsidR="004A489F" w:rsidRPr="00D207EA" w:rsidRDefault="004A489F">
            <w:pPr>
              <w:spacing w:before="0" w:after="0"/>
              <w:jc w:val="center"/>
              <w:rPr>
                <w:rFonts w:eastAsia="Times New Roman"/>
                <w:noProof/>
                <w:color w:val="000000"/>
                <w:sz w:val="20"/>
                <w:szCs w:val="20"/>
              </w:rPr>
            </w:pPr>
            <w:r w:rsidRPr="00D207EA">
              <w:rPr>
                <w:noProof/>
                <w:color w:val="000000"/>
                <w:sz w:val="20"/>
              </w:rPr>
              <w:t>Année</w:t>
            </w:r>
          </w:p>
        </w:tc>
        <w:tc>
          <w:tcPr>
            <w:tcW w:w="275" w:type="pct"/>
            <w:tcBorders>
              <w:top w:val="single" w:sz="8" w:space="0" w:color="auto"/>
              <w:left w:val="nil"/>
              <w:bottom w:val="nil"/>
              <w:right w:val="single" w:sz="8" w:space="0" w:color="auto"/>
            </w:tcBorders>
            <w:vAlign w:val="center"/>
            <w:hideMark/>
          </w:tcPr>
          <w:p w14:paraId="7B4458BA" w14:textId="77777777" w:rsidR="004A489F" w:rsidRPr="00D207EA" w:rsidRDefault="004A489F">
            <w:pPr>
              <w:spacing w:before="0" w:after="0"/>
              <w:jc w:val="center"/>
              <w:rPr>
                <w:rFonts w:eastAsia="Times New Roman"/>
                <w:noProof/>
                <w:color w:val="000000"/>
                <w:sz w:val="20"/>
                <w:szCs w:val="20"/>
              </w:rPr>
            </w:pPr>
            <w:r w:rsidRPr="00D207EA">
              <w:rPr>
                <w:noProof/>
                <w:color w:val="000000"/>
                <w:sz w:val="20"/>
              </w:rPr>
              <w:t>Année</w:t>
            </w:r>
          </w:p>
        </w:tc>
        <w:tc>
          <w:tcPr>
            <w:tcW w:w="355" w:type="pct"/>
            <w:tcBorders>
              <w:top w:val="single" w:sz="8" w:space="0" w:color="auto"/>
              <w:left w:val="nil"/>
              <w:bottom w:val="nil"/>
              <w:right w:val="single" w:sz="8" w:space="0" w:color="auto"/>
            </w:tcBorders>
            <w:vAlign w:val="center"/>
            <w:hideMark/>
          </w:tcPr>
          <w:p w14:paraId="080CCC2A" w14:textId="77777777" w:rsidR="004A489F" w:rsidRPr="00D207EA" w:rsidRDefault="004A489F">
            <w:pPr>
              <w:spacing w:before="0" w:after="0"/>
              <w:jc w:val="center"/>
              <w:rPr>
                <w:rFonts w:eastAsia="Times New Roman"/>
                <w:noProof/>
                <w:color w:val="000000"/>
                <w:sz w:val="20"/>
                <w:szCs w:val="20"/>
              </w:rPr>
            </w:pPr>
            <w:r w:rsidRPr="00D207EA">
              <w:rPr>
                <w:noProof/>
                <w:color w:val="000000"/>
                <w:sz w:val="20"/>
              </w:rPr>
              <w:t>Année</w:t>
            </w:r>
          </w:p>
        </w:tc>
        <w:tc>
          <w:tcPr>
            <w:tcW w:w="349" w:type="pct"/>
            <w:tcBorders>
              <w:top w:val="single" w:sz="8" w:space="0" w:color="auto"/>
              <w:left w:val="nil"/>
              <w:bottom w:val="nil"/>
              <w:right w:val="single" w:sz="8" w:space="0" w:color="auto"/>
            </w:tcBorders>
            <w:vAlign w:val="center"/>
            <w:hideMark/>
          </w:tcPr>
          <w:p w14:paraId="6E010CA5" w14:textId="77777777" w:rsidR="004A489F" w:rsidRPr="00D207EA" w:rsidRDefault="004A489F">
            <w:pPr>
              <w:spacing w:before="0" w:after="0"/>
              <w:jc w:val="center"/>
              <w:rPr>
                <w:rFonts w:eastAsia="Times New Roman"/>
                <w:noProof/>
                <w:color w:val="000000"/>
                <w:sz w:val="20"/>
                <w:szCs w:val="20"/>
              </w:rPr>
            </w:pPr>
            <w:r w:rsidRPr="00D207EA">
              <w:rPr>
                <w:noProof/>
                <w:color w:val="000000"/>
                <w:sz w:val="20"/>
              </w:rPr>
              <w:t>Année</w:t>
            </w:r>
          </w:p>
        </w:tc>
        <w:tc>
          <w:tcPr>
            <w:tcW w:w="349" w:type="pct"/>
            <w:tcBorders>
              <w:top w:val="single" w:sz="8" w:space="0" w:color="auto"/>
              <w:left w:val="nil"/>
              <w:bottom w:val="nil"/>
              <w:right w:val="single" w:sz="8" w:space="0" w:color="auto"/>
            </w:tcBorders>
            <w:vAlign w:val="center"/>
            <w:hideMark/>
          </w:tcPr>
          <w:p w14:paraId="394F0848" w14:textId="77777777" w:rsidR="004A489F" w:rsidRPr="00D207EA" w:rsidRDefault="004A489F">
            <w:pPr>
              <w:spacing w:before="0" w:after="0"/>
              <w:jc w:val="center"/>
              <w:rPr>
                <w:rFonts w:eastAsia="Times New Roman"/>
                <w:noProof/>
                <w:color w:val="000000"/>
                <w:sz w:val="20"/>
                <w:szCs w:val="20"/>
              </w:rPr>
            </w:pPr>
            <w:r w:rsidRPr="00D207EA">
              <w:rPr>
                <w:noProof/>
                <w:color w:val="000000"/>
                <w:sz w:val="20"/>
              </w:rPr>
              <w:t>Année</w:t>
            </w:r>
          </w:p>
        </w:tc>
        <w:tc>
          <w:tcPr>
            <w:tcW w:w="349" w:type="pct"/>
            <w:tcBorders>
              <w:top w:val="single" w:sz="8" w:space="0" w:color="auto"/>
              <w:left w:val="nil"/>
              <w:bottom w:val="nil"/>
              <w:right w:val="single" w:sz="8" w:space="0" w:color="auto"/>
            </w:tcBorders>
            <w:vAlign w:val="center"/>
            <w:hideMark/>
          </w:tcPr>
          <w:p w14:paraId="27FD9331" w14:textId="77777777" w:rsidR="004A489F" w:rsidRPr="00D207EA" w:rsidRDefault="004A489F">
            <w:pPr>
              <w:spacing w:before="0" w:after="0"/>
              <w:jc w:val="center"/>
              <w:rPr>
                <w:rFonts w:eastAsia="Times New Roman"/>
                <w:noProof/>
                <w:color w:val="000000"/>
                <w:sz w:val="20"/>
                <w:szCs w:val="20"/>
              </w:rPr>
            </w:pPr>
            <w:r w:rsidRPr="00D207EA">
              <w:rPr>
                <w:noProof/>
                <w:color w:val="000000"/>
                <w:sz w:val="20"/>
              </w:rPr>
              <w:t>Année</w:t>
            </w:r>
          </w:p>
        </w:tc>
        <w:tc>
          <w:tcPr>
            <w:tcW w:w="349" w:type="pct"/>
            <w:tcBorders>
              <w:top w:val="single" w:sz="8" w:space="0" w:color="auto"/>
              <w:left w:val="nil"/>
              <w:bottom w:val="nil"/>
              <w:right w:val="single" w:sz="8" w:space="0" w:color="auto"/>
            </w:tcBorders>
            <w:vAlign w:val="center"/>
            <w:hideMark/>
          </w:tcPr>
          <w:p w14:paraId="46047AE5" w14:textId="77777777" w:rsidR="004A489F" w:rsidRPr="00D207EA" w:rsidRDefault="004A489F">
            <w:pPr>
              <w:spacing w:before="0" w:after="0"/>
              <w:jc w:val="center"/>
              <w:rPr>
                <w:rFonts w:eastAsia="Times New Roman"/>
                <w:noProof/>
                <w:color w:val="000000"/>
                <w:sz w:val="20"/>
                <w:szCs w:val="20"/>
              </w:rPr>
            </w:pPr>
            <w:r w:rsidRPr="00D207EA">
              <w:rPr>
                <w:noProof/>
                <w:color w:val="000000"/>
                <w:sz w:val="20"/>
              </w:rPr>
              <w:t>Année</w:t>
            </w:r>
          </w:p>
        </w:tc>
        <w:tc>
          <w:tcPr>
            <w:tcW w:w="416" w:type="pct"/>
            <w:vMerge w:val="restart"/>
            <w:tcBorders>
              <w:top w:val="single" w:sz="8" w:space="0" w:color="auto"/>
              <w:left w:val="single" w:sz="8" w:space="0" w:color="auto"/>
              <w:bottom w:val="nil"/>
              <w:right w:val="single" w:sz="8" w:space="0" w:color="auto"/>
            </w:tcBorders>
            <w:vAlign w:val="center"/>
            <w:hideMark/>
          </w:tcPr>
          <w:p w14:paraId="34EB7098"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TOTAL CFP</w:t>
            </w:r>
            <w:r w:rsidRPr="00D207EA">
              <w:rPr>
                <w:b/>
                <w:noProof/>
                <w:color w:val="000000"/>
                <w:sz w:val="20"/>
              </w:rPr>
              <w:br/>
              <w:t>2028-2034</w:t>
            </w:r>
          </w:p>
        </w:tc>
      </w:tr>
      <w:tr w:rsidR="004A489F" w:rsidRPr="00D207EA" w14:paraId="3E252CBB" w14:textId="77777777">
        <w:trPr>
          <w:trHeight w:val="300"/>
        </w:trPr>
        <w:tc>
          <w:tcPr>
            <w:tcW w:w="2156" w:type="pct"/>
            <w:gridSpan w:val="3"/>
            <w:vMerge/>
            <w:tcBorders>
              <w:top w:val="single" w:sz="8" w:space="0" w:color="auto"/>
              <w:left w:val="single" w:sz="8" w:space="0" w:color="auto"/>
              <w:bottom w:val="single" w:sz="8" w:space="0" w:color="auto"/>
              <w:right w:val="single" w:sz="8" w:space="0" w:color="auto"/>
            </w:tcBorders>
            <w:vAlign w:val="center"/>
            <w:hideMark/>
          </w:tcPr>
          <w:p w14:paraId="2D57F64E" w14:textId="77777777" w:rsidR="004A489F" w:rsidRPr="00D207EA" w:rsidRDefault="004A489F">
            <w:pPr>
              <w:spacing w:before="0" w:after="0"/>
              <w:jc w:val="left"/>
              <w:rPr>
                <w:rFonts w:eastAsia="Times New Roman"/>
                <w:noProof/>
                <w:sz w:val="20"/>
                <w:szCs w:val="24"/>
                <w:lang w:eastAsia="en-IE"/>
              </w:rPr>
            </w:pPr>
          </w:p>
        </w:tc>
        <w:tc>
          <w:tcPr>
            <w:tcW w:w="403" w:type="pct"/>
            <w:tcBorders>
              <w:top w:val="nil"/>
              <w:left w:val="nil"/>
              <w:bottom w:val="single" w:sz="8" w:space="0" w:color="auto"/>
              <w:right w:val="single" w:sz="8" w:space="0" w:color="auto"/>
            </w:tcBorders>
            <w:vAlign w:val="center"/>
            <w:hideMark/>
          </w:tcPr>
          <w:p w14:paraId="2290EB19"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2028</w:t>
            </w:r>
          </w:p>
        </w:tc>
        <w:tc>
          <w:tcPr>
            <w:tcW w:w="275" w:type="pct"/>
            <w:tcBorders>
              <w:top w:val="nil"/>
              <w:left w:val="nil"/>
              <w:bottom w:val="single" w:sz="8" w:space="0" w:color="auto"/>
              <w:right w:val="single" w:sz="8" w:space="0" w:color="auto"/>
            </w:tcBorders>
            <w:vAlign w:val="center"/>
            <w:hideMark/>
          </w:tcPr>
          <w:p w14:paraId="2C97F2FA"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2029</w:t>
            </w:r>
          </w:p>
        </w:tc>
        <w:tc>
          <w:tcPr>
            <w:tcW w:w="355" w:type="pct"/>
            <w:tcBorders>
              <w:top w:val="nil"/>
              <w:left w:val="nil"/>
              <w:bottom w:val="single" w:sz="8" w:space="0" w:color="auto"/>
              <w:right w:val="single" w:sz="8" w:space="0" w:color="auto"/>
            </w:tcBorders>
            <w:vAlign w:val="center"/>
            <w:hideMark/>
          </w:tcPr>
          <w:p w14:paraId="5C5132F1"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2030</w:t>
            </w:r>
          </w:p>
        </w:tc>
        <w:tc>
          <w:tcPr>
            <w:tcW w:w="349" w:type="pct"/>
            <w:tcBorders>
              <w:top w:val="nil"/>
              <w:left w:val="nil"/>
              <w:bottom w:val="single" w:sz="8" w:space="0" w:color="auto"/>
              <w:right w:val="single" w:sz="8" w:space="0" w:color="auto"/>
            </w:tcBorders>
            <w:vAlign w:val="center"/>
            <w:hideMark/>
          </w:tcPr>
          <w:p w14:paraId="321C2463"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2031</w:t>
            </w:r>
          </w:p>
        </w:tc>
        <w:tc>
          <w:tcPr>
            <w:tcW w:w="349" w:type="pct"/>
            <w:tcBorders>
              <w:top w:val="nil"/>
              <w:left w:val="nil"/>
              <w:bottom w:val="single" w:sz="8" w:space="0" w:color="auto"/>
              <w:right w:val="single" w:sz="8" w:space="0" w:color="auto"/>
            </w:tcBorders>
            <w:vAlign w:val="center"/>
            <w:hideMark/>
          </w:tcPr>
          <w:p w14:paraId="7CACC5D3"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2032</w:t>
            </w:r>
          </w:p>
        </w:tc>
        <w:tc>
          <w:tcPr>
            <w:tcW w:w="349" w:type="pct"/>
            <w:tcBorders>
              <w:top w:val="nil"/>
              <w:left w:val="nil"/>
              <w:bottom w:val="single" w:sz="8" w:space="0" w:color="auto"/>
              <w:right w:val="single" w:sz="8" w:space="0" w:color="auto"/>
            </w:tcBorders>
            <w:vAlign w:val="center"/>
            <w:hideMark/>
          </w:tcPr>
          <w:p w14:paraId="0B2E2405"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2033</w:t>
            </w:r>
          </w:p>
        </w:tc>
        <w:tc>
          <w:tcPr>
            <w:tcW w:w="349" w:type="pct"/>
            <w:tcBorders>
              <w:top w:val="nil"/>
              <w:left w:val="nil"/>
              <w:bottom w:val="single" w:sz="8" w:space="0" w:color="auto"/>
              <w:right w:val="single" w:sz="8" w:space="0" w:color="auto"/>
            </w:tcBorders>
            <w:vAlign w:val="center"/>
            <w:hideMark/>
          </w:tcPr>
          <w:p w14:paraId="04288ABE"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2034</w:t>
            </w:r>
          </w:p>
        </w:tc>
        <w:tc>
          <w:tcPr>
            <w:tcW w:w="416" w:type="pct"/>
            <w:vMerge/>
            <w:tcBorders>
              <w:top w:val="single" w:sz="8" w:space="0" w:color="auto"/>
              <w:left w:val="single" w:sz="8" w:space="0" w:color="auto"/>
              <w:bottom w:val="nil"/>
              <w:right w:val="single" w:sz="8" w:space="0" w:color="auto"/>
            </w:tcBorders>
            <w:vAlign w:val="center"/>
            <w:hideMark/>
          </w:tcPr>
          <w:p w14:paraId="225F53F9" w14:textId="77777777" w:rsidR="004A489F" w:rsidRPr="00D207EA" w:rsidRDefault="004A489F">
            <w:pPr>
              <w:spacing w:before="0" w:after="0"/>
              <w:jc w:val="left"/>
              <w:rPr>
                <w:rFonts w:eastAsia="Times New Roman"/>
                <w:b/>
                <w:noProof/>
                <w:color w:val="000000"/>
                <w:sz w:val="20"/>
                <w:szCs w:val="20"/>
                <w:lang w:eastAsia="en-IE"/>
              </w:rPr>
            </w:pPr>
          </w:p>
        </w:tc>
      </w:tr>
      <w:tr w:rsidR="004A489F" w:rsidRPr="00D207EA" w14:paraId="6DC15EEA" w14:textId="77777777">
        <w:trPr>
          <w:trHeight w:val="300"/>
        </w:trPr>
        <w:tc>
          <w:tcPr>
            <w:tcW w:w="2156" w:type="pct"/>
            <w:gridSpan w:val="3"/>
            <w:tcBorders>
              <w:top w:val="single" w:sz="8" w:space="0" w:color="auto"/>
              <w:left w:val="single" w:sz="8" w:space="0" w:color="auto"/>
              <w:bottom w:val="single" w:sz="8" w:space="0" w:color="auto"/>
              <w:right w:val="single" w:sz="8" w:space="0" w:color="auto"/>
            </w:tcBorders>
            <w:vAlign w:val="center"/>
            <w:hideMark/>
          </w:tcPr>
          <w:p w14:paraId="3331E165" w14:textId="58B7AFCC" w:rsidR="004A489F" w:rsidRPr="00D207EA" w:rsidRDefault="004A489F">
            <w:pPr>
              <w:spacing w:before="0" w:after="0"/>
              <w:jc w:val="left"/>
              <w:rPr>
                <w:rFonts w:eastAsia="Times New Roman"/>
                <w:noProof/>
                <w:color w:val="000000"/>
                <w:sz w:val="22"/>
              </w:rPr>
            </w:pPr>
            <w:r w:rsidRPr="00D207EA">
              <w:rPr>
                <w:noProof/>
                <w:color w:val="000000"/>
                <w:sz w:val="22"/>
              </w:rPr>
              <w:t>Ÿ Ressources humaines</w:t>
            </w:r>
          </w:p>
        </w:tc>
        <w:tc>
          <w:tcPr>
            <w:tcW w:w="40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A0A2E8"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435,090</w:t>
            </w:r>
          </w:p>
        </w:tc>
        <w:tc>
          <w:tcPr>
            <w:tcW w:w="27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C964F22"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435,090</w:t>
            </w:r>
          </w:p>
        </w:tc>
        <w:tc>
          <w:tcPr>
            <w:tcW w:w="3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D66B5AD"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435,090</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547E18"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435,090</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C764D2A"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435,090</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17B140F"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435,090</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9BD4816"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435,090</w:t>
            </w:r>
          </w:p>
        </w:tc>
        <w:tc>
          <w:tcPr>
            <w:tcW w:w="41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D833628"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3045,630</w:t>
            </w:r>
          </w:p>
        </w:tc>
      </w:tr>
      <w:tr w:rsidR="004A489F" w:rsidRPr="00D207EA" w14:paraId="6058F78C" w14:textId="77777777">
        <w:trPr>
          <w:trHeight w:val="300"/>
        </w:trPr>
        <w:tc>
          <w:tcPr>
            <w:tcW w:w="2156" w:type="pct"/>
            <w:gridSpan w:val="3"/>
            <w:tcBorders>
              <w:top w:val="single" w:sz="8" w:space="0" w:color="auto"/>
              <w:left w:val="single" w:sz="8" w:space="0" w:color="auto"/>
              <w:bottom w:val="single" w:sz="8" w:space="0" w:color="auto"/>
              <w:right w:val="single" w:sz="8" w:space="0" w:color="auto"/>
            </w:tcBorders>
            <w:vAlign w:val="center"/>
            <w:hideMark/>
          </w:tcPr>
          <w:p w14:paraId="2E6334AA" w14:textId="424893A3" w:rsidR="004A489F" w:rsidRPr="00D207EA" w:rsidRDefault="004A489F">
            <w:pPr>
              <w:spacing w:before="0" w:after="0"/>
              <w:jc w:val="left"/>
              <w:rPr>
                <w:rFonts w:eastAsia="Times New Roman"/>
                <w:noProof/>
                <w:color w:val="000000"/>
                <w:sz w:val="22"/>
              </w:rPr>
            </w:pPr>
            <w:r w:rsidRPr="00D207EA">
              <w:rPr>
                <w:noProof/>
                <w:color w:val="000000"/>
                <w:sz w:val="22"/>
              </w:rPr>
              <w:t>Ÿ Autres dépenses administratives</w:t>
            </w:r>
          </w:p>
        </w:tc>
        <w:tc>
          <w:tcPr>
            <w:tcW w:w="40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E828C3"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26,923</w:t>
            </w:r>
          </w:p>
        </w:tc>
        <w:tc>
          <w:tcPr>
            <w:tcW w:w="27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7093DD"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26,923</w:t>
            </w:r>
          </w:p>
        </w:tc>
        <w:tc>
          <w:tcPr>
            <w:tcW w:w="3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8E542A7"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26,923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E3AD171"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26,923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81AE8C"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26,923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7120A2C"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26,923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A1D279C" w14:textId="77777777" w:rsidR="004A489F" w:rsidRPr="00D207EA" w:rsidRDefault="004A489F">
            <w:pPr>
              <w:spacing w:before="0" w:after="0"/>
              <w:jc w:val="right"/>
              <w:rPr>
                <w:rFonts w:eastAsia="Times New Roman"/>
                <w:noProof/>
                <w:color w:val="000000"/>
                <w:sz w:val="18"/>
                <w:szCs w:val="18"/>
              </w:rPr>
            </w:pPr>
            <w:r w:rsidRPr="00D207EA">
              <w:rPr>
                <w:noProof/>
                <w:color w:val="000000"/>
                <w:sz w:val="18"/>
              </w:rPr>
              <w:t>26,923</w:t>
            </w:r>
          </w:p>
        </w:tc>
        <w:tc>
          <w:tcPr>
            <w:tcW w:w="41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853542"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188,461</w:t>
            </w:r>
          </w:p>
        </w:tc>
      </w:tr>
      <w:tr w:rsidR="004A489F" w:rsidRPr="00D207EA" w14:paraId="03184DB1" w14:textId="77777777">
        <w:trPr>
          <w:trHeight w:val="300"/>
        </w:trPr>
        <w:tc>
          <w:tcPr>
            <w:tcW w:w="1436" w:type="pct"/>
            <w:tcBorders>
              <w:top w:val="single" w:sz="8" w:space="0" w:color="auto"/>
              <w:left w:val="single" w:sz="8" w:space="0" w:color="auto"/>
              <w:bottom w:val="single" w:sz="8" w:space="0" w:color="auto"/>
              <w:right w:val="single" w:sz="8" w:space="0" w:color="auto"/>
            </w:tcBorders>
            <w:vAlign w:val="center"/>
            <w:hideMark/>
          </w:tcPr>
          <w:p w14:paraId="501D9624" w14:textId="77777777" w:rsidR="004A489F" w:rsidRPr="00D207EA" w:rsidRDefault="004A489F">
            <w:pPr>
              <w:spacing w:before="0" w:after="0"/>
              <w:jc w:val="center"/>
              <w:rPr>
                <w:rFonts w:eastAsia="Times New Roman"/>
                <w:b/>
                <w:noProof/>
                <w:color w:val="000000"/>
                <w:sz w:val="22"/>
              </w:rPr>
            </w:pPr>
            <w:r w:rsidRPr="00D207EA">
              <w:rPr>
                <w:b/>
                <w:noProof/>
                <w:color w:val="000000"/>
                <w:sz w:val="22"/>
              </w:rPr>
              <w:t>TOTAL</w:t>
            </w:r>
          </w:p>
        </w:tc>
        <w:tc>
          <w:tcPr>
            <w:tcW w:w="720" w:type="pct"/>
            <w:gridSpan w:val="2"/>
            <w:tcBorders>
              <w:top w:val="single" w:sz="8" w:space="0" w:color="auto"/>
              <w:left w:val="single" w:sz="8" w:space="0" w:color="auto"/>
              <w:bottom w:val="single" w:sz="8" w:space="0" w:color="auto"/>
              <w:right w:val="single" w:sz="8" w:space="0" w:color="auto"/>
            </w:tcBorders>
            <w:vAlign w:val="center"/>
            <w:hideMark/>
          </w:tcPr>
          <w:p w14:paraId="1A15CC94" w14:textId="19E00253" w:rsidR="004A489F" w:rsidRPr="00D207EA" w:rsidRDefault="004A489F">
            <w:pPr>
              <w:spacing w:before="0" w:after="0"/>
              <w:jc w:val="left"/>
              <w:rPr>
                <w:rFonts w:eastAsia="Times New Roman"/>
                <w:noProof/>
                <w:color w:val="000000"/>
                <w:sz w:val="18"/>
                <w:szCs w:val="18"/>
              </w:rPr>
            </w:pPr>
            <w:r w:rsidRPr="00D207EA">
              <w:rPr>
                <w:noProof/>
                <w:color w:val="000000"/>
                <w:sz w:val="18"/>
              </w:rPr>
              <w:t>Crédits</w:t>
            </w:r>
          </w:p>
        </w:tc>
        <w:tc>
          <w:tcPr>
            <w:tcW w:w="40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561A03"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462,013</w:t>
            </w:r>
          </w:p>
        </w:tc>
        <w:tc>
          <w:tcPr>
            <w:tcW w:w="27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30D388"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462,013</w:t>
            </w:r>
          </w:p>
        </w:tc>
        <w:tc>
          <w:tcPr>
            <w:tcW w:w="3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F2FFE92"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F45EBC0"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71EDE2"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5BFB55E"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69DAED1"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462,013</w:t>
            </w:r>
          </w:p>
        </w:tc>
        <w:tc>
          <w:tcPr>
            <w:tcW w:w="41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484F55"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3234,091</w:t>
            </w:r>
          </w:p>
        </w:tc>
      </w:tr>
      <w:tr w:rsidR="004A489F" w:rsidRPr="00D207EA" w14:paraId="03C7B940" w14:textId="77777777">
        <w:trPr>
          <w:trHeight w:val="300"/>
        </w:trPr>
        <w:tc>
          <w:tcPr>
            <w:tcW w:w="1436" w:type="pct"/>
            <w:tcBorders>
              <w:top w:val="nil"/>
              <w:left w:val="nil"/>
              <w:bottom w:val="nil"/>
              <w:right w:val="nil"/>
            </w:tcBorders>
            <w:noWrap/>
            <w:vAlign w:val="bottom"/>
            <w:hideMark/>
          </w:tcPr>
          <w:p w14:paraId="566942A9" w14:textId="77777777" w:rsidR="004A489F" w:rsidRPr="00D207EA" w:rsidRDefault="004A489F">
            <w:pPr>
              <w:spacing w:before="0" w:after="0"/>
              <w:jc w:val="right"/>
              <w:rPr>
                <w:rFonts w:eastAsia="Times New Roman"/>
                <w:b/>
                <w:noProof/>
                <w:color w:val="000000"/>
                <w:sz w:val="20"/>
                <w:szCs w:val="20"/>
                <w:lang w:eastAsia="en-IE"/>
              </w:rPr>
            </w:pPr>
          </w:p>
        </w:tc>
        <w:tc>
          <w:tcPr>
            <w:tcW w:w="354" w:type="pct"/>
            <w:tcBorders>
              <w:top w:val="nil"/>
              <w:left w:val="nil"/>
              <w:bottom w:val="nil"/>
              <w:right w:val="nil"/>
            </w:tcBorders>
            <w:noWrap/>
            <w:vAlign w:val="bottom"/>
            <w:hideMark/>
          </w:tcPr>
          <w:p w14:paraId="1F2F328D" w14:textId="77777777" w:rsidR="004A489F" w:rsidRPr="00D207EA" w:rsidRDefault="004A489F">
            <w:pPr>
              <w:spacing w:before="0" w:after="0"/>
              <w:jc w:val="left"/>
              <w:rPr>
                <w:rFonts w:eastAsia="Times New Roman"/>
                <w:noProof/>
                <w:sz w:val="20"/>
                <w:szCs w:val="20"/>
                <w:lang w:eastAsia="en-IE"/>
              </w:rPr>
            </w:pPr>
          </w:p>
        </w:tc>
        <w:tc>
          <w:tcPr>
            <w:tcW w:w="366" w:type="pct"/>
            <w:tcBorders>
              <w:top w:val="nil"/>
              <w:left w:val="nil"/>
              <w:bottom w:val="nil"/>
              <w:right w:val="nil"/>
            </w:tcBorders>
            <w:noWrap/>
            <w:vAlign w:val="bottom"/>
            <w:hideMark/>
          </w:tcPr>
          <w:p w14:paraId="70B31DF1" w14:textId="77777777" w:rsidR="004A489F" w:rsidRPr="00D207EA" w:rsidRDefault="004A489F">
            <w:pPr>
              <w:spacing w:before="0" w:after="0"/>
              <w:jc w:val="left"/>
              <w:rPr>
                <w:rFonts w:eastAsia="Times New Roman"/>
                <w:noProof/>
                <w:sz w:val="20"/>
                <w:szCs w:val="20"/>
                <w:lang w:eastAsia="en-IE"/>
              </w:rPr>
            </w:pPr>
          </w:p>
        </w:tc>
        <w:tc>
          <w:tcPr>
            <w:tcW w:w="403" w:type="pct"/>
            <w:tcBorders>
              <w:top w:val="nil"/>
              <w:left w:val="nil"/>
              <w:bottom w:val="nil"/>
              <w:right w:val="nil"/>
            </w:tcBorders>
            <w:noWrap/>
            <w:vAlign w:val="bottom"/>
            <w:hideMark/>
          </w:tcPr>
          <w:p w14:paraId="229094C6" w14:textId="77777777" w:rsidR="004A489F" w:rsidRPr="00D207EA" w:rsidRDefault="004A489F">
            <w:pPr>
              <w:spacing w:before="0" w:after="0"/>
              <w:jc w:val="left"/>
              <w:rPr>
                <w:rFonts w:eastAsia="Times New Roman"/>
                <w:noProof/>
                <w:sz w:val="20"/>
                <w:szCs w:val="20"/>
                <w:lang w:eastAsia="en-IE"/>
              </w:rPr>
            </w:pPr>
          </w:p>
        </w:tc>
        <w:tc>
          <w:tcPr>
            <w:tcW w:w="275" w:type="pct"/>
            <w:tcBorders>
              <w:top w:val="nil"/>
              <w:left w:val="nil"/>
              <w:bottom w:val="nil"/>
              <w:right w:val="nil"/>
            </w:tcBorders>
            <w:noWrap/>
            <w:vAlign w:val="bottom"/>
            <w:hideMark/>
          </w:tcPr>
          <w:p w14:paraId="1FA82AE7" w14:textId="77777777" w:rsidR="004A489F" w:rsidRPr="00D207EA" w:rsidRDefault="004A489F">
            <w:pPr>
              <w:spacing w:before="0" w:after="0"/>
              <w:jc w:val="left"/>
              <w:rPr>
                <w:rFonts w:eastAsia="Times New Roman"/>
                <w:noProof/>
                <w:sz w:val="20"/>
                <w:szCs w:val="20"/>
                <w:lang w:eastAsia="en-IE"/>
              </w:rPr>
            </w:pPr>
          </w:p>
        </w:tc>
        <w:tc>
          <w:tcPr>
            <w:tcW w:w="355" w:type="pct"/>
            <w:tcBorders>
              <w:top w:val="nil"/>
              <w:left w:val="nil"/>
              <w:bottom w:val="nil"/>
              <w:right w:val="nil"/>
            </w:tcBorders>
            <w:noWrap/>
            <w:vAlign w:val="bottom"/>
            <w:hideMark/>
          </w:tcPr>
          <w:p w14:paraId="11829186" w14:textId="77777777" w:rsidR="004A489F" w:rsidRPr="00D207EA" w:rsidRDefault="004A489F">
            <w:pPr>
              <w:spacing w:before="0" w:after="0"/>
              <w:jc w:val="left"/>
              <w:rPr>
                <w:rFonts w:eastAsia="Times New Roman"/>
                <w:noProof/>
                <w:sz w:val="20"/>
                <w:szCs w:val="20"/>
                <w:lang w:eastAsia="en-IE"/>
              </w:rPr>
            </w:pPr>
          </w:p>
        </w:tc>
        <w:tc>
          <w:tcPr>
            <w:tcW w:w="349" w:type="pct"/>
            <w:tcBorders>
              <w:top w:val="nil"/>
              <w:left w:val="nil"/>
              <w:bottom w:val="nil"/>
              <w:right w:val="nil"/>
            </w:tcBorders>
            <w:noWrap/>
            <w:vAlign w:val="bottom"/>
            <w:hideMark/>
          </w:tcPr>
          <w:p w14:paraId="59157E98" w14:textId="77777777" w:rsidR="004A489F" w:rsidRPr="00D207EA" w:rsidRDefault="004A489F">
            <w:pPr>
              <w:spacing w:before="0" w:after="0"/>
              <w:jc w:val="left"/>
              <w:rPr>
                <w:rFonts w:eastAsia="Times New Roman"/>
                <w:noProof/>
                <w:sz w:val="20"/>
                <w:szCs w:val="20"/>
                <w:lang w:eastAsia="en-IE"/>
              </w:rPr>
            </w:pPr>
          </w:p>
        </w:tc>
        <w:tc>
          <w:tcPr>
            <w:tcW w:w="349" w:type="pct"/>
            <w:tcBorders>
              <w:top w:val="nil"/>
              <w:left w:val="nil"/>
              <w:bottom w:val="nil"/>
              <w:right w:val="nil"/>
            </w:tcBorders>
            <w:noWrap/>
            <w:vAlign w:val="bottom"/>
            <w:hideMark/>
          </w:tcPr>
          <w:p w14:paraId="28A680E9" w14:textId="77777777" w:rsidR="004A489F" w:rsidRPr="00D207EA" w:rsidRDefault="004A489F">
            <w:pPr>
              <w:spacing w:before="0" w:after="0"/>
              <w:jc w:val="left"/>
              <w:rPr>
                <w:rFonts w:eastAsia="Times New Roman"/>
                <w:noProof/>
                <w:sz w:val="20"/>
                <w:szCs w:val="20"/>
                <w:lang w:eastAsia="en-IE"/>
              </w:rPr>
            </w:pPr>
          </w:p>
        </w:tc>
        <w:tc>
          <w:tcPr>
            <w:tcW w:w="349" w:type="pct"/>
            <w:tcBorders>
              <w:top w:val="nil"/>
              <w:left w:val="nil"/>
              <w:bottom w:val="nil"/>
              <w:right w:val="nil"/>
            </w:tcBorders>
            <w:noWrap/>
            <w:vAlign w:val="bottom"/>
            <w:hideMark/>
          </w:tcPr>
          <w:p w14:paraId="16AC2F82" w14:textId="77777777" w:rsidR="004A489F" w:rsidRPr="00D207EA" w:rsidRDefault="004A489F">
            <w:pPr>
              <w:spacing w:before="0" w:after="0"/>
              <w:jc w:val="left"/>
              <w:rPr>
                <w:rFonts w:eastAsia="Times New Roman"/>
                <w:noProof/>
                <w:sz w:val="20"/>
                <w:szCs w:val="20"/>
                <w:lang w:eastAsia="en-IE"/>
              </w:rPr>
            </w:pPr>
          </w:p>
        </w:tc>
        <w:tc>
          <w:tcPr>
            <w:tcW w:w="349" w:type="pct"/>
            <w:tcBorders>
              <w:top w:val="nil"/>
              <w:left w:val="nil"/>
              <w:bottom w:val="nil"/>
              <w:right w:val="nil"/>
            </w:tcBorders>
            <w:noWrap/>
            <w:vAlign w:val="bottom"/>
            <w:hideMark/>
          </w:tcPr>
          <w:p w14:paraId="66A73EEE" w14:textId="77777777" w:rsidR="004A489F" w:rsidRPr="00D207EA" w:rsidRDefault="004A489F">
            <w:pPr>
              <w:spacing w:before="0" w:after="0"/>
              <w:jc w:val="left"/>
              <w:rPr>
                <w:rFonts w:eastAsia="Times New Roman"/>
                <w:noProof/>
                <w:sz w:val="20"/>
                <w:szCs w:val="20"/>
                <w:lang w:eastAsia="en-IE"/>
              </w:rPr>
            </w:pPr>
          </w:p>
        </w:tc>
        <w:tc>
          <w:tcPr>
            <w:tcW w:w="416" w:type="pct"/>
            <w:tcBorders>
              <w:top w:val="nil"/>
              <w:left w:val="nil"/>
              <w:bottom w:val="nil"/>
              <w:right w:val="nil"/>
            </w:tcBorders>
            <w:noWrap/>
            <w:vAlign w:val="bottom"/>
            <w:hideMark/>
          </w:tcPr>
          <w:p w14:paraId="39260CD9" w14:textId="77777777" w:rsidR="004A489F" w:rsidRPr="00D207EA" w:rsidRDefault="004A489F">
            <w:pPr>
              <w:spacing w:before="0" w:after="0"/>
              <w:jc w:val="left"/>
              <w:rPr>
                <w:rFonts w:eastAsia="Times New Roman"/>
                <w:noProof/>
                <w:sz w:val="20"/>
                <w:szCs w:val="20"/>
                <w:lang w:eastAsia="en-IE"/>
              </w:rPr>
            </w:pPr>
          </w:p>
        </w:tc>
      </w:tr>
      <w:tr w:rsidR="004A489F" w:rsidRPr="00D207EA" w14:paraId="51AF092E" w14:textId="77777777">
        <w:trPr>
          <w:trHeight w:val="900"/>
        </w:trPr>
        <w:tc>
          <w:tcPr>
            <w:tcW w:w="1790" w:type="pct"/>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201A8C9E" w14:textId="75549B78" w:rsidR="004A489F" w:rsidRPr="00D207EA" w:rsidRDefault="004A489F">
            <w:pPr>
              <w:spacing w:before="0" w:after="0"/>
              <w:jc w:val="center"/>
              <w:rPr>
                <w:rFonts w:eastAsia="Times New Roman"/>
                <w:b/>
                <w:noProof/>
                <w:color w:val="000000"/>
                <w:sz w:val="22"/>
              </w:rPr>
            </w:pPr>
            <w:r w:rsidRPr="00D207EA">
              <w:rPr>
                <w:b/>
                <w:noProof/>
                <w:color w:val="000000"/>
                <w:sz w:val="22"/>
              </w:rPr>
              <w:t>TOTAL des crédits</w:t>
            </w:r>
            <w:r w:rsidRPr="00D207EA">
              <w:rPr>
                <w:b/>
                <w:noProof/>
                <w:color w:val="000000"/>
                <w:sz w:val="22"/>
              </w:rPr>
              <w:br/>
              <w:t>pour la RUBRIQUE 4</w:t>
            </w:r>
            <w:r w:rsidRPr="00D207EA">
              <w:rPr>
                <w:b/>
                <w:noProof/>
                <w:color w:val="000000"/>
                <w:sz w:val="22"/>
              </w:rPr>
              <w:br/>
              <w:t>du cadre financier pluriannuel</w:t>
            </w:r>
          </w:p>
        </w:tc>
        <w:tc>
          <w:tcPr>
            <w:tcW w:w="366" w:type="pct"/>
            <w:tcBorders>
              <w:top w:val="single" w:sz="8" w:space="0" w:color="auto"/>
              <w:left w:val="single" w:sz="8" w:space="0" w:color="auto"/>
              <w:bottom w:val="single" w:sz="8" w:space="0" w:color="auto"/>
              <w:right w:val="single" w:sz="8" w:space="0" w:color="auto"/>
            </w:tcBorders>
            <w:vAlign w:val="center"/>
            <w:hideMark/>
          </w:tcPr>
          <w:p w14:paraId="35913E00"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(Total engagements = Total paiements)</w:t>
            </w:r>
          </w:p>
        </w:tc>
        <w:tc>
          <w:tcPr>
            <w:tcW w:w="40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0044D1C"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462,013</w:t>
            </w:r>
          </w:p>
        </w:tc>
        <w:tc>
          <w:tcPr>
            <w:tcW w:w="27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00EED1B"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462,013</w:t>
            </w:r>
          </w:p>
        </w:tc>
        <w:tc>
          <w:tcPr>
            <w:tcW w:w="3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7AB1F04"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D1C01C"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C3BBFB"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F0F3C70"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68E6DA1"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462,013</w:t>
            </w:r>
          </w:p>
        </w:tc>
        <w:tc>
          <w:tcPr>
            <w:tcW w:w="41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1108444"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3234,091</w:t>
            </w:r>
          </w:p>
        </w:tc>
      </w:tr>
    </w:tbl>
    <w:p w14:paraId="430019CE" w14:textId="77777777" w:rsidR="004A489F" w:rsidRPr="00D207EA" w:rsidRDefault="004A489F" w:rsidP="004A489F">
      <w:pPr>
        <w:pStyle w:val="Text1"/>
        <w:ind w:left="0"/>
        <w:rPr>
          <w:noProof/>
        </w:rPr>
      </w:pPr>
    </w:p>
    <w:tbl>
      <w:tblPr>
        <w:tblW w:w="5000" w:type="pct"/>
        <w:tblCellMar>
          <w:top w:w="15" w:type="dxa"/>
          <w:bottom w:w="15" w:type="dxa"/>
        </w:tblCellMar>
        <w:tblLook w:val="04A0" w:firstRow="1" w:lastRow="0" w:firstColumn="1" w:lastColumn="0" w:noHBand="0" w:noVBand="1"/>
      </w:tblPr>
      <w:tblGrid>
        <w:gridCol w:w="3928"/>
        <w:gridCol w:w="1355"/>
        <w:gridCol w:w="1116"/>
        <w:gridCol w:w="1116"/>
        <w:gridCol w:w="1116"/>
        <w:gridCol w:w="1116"/>
        <w:gridCol w:w="1116"/>
        <w:gridCol w:w="1116"/>
        <w:gridCol w:w="1116"/>
        <w:gridCol w:w="1125"/>
      </w:tblGrid>
      <w:tr w:rsidR="00373731" w:rsidRPr="00D207EA" w14:paraId="5C5A5AE9" w14:textId="77777777" w:rsidTr="00373731">
        <w:trPr>
          <w:trHeight w:val="285"/>
        </w:trPr>
        <w:tc>
          <w:tcPr>
            <w:tcW w:w="1858"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75EAC37B" w14:textId="77777777" w:rsidR="00373731" w:rsidRPr="00D207EA" w:rsidRDefault="00373731" w:rsidP="00812AD2">
            <w:pPr>
              <w:spacing w:before="0" w:after="0"/>
              <w:jc w:val="left"/>
              <w:rPr>
                <w:rFonts w:eastAsia="Times New Roman"/>
                <w:noProof/>
                <w:sz w:val="18"/>
                <w:szCs w:val="18"/>
                <w:lang w:eastAsia="zh-CN"/>
              </w:rPr>
            </w:pPr>
          </w:p>
        </w:tc>
        <w:tc>
          <w:tcPr>
            <w:tcW w:w="392" w:type="pct"/>
            <w:tcBorders>
              <w:top w:val="single" w:sz="8" w:space="0" w:color="auto"/>
              <w:left w:val="nil"/>
              <w:bottom w:val="nil"/>
              <w:right w:val="single" w:sz="8" w:space="0" w:color="auto"/>
            </w:tcBorders>
            <w:vAlign w:val="center"/>
            <w:hideMark/>
          </w:tcPr>
          <w:p w14:paraId="4A5A491C" w14:textId="77777777" w:rsidR="00373731" w:rsidRPr="00D207EA" w:rsidRDefault="00373731" w:rsidP="00812AD2">
            <w:pPr>
              <w:spacing w:before="0" w:after="0"/>
              <w:jc w:val="center"/>
              <w:rPr>
                <w:rFonts w:eastAsia="Times New Roman"/>
                <w:noProof/>
                <w:sz w:val="18"/>
                <w:szCs w:val="18"/>
              </w:rPr>
            </w:pPr>
            <w:r w:rsidRPr="00D207EA">
              <w:rPr>
                <w:noProof/>
                <w:sz w:val="18"/>
              </w:rPr>
              <w:t>Année</w:t>
            </w:r>
          </w:p>
        </w:tc>
        <w:tc>
          <w:tcPr>
            <w:tcW w:w="392" w:type="pct"/>
            <w:tcBorders>
              <w:top w:val="single" w:sz="8" w:space="0" w:color="auto"/>
              <w:left w:val="nil"/>
              <w:bottom w:val="nil"/>
              <w:right w:val="single" w:sz="8" w:space="0" w:color="auto"/>
            </w:tcBorders>
            <w:vAlign w:val="center"/>
            <w:hideMark/>
          </w:tcPr>
          <w:p w14:paraId="04B381BB" w14:textId="77777777" w:rsidR="00373731" w:rsidRPr="00D207EA" w:rsidRDefault="00373731" w:rsidP="00812AD2">
            <w:pPr>
              <w:spacing w:before="0" w:after="0"/>
              <w:jc w:val="center"/>
              <w:rPr>
                <w:rFonts w:eastAsia="Times New Roman"/>
                <w:noProof/>
                <w:sz w:val="18"/>
                <w:szCs w:val="18"/>
              </w:rPr>
            </w:pPr>
            <w:r w:rsidRPr="00D207EA">
              <w:rPr>
                <w:noProof/>
                <w:sz w:val="18"/>
              </w:rPr>
              <w:t>Année</w:t>
            </w:r>
          </w:p>
        </w:tc>
        <w:tc>
          <w:tcPr>
            <w:tcW w:w="392" w:type="pct"/>
            <w:tcBorders>
              <w:top w:val="single" w:sz="8" w:space="0" w:color="auto"/>
              <w:left w:val="nil"/>
              <w:bottom w:val="nil"/>
              <w:right w:val="single" w:sz="8" w:space="0" w:color="auto"/>
            </w:tcBorders>
            <w:vAlign w:val="center"/>
            <w:hideMark/>
          </w:tcPr>
          <w:p w14:paraId="75848C24" w14:textId="77777777" w:rsidR="00373731" w:rsidRPr="00D207EA" w:rsidRDefault="00373731" w:rsidP="00812AD2">
            <w:pPr>
              <w:spacing w:before="0" w:after="0"/>
              <w:jc w:val="center"/>
              <w:rPr>
                <w:rFonts w:eastAsia="Times New Roman"/>
                <w:noProof/>
                <w:sz w:val="18"/>
                <w:szCs w:val="18"/>
              </w:rPr>
            </w:pPr>
            <w:r w:rsidRPr="00D207EA">
              <w:rPr>
                <w:noProof/>
                <w:sz w:val="18"/>
              </w:rPr>
              <w:t>Année</w:t>
            </w:r>
          </w:p>
        </w:tc>
        <w:tc>
          <w:tcPr>
            <w:tcW w:w="392" w:type="pct"/>
            <w:tcBorders>
              <w:top w:val="single" w:sz="8" w:space="0" w:color="auto"/>
              <w:left w:val="nil"/>
              <w:bottom w:val="nil"/>
              <w:right w:val="single" w:sz="8" w:space="0" w:color="auto"/>
            </w:tcBorders>
            <w:vAlign w:val="center"/>
            <w:hideMark/>
          </w:tcPr>
          <w:p w14:paraId="79013D88" w14:textId="77777777" w:rsidR="00373731" w:rsidRPr="00D207EA" w:rsidRDefault="00373731" w:rsidP="00812AD2">
            <w:pPr>
              <w:spacing w:before="0" w:after="0"/>
              <w:jc w:val="center"/>
              <w:rPr>
                <w:rFonts w:eastAsia="Times New Roman"/>
                <w:noProof/>
                <w:sz w:val="18"/>
                <w:szCs w:val="18"/>
              </w:rPr>
            </w:pPr>
            <w:r w:rsidRPr="00D207EA">
              <w:rPr>
                <w:noProof/>
                <w:sz w:val="18"/>
              </w:rPr>
              <w:t>Année</w:t>
            </w:r>
          </w:p>
        </w:tc>
        <w:tc>
          <w:tcPr>
            <w:tcW w:w="392" w:type="pct"/>
            <w:tcBorders>
              <w:top w:val="single" w:sz="8" w:space="0" w:color="auto"/>
              <w:left w:val="nil"/>
              <w:bottom w:val="nil"/>
              <w:right w:val="single" w:sz="8" w:space="0" w:color="auto"/>
            </w:tcBorders>
            <w:vAlign w:val="center"/>
            <w:hideMark/>
          </w:tcPr>
          <w:p w14:paraId="3FA27F5F" w14:textId="77777777" w:rsidR="00373731" w:rsidRPr="00D207EA" w:rsidRDefault="00373731" w:rsidP="00812AD2">
            <w:pPr>
              <w:spacing w:before="0" w:after="0"/>
              <w:jc w:val="center"/>
              <w:rPr>
                <w:rFonts w:eastAsia="Times New Roman"/>
                <w:noProof/>
                <w:sz w:val="18"/>
                <w:szCs w:val="18"/>
              </w:rPr>
            </w:pPr>
            <w:r w:rsidRPr="00D207EA">
              <w:rPr>
                <w:noProof/>
                <w:sz w:val="18"/>
              </w:rPr>
              <w:t>Année</w:t>
            </w:r>
          </w:p>
        </w:tc>
        <w:tc>
          <w:tcPr>
            <w:tcW w:w="392" w:type="pct"/>
            <w:tcBorders>
              <w:top w:val="single" w:sz="8" w:space="0" w:color="auto"/>
              <w:left w:val="nil"/>
              <w:bottom w:val="nil"/>
              <w:right w:val="single" w:sz="8" w:space="0" w:color="auto"/>
            </w:tcBorders>
            <w:vAlign w:val="center"/>
            <w:hideMark/>
          </w:tcPr>
          <w:p w14:paraId="57FD27D1" w14:textId="77777777" w:rsidR="00373731" w:rsidRPr="00D207EA" w:rsidRDefault="00373731" w:rsidP="00812AD2">
            <w:pPr>
              <w:spacing w:before="0" w:after="0"/>
              <w:jc w:val="center"/>
              <w:rPr>
                <w:rFonts w:eastAsia="Times New Roman"/>
                <w:noProof/>
                <w:sz w:val="18"/>
                <w:szCs w:val="18"/>
              </w:rPr>
            </w:pPr>
            <w:r w:rsidRPr="00D207EA">
              <w:rPr>
                <w:noProof/>
                <w:sz w:val="18"/>
              </w:rPr>
              <w:t>Année</w:t>
            </w:r>
          </w:p>
        </w:tc>
        <w:tc>
          <w:tcPr>
            <w:tcW w:w="392" w:type="pct"/>
            <w:tcBorders>
              <w:top w:val="single" w:sz="8" w:space="0" w:color="auto"/>
              <w:left w:val="nil"/>
              <w:bottom w:val="nil"/>
              <w:right w:val="single" w:sz="8" w:space="0" w:color="auto"/>
            </w:tcBorders>
            <w:vAlign w:val="center"/>
            <w:hideMark/>
          </w:tcPr>
          <w:p w14:paraId="25ED61A2" w14:textId="77777777" w:rsidR="00373731" w:rsidRPr="00D207EA" w:rsidRDefault="00373731" w:rsidP="00812AD2">
            <w:pPr>
              <w:spacing w:before="0" w:after="0"/>
              <w:jc w:val="center"/>
              <w:rPr>
                <w:rFonts w:eastAsia="Times New Roman"/>
                <w:noProof/>
                <w:sz w:val="18"/>
                <w:szCs w:val="18"/>
              </w:rPr>
            </w:pPr>
            <w:r w:rsidRPr="00D207EA">
              <w:rPr>
                <w:noProof/>
                <w:sz w:val="18"/>
              </w:rPr>
              <w:t>Année</w:t>
            </w:r>
          </w:p>
        </w:tc>
        <w:tc>
          <w:tcPr>
            <w:tcW w:w="396" w:type="pct"/>
            <w:vMerge w:val="restart"/>
            <w:tcBorders>
              <w:top w:val="single" w:sz="8" w:space="0" w:color="auto"/>
              <w:left w:val="single" w:sz="8" w:space="0" w:color="auto"/>
              <w:bottom w:val="nil"/>
              <w:right w:val="single" w:sz="8" w:space="0" w:color="auto"/>
            </w:tcBorders>
            <w:vAlign w:val="center"/>
            <w:hideMark/>
          </w:tcPr>
          <w:p w14:paraId="1EC73C20" w14:textId="77777777" w:rsidR="00373731" w:rsidRPr="00D207EA" w:rsidRDefault="00373731" w:rsidP="00812AD2">
            <w:pPr>
              <w:spacing w:before="0" w:after="0"/>
              <w:jc w:val="center"/>
              <w:rPr>
                <w:rFonts w:eastAsia="Times New Roman"/>
                <w:b/>
                <w:bCs/>
                <w:noProof/>
                <w:sz w:val="18"/>
                <w:szCs w:val="18"/>
              </w:rPr>
            </w:pPr>
            <w:r w:rsidRPr="00D207EA">
              <w:rPr>
                <w:b/>
                <w:noProof/>
                <w:sz w:val="18"/>
              </w:rPr>
              <w:t>TOTAL CFP</w:t>
            </w:r>
            <w:r w:rsidRPr="00D207EA">
              <w:rPr>
                <w:b/>
                <w:noProof/>
                <w:sz w:val="18"/>
              </w:rPr>
              <w:br/>
              <w:t>2028-2034</w:t>
            </w:r>
          </w:p>
        </w:tc>
      </w:tr>
      <w:tr w:rsidR="00373731" w:rsidRPr="00D207EA" w14:paraId="6E193327" w14:textId="77777777" w:rsidTr="00373731">
        <w:trPr>
          <w:trHeight w:val="300"/>
        </w:trPr>
        <w:tc>
          <w:tcPr>
            <w:tcW w:w="1858" w:type="pct"/>
            <w:gridSpan w:val="2"/>
            <w:vMerge/>
            <w:tcBorders>
              <w:top w:val="single" w:sz="8" w:space="0" w:color="auto"/>
              <w:left w:val="single" w:sz="8" w:space="0" w:color="auto"/>
              <w:bottom w:val="single" w:sz="8" w:space="0" w:color="auto"/>
              <w:right w:val="single" w:sz="8" w:space="0" w:color="auto"/>
            </w:tcBorders>
            <w:vAlign w:val="center"/>
            <w:hideMark/>
          </w:tcPr>
          <w:p w14:paraId="115E7AD5" w14:textId="77777777" w:rsidR="00373731" w:rsidRPr="00D207EA" w:rsidRDefault="00373731" w:rsidP="00812AD2">
            <w:pPr>
              <w:spacing w:before="0" w:after="0"/>
              <w:jc w:val="left"/>
              <w:rPr>
                <w:rFonts w:eastAsia="Times New Roman"/>
                <w:noProof/>
                <w:sz w:val="18"/>
                <w:szCs w:val="18"/>
                <w:lang w:eastAsia="zh-CN"/>
              </w:rPr>
            </w:pPr>
          </w:p>
        </w:tc>
        <w:tc>
          <w:tcPr>
            <w:tcW w:w="392" w:type="pct"/>
            <w:tcBorders>
              <w:top w:val="nil"/>
              <w:left w:val="nil"/>
              <w:bottom w:val="single" w:sz="8" w:space="0" w:color="auto"/>
              <w:right w:val="single" w:sz="8" w:space="0" w:color="auto"/>
            </w:tcBorders>
            <w:vAlign w:val="center"/>
            <w:hideMark/>
          </w:tcPr>
          <w:p w14:paraId="709AFD37" w14:textId="77777777" w:rsidR="00373731" w:rsidRPr="00D207EA" w:rsidRDefault="00373731" w:rsidP="00812AD2">
            <w:pPr>
              <w:spacing w:before="0" w:after="0"/>
              <w:jc w:val="center"/>
              <w:rPr>
                <w:rFonts w:eastAsia="Times New Roman"/>
                <w:b/>
                <w:bCs/>
                <w:noProof/>
                <w:sz w:val="18"/>
                <w:szCs w:val="18"/>
              </w:rPr>
            </w:pPr>
            <w:r w:rsidRPr="00D207EA">
              <w:rPr>
                <w:b/>
                <w:noProof/>
                <w:sz w:val="18"/>
              </w:rPr>
              <w:t>2028</w:t>
            </w:r>
          </w:p>
        </w:tc>
        <w:tc>
          <w:tcPr>
            <w:tcW w:w="392" w:type="pct"/>
            <w:tcBorders>
              <w:top w:val="nil"/>
              <w:left w:val="nil"/>
              <w:bottom w:val="single" w:sz="8" w:space="0" w:color="auto"/>
              <w:right w:val="single" w:sz="8" w:space="0" w:color="auto"/>
            </w:tcBorders>
            <w:vAlign w:val="center"/>
            <w:hideMark/>
          </w:tcPr>
          <w:p w14:paraId="04F11DE5" w14:textId="77777777" w:rsidR="00373731" w:rsidRPr="00D207EA" w:rsidRDefault="00373731" w:rsidP="00812AD2">
            <w:pPr>
              <w:spacing w:before="0" w:after="0"/>
              <w:jc w:val="center"/>
              <w:rPr>
                <w:rFonts w:eastAsia="Times New Roman"/>
                <w:b/>
                <w:bCs/>
                <w:noProof/>
                <w:sz w:val="18"/>
                <w:szCs w:val="18"/>
              </w:rPr>
            </w:pPr>
            <w:r w:rsidRPr="00D207EA">
              <w:rPr>
                <w:b/>
                <w:noProof/>
                <w:sz w:val="18"/>
              </w:rPr>
              <w:t>2029</w:t>
            </w:r>
          </w:p>
        </w:tc>
        <w:tc>
          <w:tcPr>
            <w:tcW w:w="392" w:type="pct"/>
            <w:tcBorders>
              <w:top w:val="nil"/>
              <w:left w:val="nil"/>
              <w:bottom w:val="single" w:sz="8" w:space="0" w:color="auto"/>
              <w:right w:val="single" w:sz="8" w:space="0" w:color="auto"/>
            </w:tcBorders>
            <w:vAlign w:val="center"/>
            <w:hideMark/>
          </w:tcPr>
          <w:p w14:paraId="311497DC" w14:textId="77777777" w:rsidR="00373731" w:rsidRPr="00D207EA" w:rsidRDefault="00373731" w:rsidP="00812AD2">
            <w:pPr>
              <w:spacing w:before="0" w:after="0"/>
              <w:jc w:val="center"/>
              <w:rPr>
                <w:rFonts w:eastAsia="Times New Roman"/>
                <w:b/>
                <w:bCs/>
                <w:noProof/>
                <w:sz w:val="18"/>
                <w:szCs w:val="18"/>
              </w:rPr>
            </w:pPr>
            <w:r w:rsidRPr="00D207EA">
              <w:rPr>
                <w:b/>
                <w:noProof/>
                <w:sz w:val="18"/>
              </w:rPr>
              <w:t>2030</w:t>
            </w:r>
          </w:p>
        </w:tc>
        <w:tc>
          <w:tcPr>
            <w:tcW w:w="392" w:type="pct"/>
            <w:tcBorders>
              <w:top w:val="nil"/>
              <w:left w:val="nil"/>
              <w:bottom w:val="single" w:sz="8" w:space="0" w:color="auto"/>
              <w:right w:val="single" w:sz="8" w:space="0" w:color="auto"/>
            </w:tcBorders>
            <w:vAlign w:val="center"/>
            <w:hideMark/>
          </w:tcPr>
          <w:p w14:paraId="7E129933" w14:textId="77777777" w:rsidR="00373731" w:rsidRPr="00D207EA" w:rsidRDefault="00373731" w:rsidP="00812AD2">
            <w:pPr>
              <w:spacing w:before="0" w:after="0"/>
              <w:jc w:val="center"/>
              <w:rPr>
                <w:rFonts w:eastAsia="Times New Roman"/>
                <w:b/>
                <w:bCs/>
                <w:noProof/>
                <w:sz w:val="18"/>
                <w:szCs w:val="18"/>
              </w:rPr>
            </w:pPr>
            <w:r w:rsidRPr="00D207EA">
              <w:rPr>
                <w:b/>
                <w:noProof/>
                <w:sz w:val="18"/>
              </w:rPr>
              <w:t>2031</w:t>
            </w:r>
          </w:p>
        </w:tc>
        <w:tc>
          <w:tcPr>
            <w:tcW w:w="392" w:type="pct"/>
            <w:tcBorders>
              <w:top w:val="nil"/>
              <w:left w:val="nil"/>
              <w:bottom w:val="single" w:sz="8" w:space="0" w:color="auto"/>
              <w:right w:val="single" w:sz="8" w:space="0" w:color="auto"/>
            </w:tcBorders>
            <w:vAlign w:val="center"/>
            <w:hideMark/>
          </w:tcPr>
          <w:p w14:paraId="2A8C4844" w14:textId="77777777" w:rsidR="00373731" w:rsidRPr="00D207EA" w:rsidRDefault="00373731" w:rsidP="00812AD2">
            <w:pPr>
              <w:spacing w:before="0" w:after="0"/>
              <w:jc w:val="center"/>
              <w:rPr>
                <w:rFonts w:eastAsia="Times New Roman"/>
                <w:b/>
                <w:bCs/>
                <w:noProof/>
                <w:sz w:val="18"/>
                <w:szCs w:val="18"/>
              </w:rPr>
            </w:pPr>
            <w:r w:rsidRPr="00D207EA">
              <w:rPr>
                <w:b/>
                <w:noProof/>
                <w:sz w:val="18"/>
              </w:rPr>
              <w:t>2032</w:t>
            </w:r>
          </w:p>
        </w:tc>
        <w:tc>
          <w:tcPr>
            <w:tcW w:w="392" w:type="pct"/>
            <w:tcBorders>
              <w:top w:val="nil"/>
              <w:left w:val="nil"/>
              <w:bottom w:val="single" w:sz="8" w:space="0" w:color="auto"/>
              <w:right w:val="single" w:sz="8" w:space="0" w:color="auto"/>
            </w:tcBorders>
            <w:vAlign w:val="center"/>
            <w:hideMark/>
          </w:tcPr>
          <w:p w14:paraId="62BD3397" w14:textId="77777777" w:rsidR="00373731" w:rsidRPr="00D207EA" w:rsidRDefault="00373731" w:rsidP="00812AD2">
            <w:pPr>
              <w:spacing w:before="0" w:after="0"/>
              <w:jc w:val="center"/>
              <w:rPr>
                <w:rFonts w:eastAsia="Times New Roman"/>
                <w:b/>
                <w:bCs/>
                <w:noProof/>
                <w:sz w:val="18"/>
                <w:szCs w:val="18"/>
              </w:rPr>
            </w:pPr>
            <w:r w:rsidRPr="00D207EA">
              <w:rPr>
                <w:b/>
                <w:noProof/>
                <w:sz w:val="18"/>
              </w:rPr>
              <w:t>2033</w:t>
            </w:r>
          </w:p>
        </w:tc>
        <w:tc>
          <w:tcPr>
            <w:tcW w:w="392" w:type="pct"/>
            <w:tcBorders>
              <w:top w:val="nil"/>
              <w:left w:val="nil"/>
              <w:bottom w:val="single" w:sz="8" w:space="0" w:color="auto"/>
              <w:right w:val="single" w:sz="8" w:space="0" w:color="auto"/>
            </w:tcBorders>
            <w:vAlign w:val="center"/>
            <w:hideMark/>
          </w:tcPr>
          <w:p w14:paraId="0F710E5C" w14:textId="77777777" w:rsidR="00373731" w:rsidRPr="00D207EA" w:rsidRDefault="00373731" w:rsidP="00812AD2">
            <w:pPr>
              <w:spacing w:before="0" w:after="0"/>
              <w:jc w:val="center"/>
              <w:rPr>
                <w:rFonts w:eastAsia="Times New Roman"/>
                <w:b/>
                <w:bCs/>
                <w:noProof/>
                <w:sz w:val="18"/>
                <w:szCs w:val="18"/>
              </w:rPr>
            </w:pPr>
            <w:r w:rsidRPr="00D207EA">
              <w:rPr>
                <w:b/>
                <w:noProof/>
                <w:sz w:val="18"/>
              </w:rPr>
              <w:t>2034</w:t>
            </w:r>
          </w:p>
        </w:tc>
        <w:tc>
          <w:tcPr>
            <w:tcW w:w="396" w:type="pct"/>
            <w:vMerge/>
            <w:tcBorders>
              <w:top w:val="single" w:sz="8" w:space="0" w:color="auto"/>
              <w:left w:val="single" w:sz="8" w:space="0" w:color="auto"/>
              <w:bottom w:val="nil"/>
              <w:right w:val="single" w:sz="8" w:space="0" w:color="auto"/>
            </w:tcBorders>
            <w:vAlign w:val="center"/>
            <w:hideMark/>
          </w:tcPr>
          <w:p w14:paraId="7F40A57A" w14:textId="77777777" w:rsidR="00373731" w:rsidRPr="00D207EA" w:rsidRDefault="00373731" w:rsidP="00812AD2">
            <w:pPr>
              <w:spacing w:before="0" w:after="0"/>
              <w:jc w:val="left"/>
              <w:rPr>
                <w:rFonts w:eastAsia="Times New Roman"/>
                <w:b/>
                <w:bCs/>
                <w:noProof/>
                <w:sz w:val="18"/>
                <w:szCs w:val="18"/>
                <w:lang w:eastAsia="zh-CN"/>
              </w:rPr>
            </w:pPr>
          </w:p>
        </w:tc>
      </w:tr>
      <w:tr w:rsidR="00373731" w:rsidRPr="00D207EA" w14:paraId="3B4ACB9B" w14:textId="77777777" w:rsidTr="00373731">
        <w:trPr>
          <w:trHeight w:val="555"/>
        </w:trPr>
        <w:tc>
          <w:tcPr>
            <w:tcW w:w="1381" w:type="pct"/>
            <w:tcBorders>
              <w:top w:val="single" w:sz="8" w:space="0" w:color="auto"/>
              <w:left w:val="single" w:sz="8" w:space="0" w:color="auto"/>
              <w:bottom w:val="single" w:sz="8" w:space="0" w:color="auto"/>
              <w:right w:val="nil"/>
            </w:tcBorders>
            <w:shd w:val="clear" w:color="000000" w:fill="C0C0C0"/>
            <w:vAlign w:val="center"/>
            <w:hideMark/>
          </w:tcPr>
          <w:p w14:paraId="57CC467E" w14:textId="77777777" w:rsidR="00373731" w:rsidRPr="00D207EA" w:rsidRDefault="00373731" w:rsidP="00812AD2">
            <w:pPr>
              <w:spacing w:before="0" w:after="0"/>
              <w:jc w:val="center"/>
              <w:rPr>
                <w:rFonts w:eastAsia="Times New Roman"/>
                <w:b/>
                <w:bCs/>
                <w:noProof/>
                <w:sz w:val="18"/>
                <w:szCs w:val="18"/>
              </w:rPr>
            </w:pPr>
            <w:r w:rsidRPr="00D207EA">
              <w:rPr>
                <w:b/>
                <w:noProof/>
                <w:sz w:val="18"/>
              </w:rPr>
              <w:t>TOTAL des crédits</w:t>
            </w:r>
            <w:r w:rsidRPr="00D207EA">
              <w:rPr>
                <w:b/>
                <w:noProof/>
                <w:sz w:val="18"/>
              </w:rPr>
              <w:br/>
              <w:t>pour les RUBRIQUES 1 à 4</w:t>
            </w:r>
          </w:p>
        </w:tc>
        <w:tc>
          <w:tcPr>
            <w:tcW w:w="476" w:type="pct"/>
            <w:tcBorders>
              <w:top w:val="single" w:sz="8" w:space="0" w:color="auto"/>
              <w:left w:val="single" w:sz="8" w:space="0" w:color="auto"/>
              <w:bottom w:val="single" w:sz="8" w:space="0" w:color="auto"/>
              <w:right w:val="single" w:sz="8" w:space="0" w:color="auto"/>
            </w:tcBorders>
            <w:vAlign w:val="center"/>
            <w:hideMark/>
          </w:tcPr>
          <w:p w14:paraId="52B93C32" w14:textId="77777777" w:rsidR="00373731" w:rsidRPr="00D207EA" w:rsidRDefault="00373731" w:rsidP="00812AD2">
            <w:pPr>
              <w:spacing w:before="0" w:after="0"/>
              <w:rPr>
                <w:rFonts w:eastAsia="Times New Roman"/>
                <w:noProof/>
                <w:sz w:val="18"/>
                <w:szCs w:val="18"/>
              </w:rPr>
            </w:pPr>
            <w:r w:rsidRPr="00D207EA">
              <w:rPr>
                <w:noProof/>
                <w:sz w:val="18"/>
              </w:rPr>
              <w:t>Engagements</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7471DA3" w14:textId="77777777" w:rsidR="00373731" w:rsidRPr="00D207EA" w:rsidRDefault="00373731" w:rsidP="00812AD2">
            <w:pPr>
              <w:spacing w:before="0" w:after="0"/>
              <w:jc w:val="right"/>
              <w:rPr>
                <w:rFonts w:eastAsia="Times New Roman"/>
                <w:b/>
                <w:bCs/>
                <w:noProof/>
                <w:sz w:val="18"/>
                <w:szCs w:val="18"/>
              </w:rPr>
            </w:pPr>
            <w:r w:rsidRPr="00D207EA">
              <w:rPr>
                <w:b/>
                <w:noProof/>
                <w:color w:val="000000"/>
                <w:sz w:val="18"/>
              </w:rPr>
              <w:t>136 033,013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E48B706" w14:textId="77777777" w:rsidR="00373731" w:rsidRPr="00D207EA" w:rsidRDefault="00373731" w:rsidP="00812AD2">
            <w:pPr>
              <w:spacing w:before="0" w:after="0"/>
              <w:jc w:val="right"/>
              <w:rPr>
                <w:rFonts w:eastAsia="Times New Roman"/>
                <w:b/>
                <w:bCs/>
                <w:noProof/>
                <w:sz w:val="18"/>
                <w:szCs w:val="18"/>
              </w:rPr>
            </w:pPr>
            <w:r w:rsidRPr="00D207EA">
              <w:rPr>
                <w:b/>
                <w:noProof/>
                <w:color w:val="000000"/>
                <w:sz w:val="18"/>
              </w:rPr>
              <w:t>133 596,013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6A265F3" w14:textId="77777777" w:rsidR="00373731" w:rsidRPr="00D207EA" w:rsidRDefault="00373731" w:rsidP="00812AD2">
            <w:pPr>
              <w:spacing w:before="0" w:after="0"/>
              <w:jc w:val="right"/>
              <w:rPr>
                <w:rFonts w:eastAsia="Times New Roman"/>
                <w:b/>
                <w:bCs/>
                <w:noProof/>
                <w:sz w:val="18"/>
                <w:szCs w:val="18"/>
              </w:rPr>
            </w:pPr>
            <w:r w:rsidRPr="00D207EA">
              <w:rPr>
                <w:b/>
                <w:noProof/>
                <w:color w:val="000000"/>
                <w:sz w:val="18"/>
              </w:rPr>
              <w:t>130 593,013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2E1662" w14:textId="77777777" w:rsidR="00373731" w:rsidRPr="00D207EA" w:rsidRDefault="00373731" w:rsidP="00812AD2">
            <w:pPr>
              <w:spacing w:before="0" w:after="0"/>
              <w:jc w:val="right"/>
              <w:rPr>
                <w:rFonts w:eastAsia="Times New Roman"/>
                <w:b/>
                <w:bCs/>
                <w:noProof/>
                <w:sz w:val="18"/>
                <w:szCs w:val="18"/>
              </w:rPr>
            </w:pPr>
            <w:r w:rsidRPr="00D207EA">
              <w:rPr>
                <w:b/>
                <w:noProof/>
                <w:color w:val="000000"/>
                <w:sz w:val="18"/>
              </w:rPr>
              <w:t>127 873,013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1D983A" w14:textId="77777777" w:rsidR="00373731" w:rsidRPr="00D207EA" w:rsidRDefault="00373731" w:rsidP="00812AD2">
            <w:pPr>
              <w:spacing w:before="0" w:after="0"/>
              <w:jc w:val="right"/>
              <w:rPr>
                <w:rFonts w:eastAsia="Times New Roman"/>
                <w:b/>
                <w:bCs/>
                <w:noProof/>
                <w:sz w:val="18"/>
                <w:szCs w:val="18"/>
              </w:rPr>
            </w:pPr>
            <w:r w:rsidRPr="00D207EA">
              <w:rPr>
                <w:b/>
                <w:noProof/>
                <w:color w:val="000000"/>
                <w:sz w:val="18"/>
              </w:rPr>
              <w:t>124 341,013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65AEC1" w14:textId="77777777" w:rsidR="00373731" w:rsidRPr="00D207EA" w:rsidRDefault="00373731" w:rsidP="00812AD2">
            <w:pPr>
              <w:spacing w:before="0" w:after="0"/>
              <w:jc w:val="right"/>
              <w:rPr>
                <w:rFonts w:eastAsia="Times New Roman"/>
                <w:b/>
                <w:bCs/>
                <w:noProof/>
                <w:sz w:val="18"/>
                <w:szCs w:val="18"/>
              </w:rPr>
            </w:pPr>
            <w:r w:rsidRPr="00D207EA">
              <w:rPr>
                <w:b/>
                <w:noProof/>
                <w:color w:val="000000"/>
                <w:sz w:val="18"/>
              </w:rPr>
              <w:t>111 997,013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EDF91A" w14:textId="77777777" w:rsidR="00373731" w:rsidRPr="00D207EA" w:rsidRDefault="00373731" w:rsidP="00812AD2">
            <w:pPr>
              <w:spacing w:before="0" w:after="0"/>
              <w:jc w:val="right"/>
              <w:rPr>
                <w:rFonts w:eastAsia="Times New Roman"/>
                <w:b/>
                <w:bCs/>
                <w:noProof/>
                <w:sz w:val="18"/>
                <w:szCs w:val="18"/>
              </w:rPr>
            </w:pPr>
            <w:r w:rsidRPr="00D207EA">
              <w:rPr>
                <w:b/>
                <w:noProof/>
                <w:color w:val="000000"/>
                <w:sz w:val="18"/>
              </w:rPr>
              <w:t>103 877,013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77A563A" w14:textId="77777777" w:rsidR="00373731" w:rsidRPr="00D207EA" w:rsidRDefault="00373731" w:rsidP="00812AD2">
            <w:pPr>
              <w:spacing w:before="0" w:after="0"/>
              <w:jc w:val="right"/>
              <w:rPr>
                <w:rFonts w:eastAsia="Times New Roman"/>
                <w:b/>
                <w:bCs/>
                <w:noProof/>
                <w:sz w:val="18"/>
                <w:szCs w:val="18"/>
              </w:rPr>
            </w:pPr>
            <w:r w:rsidRPr="00D207EA">
              <w:rPr>
                <w:b/>
                <w:noProof/>
                <w:color w:val="000000"/>
                <w:sz w:val="18"/>
              </w:rPr>
              <w:t>868 310,091</w:t>
            </w:r>
          </w:p>
        </w:tc>
      </w:tr>
      <w:tr w:rsidR="00373731" w:rsidRPr="00D207EA" w14:paraId="199B8D44" w14:textId="77777777" w:rsidTr="00373731">
        <w:trPr>
          <w:trHeight w:val="540"/>
        </w:trPr>
        <w:tc>
          <w:tcPr>
            <w:tcW w:w="1381" w:type="pct"/>
            <w:tcBorders>
              <w:top w:val="single" w:sz="8" w:space="0" w:color="auto"/>
              <w:left w:val="single" w:sz="8" w:space="0" w:color="auto"/>
              <w:bottom w:val="single" w:sz="8" w:space="0" w:color="auto"/>
              <w:right w:val="nil"/>
            </w:tcBorders>
            <w:shd w:val="clear" w:color="000000" w:fill="C0C0C0"/>
            <w:vAlign w:val="center"/>
            <w:hideMark/>
          </w:tcPr>
          <w:p w14:paraId="3F71DFA9" w14:textId="49DD40D5" w:rsidR="00373731" w:rsidRPr="00D207EA" w:rsidRDefault="00373731" w:rsidP="00812AD2">
            <w:pPr>
              <w:spacing w:before="0" w:after="0"/>
              <w:jc w:val="center"/>
              <w:rPr>
                <w:rFonts w:eastAsia="Times New Roman"/>
                <w:noProof/>
                <w:sz w:val="18"/>
                <w:szCs w:val="18"/>
              </w:rPr>
            </w:pPr>
            <w:r w:rsidRPr="00D207EA">
              <w:rPr>
                <w:noProof/>
                <w:sz w:val="18"/>
              </w:rPr>
              <w:t>du cadre financier pluriannuel</w:t>
            </w:r>
          </w:p>
        </w:tc>
        <w:tc>
          <w:tcPr>
            <w:tcW w:w="476" w:type="pct"/>
            <w:tcBorders>
              <w:top w:val="single" w:sz="8" w:space="0" w:color="auto"/>
              <w:left w:val="single" w:sz="8" w:space="0" w:color="auto"/>
              <w:bottom w:val="single" w:sz="8" w:space="0" w:color="auto"/>
              <w:right w:val="single" w:sz="8" w:space="0" w:color="auto"/>
            </w:tcBorders>
            <w:vAlign w:val="center"/>
            <w:hideMark/>
          </w:tcPr>
          <w:p w14:paraId="0E9E34E2" w14:textId="77777777" w:rsidR="00373731" w:rsidRPr="00D207EA" w:rsidRDefault="00373731" w:rsidP="00812AD2">
            <w:pPr>
              <w:spacing w:before="0" w:after="0"/>
              <w:rPr>
                <w:rFonts w:eastAsia="Times New Roman"/>
                <w:noProof/>
                <w:sz w:val="18"/>
                <w:szCs w:val="18"/>
              </w:rPr>
            </w:pPr>
            <w:r w:rsidRPr="00D207EA">
              <w:rPr>
                <w:noProof/>
                <w:sz w:val="18"/>
              </w:rPr>
              <w:t>Paiements</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5F7773" w14:textId="77777777" w:rsidR="00373731" w:rsidRPr="00D207EA" w:rsidRDefault="00373731" w:rsidP="00812AD2">
            <w:pPr>
              <w:spacing w:before="0" w:after="0"/>
              <w:jc w:val="right"/>
              <w:rPr>
                <w:rFonts w:eastAsia="Times New Roman"/>
                <w:b/>
                <w:bCs/>
                <w:noProof/>
                <w:sz w:val="18"/>
                <w:szCs w:val="18"/>
              </w:rPr>
            </w:pPr>
            <w:r w:rsidRPr="00D207EA">
              <w:rPr>
                <w:b/>
                <w:noProof/>
                <w:sz w:val="18"/>
              </w:rPr>
              <w:t>p.m.</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7765D34" w14:textId="77777777" w:rsidR="00373731" w:rsidRPr="00D207EA" w:rsidRDefault="00373731" w:rsidP="00812AD2">
            <w:pPr>
              <w:spacing w:before="0" w:after="0"/>
              <w:jc w:val="right"/>
              <w:rPr>
                <w:rFonts w:eastAsia="Times New Roman"/>
                <w:b/>
                <w:bCs/>
                <w:noProof/>
                <w:sz w:val="18"/>
                <w:szCs w:val="18"/>
                <w:lang w:eastAsia="zh-CN"/>
              </w:rPr>
            </w:pP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E27959" w14:textId="77777777" w:rsidR="00373731" w:rsidRPr="00D207EA" w:rsidRDefault="00373731" w:rsidP="00812AD2">
            <w:pPr>
              <w:spacing w:before="0" w:after="0"/>
              <w:jc w:val="right"/>
              <w:rPr>
                <w:rFonts w:eastAsia="Times New Roman"/>
                <w:noProof/>
                <w:sz w:val="18"/>
                <w:szCs w:val="18"/>
                <w:lang w:eastAsia="zh-CN"/>
              </w:rPr>
            </w:pP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555FCB6" w14:textId="77777777" w:rsidR="00373731" w:rsidRPr="00D207EA" w:rsidRDefault="00373731" w:rsidP="00812AD2">
            <w:pPr>
              <w:spacing w:before="0" w:after="0"/>
              <w:jc w:val="right"/>
              <w:rPr>
                <w:rFonts w:eastAsia="Times New Roman"/>
                <w:noProof/>
                <w:sz w:val="18"/>
                <w:szCs w:val="18"/>
                <w:lang w:eastAsia="zh-CN"/>
              </w:rPr>
            </w:pP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ECCA07F" w14:textId="77777777" w:rsidR="00373731" w:rsidRPr="00D207EA" w:rsidRDefault="00373731" w:rsidP="00812AD2">
            <w:pPr>
              <w:spacing w:before="0" w:after="0"/>
              <w:jc w:val="right"/>
              <w:rPr>
                <w:rFonts w:eastAsia="Times New Roman"/>
                <w:noProof/>
                <w:sz w:val="18"/>
                <w:szCs w:val="18"/>
                <w:lang w:eastAsia="zh-CN"/>
              </w:rPr>
            </w:pP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35DB77" w14:textId="77777777" w:rsidR="00373731" w:rsidRPr="00D207EA" w:rsidRDefault="00373731" w:rsidP="00812AD2">
            <w:pPr>
              <w:spacing w:before="0" w:after="0"/>
              <w:jc w:val="right"/>
              <w:rPr>
                <w:rFonts w:eastAsia="Times New Roman"/>
                <w:noProof/>
                <w:sz w:val="18"/>
                <w:szCs w:val="18"/>
                <w:lang w:eastAsia="zh-CN"/>
              </w:rPr>
            </w:pP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C3127F7" w14:textId="77777777" w:rsidR="00373731" w:rsidRPr="00D207EA" w:rsidRDefault="00373731" w:rsidP="00812AD2">
            <w:pPr>
              <w:spacing w:before="0" w:after="0"/>
              <w:jc w:val="right"/>
              <w:rPr>
                <w:rFonts w:eastAsia="Times New Roman"/>
                <w:noProof/>
                <w:sz w:val="18"/>
                <w:szCs w:val="18"/>
                <w:lang w:eastAsia="zh-CN"/>
              </w:rPr>
            </w:pP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4D7105D" w14:textId="77777777" w:rsidR="00373731" w:rsidRPr="00D207EA" w:rsidRDefault="00373731" w:rsidP="00812AD2">
            <w:pPr>
              <w:spacing w:before="0" w:after="0"/>
              <w:jc w:val="right"/>
              <w:rPr>
                <w:rFonts w:eastAsia="Times New Roman"/>
                <w:noProof/>
                <w:sz w:val="18"/>
                <w:szCs w:val="18"/>
                <w:lang w:eastAsia="zh-CN"/>
              </w:rPr>
            </w:pPr>
          </w:p>
        </w:tc>
      </w:tr>
    </w:tbl>
    <w:p w14:paraId="7F871622" w14:textId="77777777" w:rsidR="004A489F" w:rsidRPr="00D207EA" w:rsidRDefault="004A489F" w:rsidP="004A489F">
      <w:pPr>
        <w:pStyle w:val="Text1"/>
        <w:ind w:left="0"/>
        <w:rPr>
          <w:noProof/>
        </w:rPr>
      </w:pPr>
    </w:p>
    <w:p w14:paraId="7C690B89" w14:textId="77777777" w:rsidR="004A489F" w:rsidRPr="00D207EA" w:rsidRDefault="004A489F" w:rsidP="004A489F">
      <w:pPr>
        <w:pStyle w:val="ManualHeading3"/>
        <w:rPr>
          <w:noProof/>
        </w:rPr>
      </w:pPr>
      <w:r w:rsidRPr="00D207EA">
        <w:rPr>
          <w:noProof/>
        </w:rPr>
        <w:t>3.2.1.2.</w:t>
      </w:r>
      <w:r w:rsidRPr="00D207EA">
        <w:rPr>
          <w:noProof/>
        </w:rPr>
        <w:tab/>
        <w:t>Crédits issus de recettes affectées externes</w:t>
      </w:r>
      <w:bookmarkEnd w:id="159"/>
      <w:bookmarkEnd w:id="160"/>
      <w:bookmarkEnd w:id="1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3227"/>
        <w:gridCol w:w="1370"/>
        <w:gridCol w:w="1569"/>
        <w:gridCol w:w="1027"/>
        <w:gridCol w:w="1027"/>
        <w:gridCol w:w="1027"/>
        <w:gridCol w:w="956"/>
        <w:gridCol w:w="956"/>
        <w:gridCol w:w="956"/>
        <w:gridCol w:w="956"/>
        <w:gridCol w:w="1149"/>
      </w:tblGrid>
      <w:tr w:rsidR="009848BD" w:rsidRPr="00D207EA" w14:paraId="095DC562" w14:textId="77777777" w:rsidTr="00812AD2">
        <w:trPr>
          <w:trHeight w:val="420"/>
        </w:trPr>
        <w:tc>
          <w:tcPr>
            <w:tcW w:w="2168" w:type="pct"/>
            <w:gridSpan w:val="3"/>
            <w:vMerge w:val="restart"/>
            <w:vAlign w:val="center"/>
            <w:hideMark/>
          </w:tcPr>
          <w:p w14:paraId="64EC8A44" w14:textId="77777777" w:rsidR="009848BD" w:rsidRPr="00D207EA" w:rsidRDefault="009848BD" w:rsidP="00812AD2">
            <w:pPr>
              <w:spacing w:before="0" w:after="0"/>
              <w:jc w:val="center"/>
              <w:rPr>
                <w:rFonts w:eastAsia="Times New Roman"/>
                <w:noProof/>
                <w:sz w:val="18"/>
                <w:szCs w:val="18"/>
              </w:rPr>
            </w:pPr>
            <w:bookmarkStart w:id="162" w:name="_Toc514938054"/>
            <w:bookmarkStart w:id="163" w:name="_Toc520485053"/>
            <w:bookmarkStart w:id="164" w:name="_Toc160804597"/>
            <w:bookmarkStart w:id="165" w:name="_Toc167220289"/>
            <w:bookmarkStart w:id="166" w:name="_Toc177549022"/>
            <w:r w:rsidRPr="00D207EA">
              <w:rPr>
                <w:noProof/>
                <w:sz w:val="18"/>
              </w:rPr>
              <w:t>Fonds social pour le climat</w:t>
            </w:r>
          </w:p>
        </w:tc>
        <w:tc>
          <w:tcPr>
            <w:tcW w:w="361" w:type="pct"/>
            <w:vAlign w:val="center"/>
            <w:hideMark/>
          </w:tcPr>
          <w:p w14:paraId="61814A83" w14:textId="77777777" w:rsidR="009848BD" w:rsidRPr="00D207EA" w:rsidRDefault="009848BD" w:rsidP="00812AD2">
            <w:pPr>
              <w:spacing w:before="0" w:after="0"/>
              <w:jc w:val="center"/>
              <w:rPr>
                <w:rFonts w:eastAsia="Times New Roman"/>
                <w:noProof/>
                <w:sz w:val="18"/>
                <w:szCs w:val="18"/>
              </w:rPr>
            </w:pPr>
            <w:r w:rsidRPr="00D207EA">
              <w:rPr>
                <w:noProof/>
                <w:sz w:val="18"/>
              </w:rPr>
              <w:t>Année</w:t>
            </w:r>
          </w:p>
        </w:tc>
        <w:tc>
          <w:tcPr>
            <w:tcW w:w="361" w:type="pct"/>
            <w:vAlign w:val="center"/>
            <w:hideMark/>
          </w:tcPr>
          <w:p w14:paraId="38146E70" w14:textId="77777777" w:rsidR="009848BD" w:rsidRPr="00D207EA" w:rsidRDefault="009848BD" w:rsidP="00812AD2">
            <w:pPr>
              <w:spacing w:before="0" w:after="0"/>
              <w:jc w:val="center"/>
              <w:rPr>
                <w:rFonts w:eastAsia="Times New Roman"/>
                <w:noProof/>
                <w:sz w:val="18"/>
                <w:szCs w:val="18"/>
              </w:rPr>
            </w:pPr>
            <w:r w:rsidRPr="00D207EA">
              <w:rPr>
                <w:noProof/>
                <w:sz w:val="18"/>
              </w:rPr>
              <w:t>Année</w:t>
            </w:r>
          </w:p>
        </w:tc>
        <w:tc>
          <w:tcPr>
            <w:tcW w:w="361" w:type="pct"/>
            <w:vAlign w:val="center"/>
            <w:hideMark/>
          </w:tcPr>
          <w:p w14:paraId="02DD9948" w14:textId="77777777" w:rsidR="009848BD" w:rsidRPr="00D207EA" w:rsidRDefault="009848BD" w:rsidP="00812AD2">
            <w:pPr>
              <w:spacing w:before="0" w:after="0"/>
              <w:jc w:val="center"/>
              <w:rPr>
                <w:rFonts w:eastAsia="Times New Roman"/>
                <w:noProof/>
                <w:sz w:val="18"/>
                <w:szCs w:val="18"/>
              </w:rPr>
            </w:pPr>
            <w:r w:rsidRPr="00D207EA">
              <w:rPr>
                <w:noProof/>
                <w:sz w:val="18"/>
              </w:rPr>
              <w:t>Année</w:t>
            </w:r>
          </w:p>
        </w:tc>
        <w:tc>
          <w:tcPr>
            <w:tcW w:w="336" w:type="pct"/>
            <w:vAlign w:val="center"/>
            <w:hideMark/>
          </w:tcPr>
          <w:p w14:paraId="0A4E036D" w14:textId="77777777" w:rsidR="009848BD" w:rsidRPr="00D207EA" w:rsidRDefault="009848BD" w:rsidP="00812AD2">
            <w:pPr>
              <w:spacing w:before="0" w:after="0"/>
              <w:jc w:val="center"/>
              <w:rPr>
                <w:rFonts w:eastAsia="Times New Roman"/>
                <w:noProof/>
                <w:sz w:val="18"/>
                <w:szCs w:val="18"/>
              </w:rPr>
            </w:pPr>
            <w:r w:rsidRPr="00D207EA">
              <w:rPr>
                <w:noProof/>
                <w:sz w:val="18"/>
              </w:rPr>
              <w:t>Année</w:t>
            </w:r>
          </w:p>
        </w:tc>
        <w:tc>
          <w:tcPr>
            <w:tcW w:w="336" w:type="pct"/>
            <w:vAlign w:val="center"/>
            <w:hideMark/>
          </w:tcPr>
          <w:p w14:paraId="6DE61CC7" w14:textId="77777777" w:rsidR="009848BD" w:rsidRPr="00D207EA" w:rsidRDefault="009848BD" w:rsidP="00812AD2">
            <w:pPr>
              <w:spacing w:before="0" w:after="0"/>
              <w:jc w:val="center"/>
              <w:rPr>
                <w:rFonts w:eastAsia="Times New Roman"/>
                <w:noProof/>
                <w:sz w:val="18"/>
                <w:szCs w:val="18"/>
              </w:rPr>
            </w:pPr>
            <w:r w:rsidRPr="00D207EA">
              <w:rPr>
                <w:noProof/>
                <w:sz w:val="18"/>
              </w:rPr>
              <w:t>Année</w:t>
            </w:r>
          </w:p>
        </w:tc>
        <w:tc>
          <w:tcPr>
            <w:tcW w:w="336" w:type="pct"/>
            <w:vAlign w:val="center"/>
            <w:hideMark/>
          </w:tcPr>
          <w:p w14:paraId="2FEAE742" w14:textId="77777777" w:rsidR="009848BD" w:rsidRPr="00D207EA" w:rsidRDefault="009848BD" w:rsidP="00812AD2">
            <w:pPr>
              <w:spacing w:before="0" w:after="0"/>
              <w:jc w:val="center"/>
              <w:rPr>
                <w:rFonts w:eastAsia="Times New Roman"/>
                <w:noProof/>
                <w:sz w:val="18"/>
                <w:szCs w:val="18"/>
              </w:rPr>
            </w:pPr>
            <w:r w:rsidRPr="00D207EA">
              <w:rPr>
                <w:noProof/>
                <w:sz w:val="18"/>
              </w:rPr>
              <w:t>Année</w:t>
            </w:r>
          </w:p>
        </w:tc>
        <w:tc>
          <w:tcPr>
            <w:tcW w:w="336" w:type="pct"/>
            <w:vAlign w:val="center"/>
            <w:hideMark/>
          </w:tcPr>
          <w:p w14:paraId="61B6ABF6" w14:textId="77777777" w:rsidR="009848BD" w:rsidRPr="00D207EA" w:rsidRDefault="009848BD" w:rsidP="00812AD2">
            <w:pPr>
              <w:spacing w:before="0" w:after="0"/>
              <w:jc w:val="center"/>
              <w:rPr>
                <w:rFonts w:eastAsia="Times New Roman"/>
                <w:noProof/>
                <w:sz w:val="18"/>
                <w:szCs w:val="18"/>
              </w:rPr>
            </w:pPr>
            <w:r w:rsidRPr="00D207EA">
              <w:rPr>
                <w:noProof/>
                <w:sz w:val="18"/>
              </w:rPr>
              <w:t>Année</w:t>
            </w:r>
          </w:p>
        </w:tc>
        <w:tc>
          <w:tcPr>
            <w:tcW w:w="405" w:type="pct"/>
            <w:vMerge w:val="restart"/>
            <w:vAlign w:val="center"/>
            <w:hideMark/>
          </w:tcPr>
          <w:p w14:paraId="37EFE62B" w14:textId="77777777" w:rsidR="009848BD" w:rsidRPr="00D207EA" w:rsidRDefault="009848BD" w:rsidP="00812AD2">
            <w:pPr>
              <w:spacing w:before="0" w:after="0"/>
              <w:jc w:val="center"/>
              <w:rPr>
                <w:rFonts w:eastAsia="Times New Roman"/>
                <w:b/>
                <w:bCs/>
                <w:noProof/>
                <w:sz w:val="18"/>
                <w:szCs w:val="18"/>
              </w:rPr>
            </w:pPr>
            <w:r w:rsidRPr="00D207EA">
              <w:rPr>
                <w:b/>
                <w:noProof/>
                <w:sz w:val="18"/>
              </w:rPr>
              <w:t>TOTAL CFP</w:t>
            </w:r>
            <w:r w:rsidRPr="00D207EA">
              <w:rPr>
                <w:b/>
                <w:noProof/>
                <w:sz w:val="18"/>
              </w:rPr>
              <w:br/>
              <w:t>2028-2034</w:t>
            </w:r>
          </w:p>
        </w:tc>
      </w:tr>
      <w:tr w:rsidR="009848BD" w:rsidRPr="00D207EA" w14:paraId="065D75D0" w14:textId="77777777" w:rsidTr="00812AD2">
        <w:trPr>
          <w:trHeight w:val="315"/>
        </w:trPr>
        <w:tc>
          <w:tcPr>
            <w:tcW w:w="2168" w:type="pct"/>
            <w:gridSpan w:val="3"/>
            <w:vMerge/>
            <w:vAlign w:val="center"/>
            <w:hideMark/>
          </w:tcPr>
          <w:p w14:paraId="6D69F832" w14:textId="77777777" w:rsidR="009848BD" w:rsidRPr="00D207EA" w:rsidRDefault="009848BD" w:rsidP="00812AD2">
            <w:pPr>
              <w:spacing w:before="0" w:after="0"/>
              <w:jc w:val="left"/>
              <w:rPr>
                <w:rFonts w:eastAsia="Times New Roman"/>
                <w:noProof/>
                <w:sz w:val="18"/>
                <w:szCs w:val="18"/>
                <w:lang w:eastAsia="zh-CN"/>
              </w:rPr>
            </w:pPr>
          </w:p>
        </w:tc>
        <w:tc>
          <w:tcPr>
            <w:tcW w:w="361" w:type="pct"/>
            <w:vAlign w:val="center"/>
            <w:hideMark/>
          </w:tcPr>
          <w:p w14:paraId="15638DD4" w14:textId="77777777" w:rsidR="009848BD" w:rsidRPr="00D207EA" w:rsidRDefault="009848BD" w:rsidP="00812AD2">
            <w:pPr>
              <w:spacing w:before="0" w:after="0"/>
              <w:jc w:val="center"/>
              <w:rPr>
                <w:rFonts w:eastAsia="Times New Roman"/>
                <w:b/>
                <w:bCs/>
                <w:noProof/>
                <w:sz w:val="18"/>
                <w:szCs w:val="18"/>
              </w:rPr>
            </w:pPr>
            <w:r w:rsidRPr="00D207EA">
              <w:rPr>
                <w:b/>
                <w:noProof/>
                <w:sz w:val="18"/>
              </w:rPr>
              <w:t>2028</w:t>
            </w:r>
          </w:p>
        </w:tc>
        <w:tc>
          <w:tcPr>
            <w:tcW w:w="361" w:type="pct"/>
            <w:vAlign w:val="center"/>
            <w:hideMark/>
          </w:tcPr>
          <w:p w14:paraId="2744B4A4" w14:textId="77777777" w:rsidR="009848BD" w:rsidRPr="00D207EA" w:rsidRDefault="009848BD" w:rsidP="00812AD2">
            <w:pPr>
              <w:spacing w:before="0" w:after="0"/>
              <w:jc w:val="center"/>
              <w:rPr>
                <w:rFonts w:eastAsia="Times New Roman"/>
                <w:b/>
                <w:bCs/>
                <w:noProof/>
                <w:sz w:val="18"/>
                <w:szCs w:val="18"/>
              </w:rPr>
            </w:pPr>
            <w:r w:rsidRPr="00D207EA">
              <w:rPr>
                <w:b/>
                <w:noProof/>
                <w:sz w:val="18"/>
              </w:rPr>
              <w:t>2029</w:t>
            </w:r>
          </w:p>
        </w:tc>
        <w:tc>
          <w:tcPr>
            <w:tcW w:w="361" w:type="pct"/>
            <w:vAlign w:val="center"/>
            <w:hideMark/>
          </w:tcPr>
          <w:p w14:paraId="11D2BB04" w14:textId="77777777" w:rsidR="009848BD" w:rsidRPr="00D207EA" w:rsidRDefault="009848BD" w:rsidP="00812AD2">
            <w:pPr>
              <w:spacing w:before="0" w:after="0"/>
              <w:jc w:val="center"/>
              <w:rPr>
                <w:rFonts w:eastAsia="Times New Roman"/>
                <w:b/>
                <w:bCs/>
                <w:noProof/>
                <w:sz w:val="18"/>
                <w:szCs w:val="18"/>
              </w:rPr>
            </w:pPr>
            <w:r w:rsidRPr="00D207EA">
              <w:rPr>
                <w:b/>
                <w:noProof/>
                <w:sz w:val="18"/>
              </w:rPr>
              <w:t>2030</w:t>
            </w:r>
          </w:p>
        </w:tc>
        <w:tc>
          <w:tcPr>
            <w:tcW w:w="336" w:type="pct"/>
            <w:vAlign w:val="center"/>
            <w:hideMark/>
          </w:tcPr>
          <w:p w14:paraId="5C5D4E36" w14:textId="77777777" w:rsidR="009848BD" w:rsidRPr="00D207EA" w:rsidRDefault="009848BD" w:rsidP="00812AD2">
            <w:pPr>
              <w:spacing w:before="0" w:after="0"/>
              <w:jc w:val="center"/>
              <w:rPr>
                <w:rFonts w:eastAsia="Times New Roman"/>
                <w:b/>
                <w:bCs/>
                <w:noProof/>
                <w:sz w:val="18"/>
                <w:szCs w:val="18"/>
              </w:rPr>
            </w:pPr>
            <w:r w:rsidRPr="00D207EA">
              <w:rPr>
                <w:b/>
                <w:noProof/>
                <w:sz w:val="18"/>
              </w:rPr>
              <w:t>2031</w:t>
            </w:r>
          </w:p>
        </w:tc>
        <w:tc>
          <w:tcPr>
            <w:tcW w:w="336" w:type="pct"/>
            <w:vAlign w:val="center"/>
            <w:hideMark/>
          </w:tcPr>
          <w:p w14:paraId="028E4B95" w14:textId="77777777" w:rsidR="009848BD" w:rsidRPr="00D207EA" w:rsidRDefault="009848BD" w:rsidP="00812AD2">
            <w:pPr>
              <w:spacing w:before="0" w:after="0"/>
              <w:jc w:val="center"/>
              <w:rPr>
                <w:rFonts w:eastAsia="Times New Roman"/>
                <w:b/>
                <w:bCs/>
                <w:noProof/>
                <w:sz w:val="18"/>
                <w:szCs w:val="18"/>
              </w:rPr>
            </w:pPr>
            <w:r w:rsidRPr="00D207EA">
              <w:rPr>
                <w:b/>
                <w:noProof/>
                <w:sz w:val="18"/>
              </w:rPr>
              <w:t>2032</w:t>
            </w:r>
          </w:p>
        </w:tc>
        <w:tc>
          <w:tcPr>
            <w:tcW w:w="336" w:type="pct"/>
            <w:vAlign w:val="center"/>
            <w:hideMark/>
          </w:tcPr>
          <w:p w14:paraId="27F63E11" w14:textId="77777777" w:rsidR="009848BD" w:rsidRPr="00D207EA" w:rsidRDefault="009848BD" w:rsidP="00812AD2">
            <w:pPr>
              <w:spacing w:before="0" w:after="0"/>
              <w:jc w:val="center"/>
              <w:rPr>
                <w:rFonts w:eastAsia="Times New Roman"/>
                <w:b/>
                <w:bCs/>
                <w:noProof/>
                <w:sz w:val="18"/>
                <w:szCs w:val="18"/>
              </w:rPr>
            </w:pPr>
            <w:r w:rsidRPr="00D207EA">
              <w:rPr>
                <w:b/>
                <w:noProof/>
                <w:sz w:val="18"/>
              </w:rPr>
              <w:t>2033</w:t>
            </w:r>
          </w:p>
        </w:tc>
        <w:tc>
          <w:tcPr>
            <w:tcW w:w="336" w:type="pct"/>
            <w:vAlign w:val="center"/>
            <w:hideMark/>
          </w:tcPr>
          <w:p w14:paraId="2CB7C8BA" w14:textId="77777777" w:rsidR="009848BD" w:rsidRPr="00D207EA" w:rsidRDefault="009848BD" w:rsidP="00812AD2">
            <w:pPr>
              <w:spacing w:before="0" w:after="0"/>
              <w:jc w:val="center"/>
              <w:rPr>
                <w:rFonts w:eastAsia="Times New Roman"/>
                <w:b/>
                <w:bCs/>
                <w:noProof/>
                <w:sz w:val="18"/>
                <w:szCs w:val="18"/>
              </w:rPr>
            </w:pPr>
            <w:r w:rsidRPr="00D207EA">
              <w:rPr>
                <w:b/>
                <w:noProof/>
                <w:sz w:val="18"/>
              </w:rPr>
              <w:t>2034</w:t>
            </w:r>
          </w:p>
        </w:tc>
        <w:tc>
          <w:tcPr>
            <w:tcW w:w="405" w:type="pct"/>
            <w:vMerge/>
            <w:vAlign w:val="center"/>
            <w:hideMark/>
          </w:tcPr>
          <w:p w14:paraId="219C5B0B" w14:textId="77777777" w:rsidR="009848BD" w:rsidRPr="00D207EA" w:rsidRDefault="009848BD" w:rsidP="00812AD2">
            <w:pPr>
              <w:spacing w:before="0" w:after="0"/>
              <w:jc w:val="left"/>
              <w:rPr>
                <w:rFonts w:eastAsia="Times New Roman"/>
                <w:b/>
                <w:bCs/>
                <w:noProof/>
                <w:sz w:val="18"/>
                <w:szCs w:val="18"/>
                <w:lang w:eastAsia="zh-CN"/>
              </w:rPr>
            </w:pPr>
          </w:p>
        </w:tc>
      </w:tr>
      <w:tr w:rsidR="009848BD" w:rsidRPr="00D207EA" w14:paraId="536B3323" w14:textId="77777777" w:rsidTr="00812AD2">
        <w:trPr>
          <w:trHeight w:val="315"/>
        </w:trPr>
        <w:tc>
          <w:tcPr>
            <w:tcW w:w="2168" w:type="pct"/>
            <w:gridSpan w:val="3"/>
            <w:vAlign w:val="center"/>
            <w:hideMark/>
          </w:tcPr>
          <w:p w14:paraId="4A7D649C" w14:textId="480CF722" w:rsidR="009848BD" w:rsidRPr="00D207EA" w:rsidRDefault="009848BD" w:rsidP="00812AD2">
            <w:pPr>
              <w:spacing w:before="0" w:after="0"/>
              <w:rPr>
                <w:rFonts w:ascii="Wingdings" w:eastAsia="Times New Roman" w:hAnsi="Wingdings" w:cs="Calibri"/>
                <w:noProof/>
                <w:sz w:val="18"/>
                <w:szCs w:val="18"/>
              </w:rPr>
            </w:pPr>
            <w:r w:rsidRPr="00D207EA">
              <w:rPr>
                <w:rFonts w:ascii="Wingdings" w:hAnsi="Wingdings"/>
                <w:noProof/>
                <w:sz w:val="18"/>
              </w:rPr>
              <w:t></w:t>
            </w:r>
            <w:r w:rsidRPr="00D207EA">
              <w:rPr>
                <w:noProof/>
                <w:sz w:val="18"/>
              </w:rPr>
              <w:t xml:space="preserve"> Crédits opérationnels</w:t>
            </w:r>
          </w:p>
        </w:tc>
        <w:tc>
          <w:tcPr>
            <w:tcW w:w="361" w:type="pct"/>
            <w:vAlign w:val="center"/>
            <w:hideMark/>
          </w:tcPr>
          <w:p w14:paraId="4789896A" w14:textId="77777777" w:rsidR="009848BD" w:rsidRPr="00D207EA" w:rsidRDefault="009848BD" w:rsidP="00812AD2">
            <w:pPr>
              <w:spacing w:before="0" w:after="0"/>
              <w:rPr>
                <w:rFonts w:ascii="Wingdings" w:eastAsia="Times New Roman" w:hAnsi="Wingdings" w:cs="Calibri"/>
                <w:noProof/>
                <w:sz w:val="18"/>
                <w:szCs w:val="18"/>
                <w:lang w:eastAsia="zh-CN"/>
              </w:rPr>
            </w:pPr>
          </w:p>
        </w:tc>
        <w:tc>
          <w:tcPr>
            <w:tcW w:w="361" w:type="pct"/>
            <w:vAlign w:val="center"/>
            <w:hideMark/>
          </w:tcPr>
          <w:p w14:paraId="0269920F" w14:textId="77777777" w:rsidR="009848BD" w:rsidRPr="00D207EA" w:rsidRDefault="009848BD" w:rsidP="00812AD2">
            <w:pPr>
              <w:spacing w:before="0" w:after="0"/>
              <w:rPr>
                <w:rFonts w:eastAsia="Times New Roman"/>
                <w:noProof/>
                <w:sz w:val="18"/>
                <w:szCs w:val="18"/>
                <w:lang w:eastAsia="zh-CN"/>
              </w:rPr>
            </w:pPr>
          </w:p>
        </w:tc>
        <w:tc>
          <w:tcPr>
            <w:tcW w:w="361" w:type="pct"/>
            <w:vAlign w:val="center"/>
            <w:hideMark/>
          </w:tcPr>
          <w:p w14:paraId="2715082B" w14:textId="77777777" w:rsidR="009848BD" w:rsidRPr="00D207EA" w:rsidRDefault="009848BD" w:rsidP="00812AD2">
            <w:pPr>
              <w:spacing w:before="0" w:after="0"/>
              <w:rPr>
                <w:rFonts w:eastAsia="Times New Roman"/>
                <w:noProof/>
                <w:sz w:val="18"/>
                <w:szCs w:val="18"/>
                <w:lang w:eastAsia="zh-CN"/>
              </w:rPr>
            </w:pPr>
          </w:p>
        </w:tc>
        <w:tc>
          <w:tcPr>
            <w:tcW w:w="336" w:type="pct"/>
            <w:vAlign w:val="center"/>
            <w:hideMark/>
          </w:tcPr>
          <w:p w14:paraId="6CE70E5F" w14:textId="77777777" w:rsidR="009848BD" w:rsidRPr="00D207EA" w:rsidRDefault="009848BD" w:rsidP="00812AD2">
            <w:pPr>
              <w:spacing w:before="0" w:after="0"/>
              <w:rPr>
                <w:rFonts w:eastAsia="Times New Roman"/>
                <w:noProof/>
                <w:sz w:val="18"/>
                <w:szCs w:val="18"/>
                <w:lang w:eastAsia="zh-CN"/>
              </w:rPr>
            </w:pPr>
          </w:p>
        </w:tc>
        <w:tc>
          <w:tcPr>
            <w:tcW w:w="336" w:type="pct"/>
            <w:vAlign w:val="center"/>
            <w:hideMark/>
          </w:tcPr>
          <w:p w14:paraId="771F3E8E" w14:textId="77777777" w:rsidR="009848BD" w:rsidRPr="00D207EA" w:rsidRDefault="009848BD" w:rsidP="00812AD2">
            <w:pPr>
              <w:spacing w:before="0" w:after="0"/>
              <w:rPr>
                <w:rFonts w:eastAsia="Times New Roman"/>
                <w:noProof/>
                <w:sz w:val="18"/>
                <w:szCs w:val="18"/>
                <w:lang w:eastAsia="zh-CN"/>
              </w:rPr>
            </w:pPr>
          </w:p>
        </w:tc>
        <w:tc>
          <w:tcPr>
            <w:tcW w:w="336" w:type="pct"/>
            <w:vAlign w:val="center"/>
            <w:hideMark/>
          </w:tcPr>
          <w:p w14:paraId="04AFCB18" w14:textId="77777777" w:rsidR="009848BD" w:rsidRPr="00D207EA" w:rsidRDefault="009848BD" w:rsidP="00812AD2">
            <w:pPr>
              <w:spacing w:before="0" w:after="0"/>
              <w:rPr>
                <w:rFonts w:eastAsia="Times New Roman"/>
                <w:noProof/>
                <w:sz w:val="18"/>
                <w:szCs w:val="18"/>
                <w:lang w:eastAsia="zh-CN"/>
              </w:rPr>
            </w:pPr>
          </w:p>
        </w:tc>
        <w:tc>
          <w:tcPr>
            <w:tcW w:w="336" w:type="pct"/>
            <w:vAlign w:val="center"/>
            <w:hideMark/>
          </w:tcPr>
          <w:p w14:paraId="670F14C9" w14:textId="77777777" w:rsidR="009848BD" w:rsidRPr="00D207EA" w:rsidRDefault="009848BD" w:rsidP="00812AD2">
            <w:pPr>
              <w:spacing w:before="0" w:after="0"/>
              <w:rPr>
                <w:rFonts w:eastAsia="Times New Roman"/>
                <w:noProof/>
                <w:sz w:val="18"/>
                <w:szCs w:val="18"/>
                <w:lang w:eastAsia="zh-CN"/>
              </w:rPr>
            </w:pPr>
          </w:p>
        </w:tc>
        <w:tc>
          <w:tcPr>
            <w:tcW w:w="405" w:type="pct"/>
            <w:vAlign w:val="center"/>
            <w:hideMark/>
          </w:tcPr>
          <w:p w14:paraId="489D3E48" w14:textId="77777777" w:rsidR="009848BD" w:rsidRPr="00D207EA" w:rsidRDefault="009848BD" w:rsidP="00812AD2">
            <w:pPr>
              <w:spacing w:before="0" w:after="0"/>
              <w:rPr>
                <w:rFonts w:eastAsia="Times New Roman"/>
                <w:noProof/>
                <w:sz w:val="18"/>
                <w:szCs w:val="18"/>
                <w:lang w:eastAsia="zh-CN"/>
              </w:rPr>
            </w:pPr>
          </w:p>
        </w:tc>
      </w:tr>
      <w:tr w:rsidR="009848BD" w:rsidRPr="00D207EA" w14:paraId="6957394E" w14:textId="77777777" w:rsidTr="00812AD2">
        <w:trPr>
          <w:trHeight w:val="315"/>
        </w:trPr>
        <w:tc>
          <w:tcPr>
            <w:tcW w:w="1135" w:type="pct"/>
            <w:vMerge w:val="restart"/>
            <w:vAlign w:val="center"/>
            <w:hideMark/>
          </w:tcPr>
          <w:p w14:paraId="52959D88" w14:textId="77777777" w:rsidR="009848BD" w:rsidRPr="00D207EA" w:rsidRDefault="009848BD" w:rsidP="00812AD2">
            <w:pPr>
              <w:spacing w:before="0" w:after="0"/>
              <w:jc w:val="left"/>
              <w:rPr>
                <w:rFonts w:eastAsia="Times New Roman"/>
                <w:noProof/>
                <w:sz w:val="18"/>
                <w:szCs w:val="18"/>
              </w:rPr>
            </w:pPr>
            <w:r w:rsidRPr="00D207EA">
              <w:rPr>
                <w:noProof/>
                <w:sz w:val="18"/>
              </w:rPr>
              <w:t>02.02.03 Soutien aux personnes et renforcement des sociétés européennes et du modèle social européen</w:t>
            </w:r>
          </w:p>
        </w:tc>
        <w:tc>
          <w:tcPr>
            <w:tcW w:w="482" w:type="pct"/>
            <w:vAlign w:val="center"/>
            <w:hideMark/>
          </w:tcPr>
          <w:p w14:paraId="50C93FC0" w14:textId="77777777" w:rsidR="009848BD" w:rsidRPr="00D207EA" w:rsidRDefault="009848BD" w:rsidP="00812AD2">
            <w:pPr>
              <w:spacing w:before="0" w:after="0"/>
              <w:rPr>
                <w:rFonts w:eastAsia="Times New Roman"/>
                <w:noProof/>
                <w:sz w:val="18"/>
                <w:szCs w:val="18"/>
              </w:rPr>
            </w:pPr>
            <w:r w:rsidRPr="00D207EA">
              <w:rPr>
                <w:noProof/>
                <w:sz w:val="18"/>
              </w:rPr>
              <w:t>Engagements</w:t>
            </w:r>
          </w:p>
        </w:tc>
        <w:tc>
          <w:tcPr>
            <w:tcW w:w="552" w:type="pct"/>
            <w:vAlign w:val="center"/>
            <w:hideMark/>
          </w:tcPr>
          <w:p w14:paraId="539F7E51" w14:textId="77777777" w:rsidR="009848BD" w:rsidRPr="00D207EA" w:rsidRDefault="009848BD" w:rsidP="00812AD2">
            <w:pPr>
              <w:spacing w:before="0" w:after="0"/>
              <w:jc w:val="center"/>
              <w:rPr>
                <w:rFonts w:eastAsia="Times New Roman"/>
                <w:noProof/>
                <w:sz w:val="18"/>
                <w:szCs w:val="18"/>
              </w:rPr>
            </w:pPr>
            <w:r w:rsidRPr="00D207EA">
              <w:rPr>
                <w:noProof/>
                <w:sz w:val="18"/>
              </w:rPr>
              <w:t>(1a)</w:t>
            </w:r>
          </w:p>
        </w:tc>
        <w:tc>
          <w:tcPr>
            <w:tcW w:w="361" w:type="pct"/>
            <w:vAlign w:val="center"/>
            <w:hideMark/>
          </w:tcPr>
          <w:p w14:paraId="28BDD3E7" w14:textId="77777777" w:rsidR="009848BD" w:rsidRPr="00D207EA" w:rsidRDefault="009848BD" w:rsidP="00812AD2">
            <w:pPr>
              <w:spacing w:before="0" w:after="0"/>
              <w:jc w:val="right"/>
              <w:rPr>
                <w:rFonts w:eastAsia="Times New Roman"/>
                <w:noProof/>
                <w:sz w:val="18"/>
                <w:szCs w:val="18"/>
              </w:rPr>
            </w:pPr>
            <w:r w:rsidRPr="00D207EA">
              <w:rPr>
                <w:noProof/>
                <w:sz w:val="18"/>
              </w:rPr>
              <w:t>10 481,600</w:t>
            </w:r>
          </w:p>
        </w:tc>
        <w:tc>
          <w:tcPr>
            <w:tcW w:w="361" w:type="pct"/>
            <w:vAlign w:val="center"/>
            <w:hideMark/>
          </w:tcPr>
          <w:p w14:paraId="1576FCAB" w14:textId="77777777" w:rsidR="009848BD" w:rsidRPr="00D207EA" w:rsidRDefault="009848BD" w:rsidP="00812AD2">
            <w:pPr>
              <w:spacing w:before="0" w:after="0"/>
              <w:jc w:val="right"/>
              <w:rPr>
                <w:rFonts w:eastAsia="Times New Roman"/>
                <w:noProof/>
                <w:sz w:val="18"/>
                <w:szCs w:val="18"/>
              </w:rPr>
            </w:pPr>
            <w:r w:rsidRPr="00D207EA">
              <w:rPr>
                <w:noProof/>
                <w:sz w:val="18"/>
              </w:rPr>
              <w:t>10 281,600</w:t>
            </w:r>
          </w:p>
        </w:tc>
        <w:tc>
          <w:tcPr>
            <w:tcW w:w="361" w:type="pct"/>
            <w:vAlign w:val="center"/>
            <w:hideMark/>
          </w:tcPr>
          <w:p w14:paraId="10C7E4FF" w14:textId="77777777" w:rsidR="009848BD" w:rsidRPr="00D207EA" w:rsidRDefault="009848BD" w:rsidP="00812AD2">
            <w:pPr>
              <w:spacing w:before="0" w:after="0"/>
              <w:jc w:val="right"/>
              <w:rPr>
                <w:rFonts w:eastAsia="Times New Roman"/>
                <w:noProof/>
                <w:sz w:val="18"/>
                <w:szCs w:val="18"/>
              </w:rPr>
            </w:pPr>
            <w:r w:rsidRPr="00D207EA">
              <w:rPr>
                <w:noProof/>
                <w:sz w:val="18"/>
              </w:rPr>
              <w:t>10 081,600</w:t>
            </w:r>
          </w:p>
        </w:tc>
        <w:tc>
          <w:tcPr>
            <w:tcW w:w="336" w:type="pct"/>
            <w:vAlign w:val="center"/>
            <w:hideMark/>
          </w:tcPr>
          <w:p w14:paraId="5FA8B8F1" w14:textId="77777777" w:rsidR="009848BD" w:rsidRPr="00D207EA" w:rsidRDefault="009848BD" w:rsidP="00812AD2">
            <w:pPr>
              <w:spacing w:before="0" w:after="0"/>
              <w:jc w:val="right"/>
              <w:rPr>
                <w:rFonts w:eastAsia="Times New Roman"/>
                <w:noProof/>
                <w:sz w:val="18"/>
                <w:szCs w:val="18"/>
              </w:rPr>
            </w:pPr>
            <w:r w:rsidRPr="00D207EA">
              <w:rPr>
                <w:noProof/>
                <w:sz w:val="18"/>
              </w:rPr>
              <w:t>9 781,600</w:t>
            </w:r>
          </w:p>
        </w:tc>
        <w:tc>
          <w:tcPr>
            <w:tcW w:w="336" w:type="pct"/>
            <w:vAlign w:val="center"/>
            <w:hideMark/>
          </w:tcPr>
          <w:p w14:paraId="66CBD921" w14:textId="77777777" w:rsidR="009848BD" w:rsidRPr="00D207EA" w:rsidRDefault="009848BD" w:rsidP="00812AD2">
            <w:pPr>
              <w:spacing w:before="0" w:after="0"/>
              <w:jc w:val="right"/>
              <w:rPr>
                <w:rFonts w:eastAsia="Times New Roman"/>
                <w:noProof/>
                <w:sz w:val="18"/>
                <w:szCs w:val="18"/>
              </w:rPr>
            </w:pPr>
            <w:r w:rsidRPr="00D207EA">
              <w:rPr>
                <w:noProof/>
                <w:sz w:val="18"/>
              </w:rPr>
              <w:t>9 381,600</w:t>
            </w:r>
          </w:p>
        </w:tc>
        <w:tc>
          <w:tcPr>
            <w:tcW w:w="336" w:type="pct"/>
            <w:vAlign w:val="center"/>
            <w:hideMark/>
          </w:tcPr>
          <w:p w14:paraId="3555B030" w14:textId="77777777" w:rsidR="009848BD" w:rsidRPr="00D207EA" w:rsidRDefault="009848BD" w:rsidP="00812AD2">
            <w:pPr>
              <w:spacing w:before="0" w:after="0"/>
              <w:jc w:val="right"/>
              <w:rPr>
                <w:rFonts w:eastAsia="Times New Roman"/>
                <w:noProof/>
                <w:sz w:val="18"/>
                <w:szCs w:val="18"/>
                <w:lang w:eastAsia="zh-CN"/>
              </w:rPr>
            </w:pPr>
          </w:p>
        </w:tc>
        <w:tc>
          <w:tcPr>
            <w:tcW w:w="336" w:type="pct"/>
            <w:vAlign w:val="center"/>
            <w:hideMark/>
          </w:tcPr>
          <w:p w14:paraId="3354FC2D" w14:textId="77777777" w:rsidR="009848BD" w:rsidRPr="00D207EA" w:rsidRDefault="009848BD" w:rsidP="00812AD2">
            <w:pPr>
              <w:spacing w:before="0" w:after="0"/>
              <w:jc w:val="right"/>
              <w:rPr>
                <w:rFonts w:eastAsia="Times New Roman"/>
                <w:noProof/>
                <w:sz w:val="18"/>
                <w:szCs w:val="18"/>
                <w:lang w:eastAsia="zh-CN"/>
              </w:rPr>
            </w:pPr>
          </w:p>
        </w:tc>
        <w:tc>
          <w:tcPr>
            <w:tcW w:w="405" w:type="pct"/>
            <w:shd w:val="clear" w:color="000000" w:fill="D0CECE"/>
            <w:vAlign w:val="center"/>
            <w:hideMark/>
          </w:tcPr>
          <w:p w14:paraId="5E5B22E9" w14:textId="77777777" w:rsidR="009848BD" w:rsidRPr="00D207EA" w:rsidRDefault="009848BD" w:rsidP="00812AD2">
            <w:pPr>
              <w:spacing w:before="0" w:after="0"/>
              <w:jc w:val="right"/>
              <w:rPr>
                <w:rFonts w:eastAsia="Times New Roman"/>
                <w:b/>
                <w:bCs/>
                <w:noProof/>
                <w:sz w:val="18"/>
                <w:szCs w:val="18"/>
              </w:rPr>
            </w:pPr>
            <w:r w:rsidRPr="00D207EA">
              <w:rPr>
                <w:b/>
                <w:noProof/>
                <w:sz w:val="18"/>
              </w:rPr>
              <w:t>50 008,000</w:t>
            </w:r>
          </w:p>
        </w:tc>
      </w:tr>
      <w:tr w:rsidR="009848BD" w:rsidRPr="00D207EA" w14:paraId="2022446A" w14:textId="77777777" w:rsidTr="00812AD2">
        <w:trPr>
          <w:trHeight w:val="315"/>
        </w:trPr>
        <w:tc>
          <w:tcPr>
            <w:tcW w:w="1135" w:type="pct"/>
            <w:vMerge/>
            <w:vAlign w:val="center"/>
            <w:hideMark/>
          </w:tcPr>
          <w:p w14:paraId="523E5E6B" w14:textId="77777777" w:rsidR="009848BD" w:rsidRPr="00D207EA" w:rsidRDefault="009848BD" w:rsidP="00812AD2">
            <w:pPr>
              <w:spacing w:before="0" w:after="0"/>
              <w:jc w:val="left"/>
              <w:rPr>
                <w:rFonts w:eastAsia="Times New Roman"/>
                <w:noProof/>
                <w:sz w:val="18"/>
                <w:szCs w:val="18"/>
                <w:lang w:eastAsia="zh-CN"/>
              </w:rPr>
            </w:pPr>
          </w:p>
        </w:tc>
        <w:tc>
          <w:tcPr>
            <w:tcW w:w="482" w:type="pct"/>
            <w:vAlign w:val="center"/>
            <w:hideMark/>
          </w:tcPr>
          <w:p w14:paraId="3DB91D17" w14:textId="77777777" w:rsidR="009848BD" w:rsidRPr="00D207EA" w:rsidRDefault="009848BD" w:rsidP="00812AD2">
            <w:pPr>
              <w:spacing w:before="0" w:after="0"/>
              <w:rPr>
                <w:rFonts w:eastAsia="Times New Roman"/>
                <w:noProof/>
                <w:sz w:val="18"/>
                <w:szCs w:val="18"/>
              </w:rPr>
            </w:pPr>
            <w:r w:rsidRPr="00D207EA">
              <w:rPr>
                <w:noProof/>
                <w:sz w:val="18"/>
              </w:rPr>
              <w:t>Paiements</w:t>
            </w:r>
          </w:p>
        </w:tc>
        <w:tc>
          <w:tcPr>
            <w:tcW w:w="552" w:type="pct"/>
            <w:vAlign w:val="center"/>
            <w:hideMark/>
          </w:tcPr>
          <w:p w14:paraId="019DDC9E" w14:textId="77777777" w:rsidR="009848BD" w:rsidRPr="00D207EA" w:rsidRDefault="009848BD" w:rsidP="00812AD2">
            <w:pPr>
              <w:spacing w:before="0" w:after="0"/>
              <w:jc w:val="center"/>
              <w:rPr>
                <w:rFonts w:eastAsia="Times New Roman"/>
                <w:noProof/>
                <w:sz w:val="18"/>
                <w:szCs w:val="18"/>
              </w:rPr>
            </w:pPr>
            <w:r w:rsidRPr="00D207EA">
              <w:rPr>
                <w:noProof/>
                <w:sz w:val="18"/>
              </w:rPr>
              <w:t>(2a)</w:t>
            </w:r>
          </w:p>
        </w:tc>
        <w:tc>
          <w:tcPr>
            <w:tcW w:w="361" w:type="pct"/>
            <w:vAlign w:val="center"/>
            <w:hideMark/>
          </w:tcPr>
          <w:p w14:paraId="20254409" w14:textId="77777777" w:rsidR="009848BD" w:rsidRPr="00D207EA" w:rsidRDefault="009848BD" w:rsidP="00812AD2">
            <w:pPr>
              <w:spacing w:before="0" w:after="0"/>
              <w:jc w:val="right"/>
              <w:rPr>
                <w:rFonts w:eastAsia="Times New Roman"/>
                <w:noProof/>
                <w:sz w:val="18"/>
                <w:szCs w:val="18"/>
              </w:rPr>
            </w:pPr>
            <w:r w:rsidRPr="00D207EA">
              <w:rPr>
                <w:noProof/>
                <w:sz w:val="18"/>
              </w:rPr>
              <w:t>p.m.</w:t>
            </w:r>
          </w:p>
        </w:tc>
        <w:tc>
          <w:tcPr>
            <w:tcW w:w="361" w:type="pct"/>
            <w:vAlign w:val="center"/>
            <w:hideMark/>
          </w:tcPr>
          <w:p w14:paraId="50AFCE4F" w14:textId="77777777" w:rsidR="009848BD" w:rsidRPr="00D207EA" w:rsidRDefault="009848BD" w:rsidP="00812AD2">
            <w:pPr>
              <w:spacing w:before="0" w:after="0"/>
              <w:jc w:val="right"/>
              <w:rPr>
                <w:rFonts w:eastAsia="Times New Roman"/>
                <w:noProof/>
                <w:sz w:val="18"/>
                <w:szCs w:val="18"/>
              </w:rPr>
            </w:pPr>
            <w:r w:rsidRPr="00D207EA">
              <w:rPr>
                <w:noProof/>
                <w:sz w:val="18"/>
              </w:rPr>
              <w:t>p.m.</w:t>
            </w:r>
          </w:p>
        </w:tc>
        <w:tc>
          <w:tcPr>
            <w:tcW w:w="361" w:type="pct"/>
            <w:vAlign w:val="center"/>
            <w:hideMark/>
          </w:tcPr>
          <w:p w14:paraId="038A8528" w14:textId="77777777" w:rsidR="009848BD" w:rsidRPr="00D207EA" w:rsidRDefault="009848BD" w:rsidP="00812AD2">
            <w:pPr>
              <w:spacing w:before="0" w:after="0"/>
              <w:jc w:val="right"/>
              <w:rPr>
                <w:rFonts w:eastAsia="Times New Roman"/>
                <w:noProof/>
                <w:sz w:val="18"/>
                <w:szCs w:val="18"/>
              </w:rPr>
            </w:pPr>
            <w:r w:rsidRPr="00D207EA">
              <w:rPr>
                <w:noProof/>
                <w:sz w:val="18"/>
              </w:rPr>
              <w:t>p.m.</w:t>
            </w:r>
          </w:p>
        </w:tc>
        <w:tc>
          <w:tcPr>
            <w:tcW w:w="336" w:type="pct"/>
            <w:vAlign w:val="center"/>
            <w:hideMark/>
          </w:tcPr>
          <w:p w14:paraId="7423003B" w14:textId="77777777" w:rsidR="009848BD" w:rsidRPr="00D207EA" w:rsidRDefault="009848BD" w:rsidP="00812AD2">
            <w:pPr>
              <w:spacing w:before="0" w:after="0"/>
              <w:jc w:val="right"/>
              <w:rPr>
                <w:rFonts w:eastAsia="Times New Roman"/>
                <w:noProof/>
                <w:sz w:val="18"/>
                <w:szCs w:val="18"/>
              </w:rPr>
            </w:pPr>
            <w:r w:rsidRPr="00D207EA">
              <w:rPr>
                <w:noProof/>
                <w:sz w:val="18"/>
              </w:rPr>
              <w:t>p.m.</w:t>
            </w:r>
          </w:p>
        </w:tc>
        <w:tc>
          <w:tcPr>
            <w:tcW w:w="336" w:type="pct"/>
            <w:vAlign w:val="center"/>
            <w:hideMark/>
          </w:tcPr>
          <w:p w14:paraId="7DCCDA2E" w14:textId="77777777" w:rsidR="009848BD" w:rsidRPr="00D207EA" w:rsidRDefault="009848BD" w:rsidP="00812AD2">
            <w:pPr>
              <w:spacing w:before="0" w:after="0"/>
              <w:jc w:val="right"/>
              <w:rPr>
                <w:rFonts w:eastAsia="Times New Roman"/>
                <w:noProof/>
                <w:sz w:val="18"/>
                <w:szCs w:val="18"/>
              </w:rPr>
            </w:pPr>
            <w:r w:rsidRPr="00D207EA">
              <w:rPr>
                <w:noProof/>
                <w:sz w:val="18"/>
              </w:rPr>
              <w:t>p.m.</w:t>
            </w:r>
          </w:p>
        </w:tc>
        <w:tc>
          <w:tcPr>
            <w:tcW w:w="336" w:type="pct"/>
            <w:vAlign w:val="center"/>
            <w:hideMark/>
          </w:tcPr>
          <w:p w14:paraId="36DB1591" w14:textId="77777777" w:rsidR="009848BD" w:rsidRPr="00D207EA" w:rsidRDefault="009848BD" w:rsidP="00812AD2">
            <w:pPr>
              <w:spacing w:before="0" w:after="0"/>
              <w:jc w:val="right"/>
              <w:rPr>
                <w:rFonts w:eastAsia="Times New Roman"/>
                <w:noProof/>
                <w:sz w:val="18"/>
                <w:szCs w:val="18"/>
                <w:lang w:eastAsia="zh-CN"/>
              </w:rPr>
            </w:pPr>
          </w:p>
        </w:tc>
        <w:tc>
          <w:tcPr>
            <w:tcW w:w="336" w:type="pct"/>
            <w:vAlign w:val="center"/>
            <w:hideMark/>
          </w:tcPr>
          <w:p w14:paraId="0DD72316" w14:textId="77777777" w:rsidR="009848BD" w:rsidRPr="00D207EA" w:rsidRDefault="009848BD" w:rsidP="00812AD2">
            <w:pPr>
              <w:spacing w:before="0" w:after="0"/>
              <w:jc w:val="right"/>
              <w:rPr>
                <w:rFonts w:eastAsia="Times New Roman"/>
                <w:noProof/>
                <w:sz w:val="18"/>
                <w:szCs w:val="18"/>
                <w:lang w:eastAsia="zh-CN"/>
              </w:rPr>
            </w:pPr>
          </w:p>
        </w:tc>
        <w:tc>
          <w:tcPr>
            <w:tcW w:w="405" w:type="pct"/>
            <w:shd w:val="clear" w:color="000000" w:fill="D0CECE"/>
            <w:vAlign w:val="center"/>
            <w:hideMark/>
          </w:tcPr>
          <w:p w14:paraId="1169BA71" w14:textId="77777777" w:rsidR="009848BD" w:rsidRPr="00D207EA" w:rsidRDefault="009848BD" w:rsidP="00812AD2">
            <w:pPr>
              <w:spacing w:before="0" w:after="0"/>
              <w:jc w:val="right"/>
              <w:rPr>
                <w:rFonts w:eastAsia="Times New Roman"/>
                <w:b/>
                <w:bCs/>
                <w:noProof/>
                <w:sz w:val="18"/>
                <w:szCs w:val="18"/>
              </w:rPr>
            </w:pPr>
            <w:r w:rsidRPr="00D207EA">
              <w:rPr>
                <w:b/>
                <w:noProof/>
                <w:sz w:val="18"/>
              </w:rPr>
              <w:t>50 008,000</w:t>
            </w:r>
          </w:p>
        </w:tc>
      </w:tr>
      <w:tr w:rsidR="009848BD" w:rsidRPr="00D207EA" w14:paraId="778026B0" w14:textId="77777777" w:rsidTr="00812AD2">
        <w:trPr>
          <w:trHeight w:val="300"/>
        </w:trPr>
        <w:tc>
          <w:tcPr>
            <w:tcW w:w="5000" w:type="pct"/>
            <w:gridSpan w:val="11"/>
            <w:noWrap/>
            <w:vAlign w:val="bottom"/>
            <w:hideMark/>
          </w:tcPr>
          <w:p w14:paraId="5DA7554C" w14:textId="77777777" w:rsidR="009848BD" w:rsidRPr="00D207EA" w:rsidRDefault="009848BD" w:rsidP="00812AD2">
            <w:pPr>
              <w:spacing w:before="0" w:after="0"/>
              <w:jc w:val="left"/>
              <w:rPr>
                <w:rFonts w:eastAsia="Times New Roman"/>
                <w:noProof/>
                <w:sz w:val="18"/>
                <w:szCs w:val="18"/>
              </w:rPr>
            </w:pPr>
            <w:r w:rsidRPr="00D207EA">
              <w:rPr>
                <w:noProof/>
                <w:sz w:val="18"/>
              </w:rPr>
              <w:t xml:space="preserve">• Crédits de nature administrative financés par l’enveloppe de certains programmes spécifiques[3] </w:t>
            </w:r>
          </w:p>
        </w:tc>
      </w:tr>
      <w:tr w:rsidR="009848BD" w:rsidRPr="00D207EA" w14:paraId="4BF25DCC" w14:textId="77777777" w:rsidTr="00812AD2">
        <w:trPr>
          <w:trHeight w:val="300"/>
        </w:trPr>
        <w:tc>
          <w:tcPr>
            <w:tcW w:w="1135" w:type="pct"/>
            <w:vAlign w:val="center"/>
            <w:hideMark/>
          </w:tcPr>
          <w:p w14:paraId="0A59253A" w14:textId="77777777" w:rsidR="009848BD" w:rsidRPr="00D207EA" w:rsidRDefault="009848BD" w:rsidP="00812AD2">
            <w:pPr>
              <w:spacing w:before="0" w:after="0"/>
              <w:rPr>
                <w:rFonts w:eastAsia="Times New Roman"/>
                <w:noProof/>
                <w:sz w:val="18"/>
                <w:szCs w:val="18"/>
              </w:rPr>
            </w:pPr>
            <w:r w:rsidRPr="00D207EA">
              <w:rPr>
                <w:noProof/>
                <w:sz w:val="18"/>
              </w:rPr>
              <w:t>02,0102</w:t>
            </w:r>
          </w:p>
        </w:tc>
        <w:tc>
          <w:tcPr>
            <w:tcW w:w="482" w:type="pct"/>
            <w:vAlign w:val="center"/>
            <w:hideMark/>
          </w:tcPr>
          <w:p w14:paraId="18F5DC24" w14:textId="77777777" w:rsidR="009848BD" w:rsidRPr="00D207EA" w:rsidRDefault="009848BD" w:rsidP="00812AD2">
            <w:pPr>
              <w:spacing w:before="0" w:after="0"/>
              <w:rPr>
                <w:rFonts w:eastAsia="Times New Roman"/>
                <w:noProof/>
                <w:sz w:val="18"/>
                <w:szCs w:val="18"/>
                <w:lang w:eastAsia="zh-CN"/>
              </w:rPr>
            </w:pPr>
          </w:p>
        </w:tc>
        <w:tc>
          <w:tcPr>
            <w:tcW w:w="552" w:type="pct"/>
            <w:vAlign w:val="center"/>
            <w:hideMark/>
          </w:tcPr>
          <w:p w14:paraId="2B0B2227" w14:textId="77777777" w:rsidR="009848BD" w:rsidRPr="00D207EA" w:rsidRDefault="009848BD" w:rsidP="00812AD2">
            <w:pPr>
              <w:spacing w:before="0" w:after="0"/>
              <w:jc w:val="center"/>
              <w:rPr>
                <w:rFonts w:eastAsia="Times New Roman"/>
                <w:noProof/>
                <w:sz w:val="18"/>
                <w:szCs w:val="18"/>
              </w:rPr>
            </w:pPr>
            <w:r w:rsidRPr="00D207EA">
              <w:rPr>
                <w:noProof/>
                <w:sz w:val="18"/>
              </w:rPr>
              <w:t>(3)</w:t>
            </w:r>
          </w:p>
        </w:tc>
        <w:tc>
          <w:tcPr>
            <w:tcW w:w="361" w:type="pct"/>
            <w:vAlign w:val="center"/>
            <w:hideMark/>
          </w:tcPr>
          <w:p w14:paraId="6529FA2C" w14:textId="77777777" w:rsidR="009848BD" w:rsidRPr="00D207EA" w:rsidRDefault="009848BD" w:rsidP="00812AD2">
            <w:pPr>
              <w:spacing w:before="0" w:after="0"/>
              <w:jc w:val="right"/>
              <w:rPr>
                <w:rFonts w:eastAsia="Times New Roman"/>
                <w:b/>
                <w:bCs/>
                <w:noProof/>
                <w:sz w:val="18"/>
                <w:szCs w:val="18"/>
              </w:rPr>
            </w:pPr>
            <w:r w:rsidRPr="00D207EA">
              <w:rPr>
                <w:b/>
                <w:noProof/>
                <w:sz w:val="18"/>
              </w:rPr>
              <w:t>18,400</w:t>
            </w:r>
          </w:p>
        </w:tc>
        <w:tc>
          <w:tcPr>
            <w:tcW w:w="361" w:type="pct"/>
            <w:vAlign w:val="center"/>
            <w:hideMark/>
          </w:tcPr>
          <w:p w14:paraId="166F592E" w14:textId="77777777" w:rsidR="009848BD" w:rsidRPr="00D207EA" w:rsidRDefault="009848BD" w:rsidP="00812AD2">
            <w:pPr>
              <w:spacing w:before="0" w:after="0"/>
              <w:jc w:val="right"/>
              <w:rPr>
                <w:rFonts w:eastAsia="Times New Roman"/>
                <w:b/>
                <w:bCs/>
                <w:noProof/>
                <w:sz w:val="18"/>
                <w:szCs w:val="18"/>
              </w:rPr>
            </w:pPr>
            <w:r w:rsidRPr="00D207EA">
              <w:rPr>
                <w:b/>
                <w:noProof/>
                <w:sz w:val="18"/>
              </w:rPr>
              <w:t>18,400</w:t>
            </w:r>
          </w:p>
        </w:tc>
        <w:tc>
          <w:tcPr>
            <w:tcW w:w="361" w:type="pct"/>
            <w:vAlign w:val="center"/>
            <w:hideMark/>
          </w:tcPr>
          <w:p w14:paraId="48BD0277" w14:textId="77777777" w:rsidR="009848BD" w:rsidRPr="00D207EA" w:rsidRDefault="009848BD" w:rsidP="00812AD2">
            <w:pPr>
              <w:spacing w:before="0" w:after="0"/>
              <w:jc w:val="right"/>
              <w:rPr>
                <w:rFonts w:eastAsia="Times New Roman"/>
                <w:b/>
                <w:bCs/>
                <w:noProof/>
                <w:sz w:val="18"/>
                <w:szCs w:val="18"/>
              </w:rPr>
            </w:pPr>
            <w:r w:rsidRPr="00D207EA">
              <w:rPr>
                <w:b/>
                <w:noProof/>
                <w:sz w:val="18"/>
              </w:rPr>
              <w:t>18,400</w:t>
            </w:r>
          </w:p>
        </w:tc>
        <w:tc>
          <w:tcPr>
            <w:tcW w:w="336" w:type="pct"/>
            <w:vAlign w:val="center"/>
            <w:hideMark/>
          </w:tcPr>
          <w:p w14:paraId="16147762" w14:textId="77777777" w:rsidR="009848BD" w:rsidRPr="00D207EA" w:rsidRDefault="009848BD" w:rsidP="00812AD2">
            <w:pPr>
              <w:spacing w:before="0" w:after="0"/>
              <w:jc w:val="right"/>
              <w:rPr>
                <w:rFonts w:eastAsia="Times New Roman"/>
                <w:b/>
                <w:bCs/>
                <w:noProof/>
                <w:sz w:val="18"/>
                <w:szCs w:val="18"/>
              </w:rPr>
            </w:pPr>
            <w:r w:rsidRPr="00D207EA">
              <w:rPr>
                <w:b/>
                <w:noProof/>
                <w:sz w:val="18"/>
              </w:rPr>
              <w:t>18,400</w:t>
            </w:r>
          </w:p>
        </w:tc>
        <w:tc>
          <w:tcPr>
            <w:tcW w:w="336" w:type="pct"/>
            <w:vAlign w:val="center"/>
            <w:hideMark/>
          </w:tcPr>
          <w:p w14:paraId="2A34B083" w14:textId="77777777" w:rsidR="009848BD" w:rsidRPr="00D207EA" w:rsidRDefault="009848BD" w:rsidP="00812AD2">
            <w:pPr>
              <w:spacing w:before="0" w:after="0"/>
              <w:jc w:val="right"/>
              <w:rPr>
                <w:rFonts w:eastAsia="Times New Roman"/>
                <w:b/>
                <w:bCs/>
                <w:noProof/>
                <w:sz w:val="18"/>
                <w:szCs w:val="18"/>
              </w:rPr>
            </w:pPr>
            <w:r w:rsidRPr="00D207EA">
              <w:rPr>
                <w:b/>
                <w:noProof/>
                <w:sz w:val="18"/>
              </w:rPr>
              <w:t>18,400</w:t>
            </w:r>
          </w:p>
        </w:tc>
        <w:tc>
          <w:tcPr>
            <w:tcW w:w="336" w:type="pct"/>
            <w:vAlign w:val="center"/>
            <w:hideMark/>
          </w:tcPr>
          <w:p w14:paraId="42645720" w14:textId="77777777" w:rsidR="009848BD" w:rsidRPr="00D207EA" w:rsidRDefault="009848BD" w:rsidP="00812AD2">
            <w:pPr>
              <w:spacing w:before="0" w:after="0"/>
              <w:jc w:val="right"/>
              <w:rPr>
                <w:rFonts w:eastAsia="Times New Roman"/>
                <w:b/>
                <w:bCs/>
                <w:noProof/>
                <w:sz w:val="18"/>
                <w:szCs w:val="18"/>
                <w:lang w:eastAsia="zh-CN"/>
              </w:rPr>
            </w:pPr>
          </w:p>
        </w:tc>
        <w:tc>
          <w:tcPr>
            <w:tcW w:w="336" w:type="pct"/>
            <w:vAlign w:val="center"/>
            <w:hideMark/>
          </w:tcPr>
          <w:p w14:paraId="1E6F2FAF" w14:textId="77777777" w:rsidR="009848BD" w:rsidRPr="00D207EA" w:rsidRDefault="009848BD" w:rsidP="00812AD2">
            <w:pPr>
              <w:spacing w:before="0" w:after="0"/>
              <w:jc w:val="right"/>
              <w:rPr>
                <w:rFonts w:eastAsia="Times New Roman"/>
                <w:noProof/>
                <w:sz w:val="18"/>
                <w:szCs w:val="18"/>
                <w:lang w:eastAsia="zh-CN"/>
              </w:rPr>
            </w:pPr>
          </w:p>
        </w:tc>
        <w:tc>
          <w:tcPr>
            <w:tcW w:w="405" w:type="pct"/>
            <w:shd w:val="clear" w:color="000000" w:fill="D9D9D9"/>
            <w:vAlign w:val="center"/>
            <w:hideMark/>
          </w:tcPr>
          <w:p w14:paraId="2A8503DF" w14:textId="77777777" w:rsidR="009848BD" w:rsidRPr="00D207EA" w:rsidRDefault="009848BD" w:rsidP="00812AD2">
            <w:pPr>
              <w:spacing w:before="0" w:after="0"/>
              <w:jc w:val="right"/>
              <w:rPr>
                <w:rFonts w:eastAsia="Times New Roman"/>
                <w:b/>
                <w:bCs/>
                <w:noProof/>
                <w:sz w:val="18"/>
                <w:szCs w:val="18"/>
              </w:rPr>
            </w:pPr>
            <w:r w:rsidRPr="00D207EA">
              <w:rPr>
                <w:b/>
                <w:noProof/>
                <w:sz w:val="18"/>
              </w:rPr>
              <w:t>92,000</w:t>
            </w:r>
          </w:p>
        </w:tc>
      </w:tr>
      <w:tr w:rsidR="009848BD" w:rsidRPr="00D207EA" w14:paraId="101F3BB9" w14:textId="77777777" w:rsidTr="00812AD2">
        <w:trPr>
          <w:trHeight w:val="315"/>
        </w:trPr>
        <w:tc>
          <w:tcPr>
            <w:tcW w:w="1135" w:type="pct"/>
            <w:vAlign w:val="center"/>
            <w:hideMark/>
          </w:tcPr>
          <w:p w14:paraId="2C054882" w14:textId="77777777" w:rsidR="009848BD" w:rsidRPr="00D207EA" w:rsidRDefault="009848BD" w:rsidP="00812AD2">
            <w:pPr>
              <w:spacing w:before="0" w:after="0"/>
              <w:jc w:val="center"/>
              <w:rPr>
                <w:rFonts w:eastAsia="Times New Roman"/>
                <w:b/>
                <w:bCs/>
                <w:noProof/>
                <w:sz w:val="18"/>
                <w:szCs w:val="18"/>
              </w:rPr>
            </w:pPr>
            <w:r w:rsidRPr="00D207EA">
              <w:rPr>
                <w:b/>
                <w:noProof/>
                <w:sz w:val="18"/>
              </w:rPr>
              <w:t>TOTAL des crédits pour la rubrique 1</w:t>
            </w:r>
          </w:p>
        </w:tc>
        <w:tc>
          <w:tcPr>
            <w:tcW w:w="482" w:type="pct"/>
            <w:vAlign w:val="center"/>
            <w:hideMark/>
          </w:tcPr>
          <w:p w14:paraId="61BB5E32" w14:textId="77777777" w:rsidR="009848BD" w:rsidRPr="00D207EA" w:rsidRDefault="009848BD" w:rsidP="00812AD2">
            <w:pPr>
              <w:spacing w:before="0" w:after="0"/>
              <w:rPr>
                <w:rFonts w:eastAsia="Times New Roman"/>
                <w:noProof/>
                <w:sz w:val="18"/>
                <w:szCs w:val="18"/>
              </w:rPr>
            </w:pPr>
            <w:r w:rsidRPr="00D207EA">
              <w:rPr>
                <w:noProof/>
                <w:sz w:val="18"/>
              </w:rPr>
              <w:t>Engagements</w:t>
            </w:r>
          </w:p>
        </w:tc>
        <w:tc>
          <w:tcPr>
            <w:tcW w:w="552" w:type="pct"/>
            <w:vAlign w:val="center"/>
            <w:hideMark/>
          </w:tcPr>
          <w:p w14:paraId="6C197C21" w14:textId="77777777" w:rsidR="009848BD" w:rsidRPr="00D207EA" w:rsidRDefault="009848BD" w:rsidP="00812AD2">
            <w:pPr>
              <w:spacing w:before="0" w:after="0"/>
              <w:jc w:val="center"/>
              <w:rPr>
                <w:rFonts w:eastAsia="Times New Roman"/>
                <w:noProof/>
                <w:sz w:val="18"/>
                <w:szCs w:val="18"/>
              </w:rPr>
            </w:pPr>
            <w:r w:rsidRPr="00D207EA">
              <w:rPr>
                <w:noProof/>
                <w:sz w:val="18"/>
              </w:rPr>
              <w:t>=1a+1b+3</w:t>
            </w:r>
          </w:p>
        </w:tc>
        <w:tc>
          <w:tcPr>
            <w:tcW w:w="361" w:type="pct"/>
            <w:shd w:val="clear" w:color="000000" w:fill="D9D9D9"/>
            <w:vAlign w:val="center"/>
            <w:hideMark/>
          </w:tcPr>
          <w:p w14:paraId="28BBE145" w14:textId="77777777" w:rsidR="009848BD" w:rsidRPr="00D207EA" w:rsidRDefault="009848BD" w:rsidP="00812AD2">
            <w:pPr>
              <w:spacing w:before="0" w:after="0"/>
              <w:jc w:val="right"/>
              <w:rPr>
                <w:rFonts w:eastAsia="Times New Roman"/>
                <w:b/>
                <w:bCs/>
                <w:noProof/>
                <w:sz w:val="18"/>
                <w:szCs w:val="18"/>
              </w:rPr>
            </w:pPr>
            <w:r w:rsidRPr="00D207EA">
              <w:rPr>
                <w:b/>
                <w:noProof/>
                <w:sz w:val="18"/>
              </w:rPr>
              <w:t>10500,000</w:t>
            </w:r>
          </w:p>
        </w:tc>
        <w:tc>
          <w:tcPr>
            <w:tcW w:w="361" w:type="pct"/>
            <w:shd w:val="clear" w:color="000000" w:fill="D9D9D9"/>
            <w:vAlign w:val="center"/>
            <w:hideMark/>
          </w:tcPr>
          <w:p w14:paraId="4ABDE178" w14:textId="77777777" w:rsidR="009848BD" w:rsidRPr="00D207EA" w:rsidRDefault="009848BD" w:rsidP="00812AD2">
            <w:pPr>
              <w:spacing w:before="0" w:after="0"/>
              <w:jc w:val="right"/>
              <w:rPr>
                <w:rFonts w:eastAsia="Times New Roman"/>
                <w:b/>
                <w:bCs/>
                <w:noProof/>
                <w:sz w:val="18"/>
                <w:szCs w:val="18"/>
              </w:rPr>
            </w:pPr>
            <w:r w:rsidRPr="00D207EA">
              <w:rPr>
                <w:b/>
                <w:noProof/>
                <w:sz w:val="18"/>
              </w:rPr>
              <w:t>10300,000</w:t>
            </w:r>
          </w:p>
        </w:tc>
        <w:tc>
          <w:tcPr>
            <w:tcW w:w="361" w:type="pct"/>
            <w:shd w:val="clear" w:color="000000" w:fill="D9D9D9"/>
            <w:vAlign w:val="center"/>
            <w:hideMark/>
          </w:tcPr>
          <w:p w14:paraId="717F846B" w14:textId="77777777" w:rsidR="009848BD" w:rsidRPr="00D207EA" w:rsidRDefault="009848BD" w:rsidP="00812AD2">
            <w:pPr>
              <w:spacing w:before="0" w:after="0"/>
              <w:jc w:val="right"/>
              <w:rPr>
                <w:rFonts w:eastAsia="Times New Roman"/>
                <w:b/>
                <w:bCs/>
                <w:noProof/>
                <w:sz w:val="18"/>
                <w:szCs w:val="18"/>
              </w:rPr>
            </w:pPr>
            <w:r w:rsidRPr="00D207EA">
              <w:rPr>
                <w:b/>
                <w:noProof/>
                <w:sz w:val="18"/>
              </w:rPr>
              <w:t>10100,000</w:t>
            </w:r>
          </w:p>
        </w:tc>
        <w:tc>
          <w:tcPr>
            <w:tcW w:w="336" w:type="pct"/>
            <w:shd w:val="clear" w:color="000000" w:fill="D9D9D9"/>
            <w:vAlign w:val="center"/>
            <w:hideMark/>
          </w:tcPr>
          <w:p w14:paraId="4407F62E" w14:textId="77777777" w:rsidR="009848BD" w:rsidRPr="00D207EA" w:rsidRDefault="009848BD" w:rsidP="00812AD2">
            <w:pPr>
              <w:spacing w:before="0" w:after="0"/>
              <w:jc w:val="right"/>
              <w:rPr>
                <w:rFonts w:eastAsia="Times New Roman"/>
                <w:b/>
                <w:bCs/>
                <w:noProof/>
                <w:sz w:val="18"/>
                <w:szCs w:val="18"/>
              </w:rPr>
            </w:pPr>
            <w:r w:rsidRPr="00D207EA">
              <w:rPr>
                <w:b/>
                <w:noProof/>
                <w:sz w:val="18"/>
              </w:rPr>
              <w:t>9800,000</w:t>
            </w:r>
          </w:p>
        </w:tc>
        <w:tc>
          <w:tcPr>
            <w:tcW w:w="336" w:type="pct"/>
            <w:shd w:val="clear" w:color="000000" w:fill="D9D9D9"/>
            <w:vAlign w:val="center"/>
            <w:hideMark/>
          </w:tcPr>
          <w:p w14:paraId="007C1F8D" w14:textId="77777777" w:rsidR="009848BD" w:rsidRPr="00D207EA" w:rsidRDefault="009848BD" w:rsidP="00812AD2">
            <w:pPr>
              <w:spacing w:before="0" w:after="0"/>
              <w:jc w:val="right"/>
              <w:rPr>
                <w:rFonts w:eastAsia="Times New Roman"/>
                <w:b/>
                <w:bCs/>
                <w:noProof/>
                <w:sz w:val="18"/>
                <w:szCs w:val="18"/>
              </w:rPr>
            </w:pPr>
            <w:r w:rsidRPr="00D207EA">
              <w:rPr>
                <w:b/>
                <w:noProof/>
                <w:sz w:val="18"/>
              </w:rPr>
              <w:t>9400,000</w:t>
            </w:r>
          </w:p>
        </w:tc>
        <w:tc>
          <w:tcPr>
            <w:tcW w:w="336" w:type="pct"/>
            <w:shd w:val="clear" w:color="000000" w:fill="D9D9D9"/>
            <w:vAlign w:val="center"/>
            <w:hideMark/>
          </w:tcPr>
          <w:p w14:paraId="34D319B9" w14:textId="77777777" w:rsidR="009848BD" w:rsidRPr="00D207EA" w:rsidRDefault="009848BD" w:rsidP="00812AD2">
            <w:pPr>
              <w:spacing w:before="0" w:after="0"/>
              <w:jc w:val="right"/>
              <w:rPr>
                <w:rFonts w:eastAsia="Times New Roman"/>
                <w:b/>
                <w:bCs/>
                <w:noProof/>
                <w:sz w:val="18"/>
                <w:szCs w:val="18"/>
                <w:lang w:eastAsia="zh-CN"/>
              </w:rPr>
            </w:pPr>
          </w:p>
        </w:tc>
        <w:tc>
          <w:tcPr>
            <w:tcW w:w="336" w:type="pct"/>
            <w:shd w:val="clear" w:color="000000" w:fill="D9D9D9"/>
            <w:vAlign w:val="center"/>
            <w:hideMark/>
          </w:tcPr>
          <w:p w14:paraId="218E9C36" w14:textId="77777777" w:rsidR="009848BD" w:rsidRPr="00D207EA" w:rsidRDefault="009848BD" w:rsidP="00812AD2">
            <w:pPr>
              <w:spacing w:before="0" w:after="0"/>
              <w:jc w:val="right"/>
              <w:rPr>
                <w:rFonts w:eastAsia="Times New Roman"/>
                <w:noProof/>
                <w:sz w:val="18"/>
                <w:szCs w:val="18"/>
                <w:lang w:eastAsia="zh-CN"/>
              </w:rPr>
            </w:pPr>
          </w:p>
        </w:tc>
        <w:tc>
          <w:tcPr>
            <w:tcW w:w="405" w:type="pct"/>
            <w:shd w:val="clear" w:color="000000" w:fill="D9D9D9"/>
            <w:vAlign w:val="center"/>
            <w:hideMark/>
          </w:tcPr>
          <w:p w14:paraId="770B85F7" w14:textId="77777777" w:rsidR="009848BD" w:rsidRPr="00D207EA" w:rsidRDefault="009848BD" w:rsidP="00812AD2">
            <w:pPr>
              <w:spacing w:before="0" w:after="0"/>
              <w:jc w:val="right"/>
              <w:rPr>
                <w:rFonts w:eastAsia="Times New Roman"/>
                <w:b/>
                <w:bCs/>
                <w:noProof/>
                <w:sz w:val="18"/>
                <w:szCs w:val="18"/>
              </w:rPr>
            </w:pPr>
            <w:r w:rsidRPr="00D207EA">
              <w:rPr>
                <w:b/>
                <w:noProof/>
                <w:sz w:val="18"/>
              </w:rPr>
              <w:t>50100,000</w:t>
            </w:r>
          </w:p>
        </w:tc>
      </w:tr>
      <w:tr w:rsidR="009848BD" w:rsidRPr="00D207EA" w14:paraId="15EC1208" w14:textId="77777777" w:rsidTr="00812AD2">
        <w:trPr>
          <w:trHeight w:val="300"/>
        </w:trPr>
        <w:tc>
          <w:tcPr>
            <w:tcW w:w="1135" w:type="pct"/>
            <w:vAlign w:val="center"/>
            <w:hideMark/>
          </w:tcPr>
          <w:p w14:paraId="1942E221" w14:textId="77777777" w:rsidR="009848BD" w:rsidRPr="00D207EA" w:rsidRDefault="009848BD" w:rsidP="00812AD2">
            <w:pPr>
              <w:spacing w:before="0" w:after="0"/>
              <w:jc w:val="right"/>
              <w:rPr>
                <w:rFonts w:eastAsia="Times New Roman"/>
                <w:b/>
                <w:bCs/>
                <w:noProof/>
                <w:sz w:val="18"/>
                <w:szCs w:val="18"/>
                <w:lang w:eastAsia="zh-CN"/>
              </w:rPr>
            </w:pPr>
          </w:p>
        </w:tc>
        <w:tc>
          <w:tcPr>
            <w:tcW w:w="482" w:type="pct"/>
            <w:vAlign w:val="center"/>
            <w:hideMark/>
          </w:tcPr>
          <w:p w14:paraId="35E9CF20" w14:textId="77777777" w:rsidR="009848BD" w:rsidRPr="00D207EA" w:rsidRDefault="009848BD" w:rsidP="00812AD2">
            <w:pPr>
              <w:spacing w:before="0" w:after="0"/>
              <w:rPr>
                <w:rFonts w:eastAsia="Times New Roman"/>
                <w:noProof/>
                <w:sz w:val="18"/>
                <w:szCs w:val="18"/>
              </w:rPr>
            </w:pPr>
            <w:r w:rsidRPr="00D207EA">
              <w:rPr>
                <w:noProof/>
                <w:sz w:val="18"/>
              </w:rPr>
              <w:t>Paiements</w:t>
            </w:r>
          </w:p>
        </w:tc>
        <w:tc>
          <w:tcPr>
            <w:tcW w:w="552" w:type="pct"/>
            <w:vAlign w:val="center"/>
            <w:hideMark/>
          </w:tcPr>
          <w:p w14:paraId="65BBCEDF" w14:textId="77777777" w:rsidR="009848BD" w:rsidRPr="00D207EA" w:rsidRDefault="009848BD" w:rsidP="00812AD2">
            <w:pPr>
              <w:spacing w:before="0" w:after="0"/>
              <w:jc w:val="center"/>
              <w:rPr>
                <w:rFonts w:eastAsia="Times New Roman"/>
                <w:noProof/>
                <w:sz w:val="18"/>
                <w:szCs w:val="18"/>
              </w:rPr>
            </w:pPr>
            <w:r w:rsidRPr="00D207EA">
              <w:rPr>
                <w:noProof/>
                <w:sz w:val="18"/>
              </w:rPr>
              <w:t>=2a+2b+3</w:t>
            </w:r>
          </w:p>
        </w:tc>
        <w:tc>
          <w:tcPr>
            <w:tcW w:w="361" w:type="pct"/>
            <w:shd w:val="clear" w:color="000000" w:fill="D9D9D9"/>
            <w:vAlign w:val="center"/>
            <w:hideMark/>
          </w:tcPr>
          <w:p w14:paraId="70FC2F74" w14:textId="77777777" w:rsidR="009848BD" w:rsidRPr="00D207EA" w:rsidRDefault="009848BD" w:rsidP="00812AD2">
            <w:pPr>
              <w:spacing w:before="0" w:after="0"/>
              <w:jc w:val="right"/>
              <w:rPr>
                <w:rFonts w:eastAsia="Times New Roman"/>
                <w:b/>
                <w:bCs/>
                <w:noProof/>
                <w:sz w:val="18"/>
                <w:szCs w:val="18"/>
              </w:rPr>
            </w:pPr>
            <w:r w:rsidRPr="00D207EA">
              <w:rPr>
                <w:b/>
                <w:noProof/>
                <w:sz w:val="18"/>
              </w:rPr>
              <w:t>p.m.</w:t>
            </w:r>
          </w:p>
        </w:tc>
        <w:tc>
          <w:tcPr>
            <w:tcW w:w="361" w:type="pct"/>
            <w:shd w:val="clear" w:color="000000" w:fill="D9D9D9"/>
            <w:vAlign w:val="center"/>
            <w:hideMark/>
          </w:tcPr>
          <w:p w14:paraId="15B56B4E" w14:textId="77777777" w:rsidR="009848BD" w:rsidRPr="00D207EA" w:rsidRDefault="009848BD" w:rsidP="00812AD2">
            <w:pPr>
              <w:spacing w:before="0" w:after="0"/>
              <w:jc w:val="right"/>
              <w:rPr>
                <w:rFonts w:eastAsia="Times New Roman"/>
                <w:b/>
                <w:bCs/>
                <w:noProof/>
                <w:sz w:val="18"/>
                <w:szCs w:val="18"/>
              </w:rPr>
            </w:pPr>
            <w:r w:rsidRPr="00D207EA">
              <w:rPr>
                <w:b/>
                <w:noProof/>
                <w:sz w:val="18"/>
              </w:rPr>
              <w:t>p.m.</w:t>
            </w:r>
          </w:p>
        </w:tc>
        <w:tc>
          <w:tcPr>
            <w:tcW w:w="361" w:type="pct"/>
            <w:shd w:val="clear" w:color="000000" w:fill="D9D9D9"/>
            <w:vAlign w:val="center"/>
            <w:hideMark/>
          </w:tcPr>
          <w:p w14:paraId="6BE2540B" w14:textId="77777777" w:rsidR="009848BD" w:rsidRPr="00D207EA" w:rsidRDefault="009848BD" w:rsidP="00812AD2">
            <w:pPr>
              <w:spacing w:before="0" w:after="0"/>
              <w:jc w:val="right"/>
              <w:rPr>
                <w:rFonts w:eastAsia="Times New Roman"/>
                <w:b/>
                <w:bCs/>
                <w:noProof/>
                <w:sz w:val="18"/>
                <w:szCs w:val="18"/>
              </w:rPr>
            </w:pPr>
            <w:r w:rsidRPr="00D207EA">
              <w:rPr>
                <w:b/>
                <w:noProof/>
                <w:sz w:val="18"/>
              </w:rPr>
              <w:t>p.m.</w:t>
            </w:r>
          </w:p>
        </w:tc>
        <w:tc>
          <w:tcPr>
            <w:tcW w:w="336" w:type="pct"/>
            <w:shd w:val="clear" w:color="000000" w:fill="D9D9D9"/>
            <w:vAlign w:val="center"/>
            <w:hideMark/>
          </w:tcPr>
          <w:p w14:paraId="64BF197D" w14:textId="77777777" w:rsidR="009848BD" w:rsidRPr="00D207EA" w:rsidRDefault="009848BD" w:rsidP="00812AD2">
            <w:pPr>
              <w:spacing w:before="0" w:after="0"/>
              <w:jc w:val="right"/>
              <w:rPr>
                <w:rFonts w:eastAsia="Times New Roman"/>
                <w:b/>
                <w:bCs/>
                <w:noProof/>
                <w:sz w:val="18"/>
                <w:szCs w:val="18"/>
              </w:rPr>
            </w:pPr>
            <w:r w:rsidRPr="00D207EA">
              <w:rPr>
                <w:b/>
                <w:noProof/>
                <w:sz w:val="18"/>
              </w:rPr>
              <w:t>p.m.</w:t>
            </w:r>
          </w:p>
        </w:tc>
        <w:tc>
          <w:tcPr>
            <w:tcW w:w="336" w:type="pct"/>
            <w:shd w:val="clear" w:color="000000" w:fill="D9D9D9"/>
            <w:vAlign w:val="center"/>
            <w:hideMark/>
          </w:tcPr>
          <w:p w14:paraId="1241B50B" w14:textId="77777777" w:rsidR="009848BD" w:rsidRPr="00D207EA" w:rsidRDefault="009848BD" w:rsidP="00812AD2">
            <w:pPr>
              <w:spacing w:before="0" w:after="0"/>
              <w:jc w:val="right"/>
              <w:rPr>
                <w:rFonts w:eastAsia="Times New Roman"/>
                <w:b/>
                <w:bCs/>
                <w:noProof/>
                <w:sz w:val="18"/>
                <w:szCs w:val="18"/>
              </w:rPr>
            </w:pPr>
            <w:r w:rsidRPr="00D207EA">
              <w:rPr>
                <w:b/>
                <w:noProof/>
                <w:sz w:val="18"/>
              </w:rPr>
              <w:t>p.m.</w:t>
            </w:r>
          </w:p>
        </w:tc>
        <w:tc>
          <w:tcPr>
            <w:tcW w:w="336" w:type="pct"/>
            <w:shd w:val="clear" w:color="000000" w:fill="D9D9D9"/>
            <w:vAlign w:val="center"/>
            <w:hideMark/>
          </w:tcPr>
          <w:p w14:paraId="7DCB184C" w14:textId="77777777" w:rsidR="009848BD" w:rsidRPr="00D207EA" w:rsidRDefault="009848BD" w:rsidP="00812AD2">
            <w:pPr>
              <w:spacing w:before="0" w:after="0"/>
              <w:jc w:val="right"/>
              <w:rPr>
                <w:rFonts w:eastAsia="Times New Roman"/>
                <w:b/>
                <w:bCs/>
                <w:noProof/>
                <w:sz w:val="18"/>
                <w:szCs w:val="18"/>
                <w:lang w:eastAsia="zh-CN"/>
              </w:rPr>
            </w:pPr>
          </w:p>
        </w:tc>
        <w:tc>
          <w:tcPr>
            <w:tcW w:w="336" w:type="pct"/>
            <w:shd w:val="clear" w:color="000000" w:fill="D9D9D9"/>
            <w:vAlign w:val="center"/>
            <w:hideMark/>
          </w:tcPr>
          <w:p w14:paraId="73700960" w14:textId="77777777" w:rsidR="009848BD" w:rsidRPr="00D207EA" w:rsidRDefault="009848BD" w:rsidP="00812AD2">
            <w:pPr>
              <w:spacing w:before="0" w:after="0"/>
              <w:jc w:val="right"/>
              <w:rPr>
                <w:rFonts w:eastAsia="Times New Roman"/>
                <w:noProof/>
                <w:sz w:val="18"/>
                <w:szCs w:val="18"/>
                <w:lang w:eastAsia="zh-CN"/>
              </w:rPr>
            </w:pPr>
          </w:p>
        </w:tc>
        <w:tc>
          <w:tcPr>
            <w:tcW w:w="405" w:type="pct"/>
            <w:shd w:val="clear" w:color="000000" w:fill="D9D9D9"/>
            <w:vAlign w:val="center"/>
            <w:hideMark/>
          </w:tcPr>
          <w:p w14:paraId="2C24AC20" w14:textId="77777777" w:rsidR="009848BD" w:rsidRPr="00D207EA" w:rsidRDefault="009848BD" w:rsidP="00812AD2">
            <w:pPr>
              <w:spacing w:before="0" w:after="0"/>
              <w:jc w:val="right"/>
              <w:rPr>
                <w:rFonts w:eastAsia="Times New Roman"/>
                <w:noProof/>
                <w:sz w:val="18"/>
                <w:szCs w:val="18"/>
                <w:lang w:eastAsia="zh-CN"/>
              </w:rPr>
            </w:pPr>
          </w:p>
        </w:tc>
      </w:tr>
    </w:tbl>
    <w:p w14:paraId="1C7C7E8C" w14:textId="77777777" w:rsidR="004A489F" w:rsidRPr="00D207EA" w:rsidRDefault="004A489F" w:rsidP="004A489F">
      <w:pPr>
        <w:pStyle w:val="ManualHeading3"/>
        <w:rPr>
          <w:bCs/>
          <w:noProof/>
          <w:szCs w:val="24"/>
        </w:rPr>
      </w:pPr>
      <w:r w:rsidRPr="00D207EA">
        <w:rPr>
          <w:noProof/>
        </w:rPr>
        <w:t>3.2.2.</w:t>
      </w:r>
      <w:r w:rsidRPr="00D207EA">
        <w:rPr>
          <w:noProof/>
        </w:rPr>
        <w:tab/>
        <w:t>Estimation des réalisations financées à partir des crédits opérationnels</w:t>
      </w:r>
      <w:bookmarkEnd w:id="162"/>
      <w:bookmarkEnd w:id="163"/>
      <w:r w:rsidRPr="00D207EA">
        <w:rPr>
          <w:noProof/>
        </w:rPr>
        <w:t xml:space="preserve"> (cette section ne doit pas être complétée pour les organismes décentralisés)</w:t>
      </w:r>
      <w:bookmarkEnd w:id="164"/>
      <w:bookmarkEnd w:id="165"/>
      <w:bookmarkEnd w:id="166"/>
    </w:p>
    <w:p w14:paraId="6F0F78D4" w14:textId="77777777" w:rsidR="004A489F" w:rsidRPr="00D207EA" w:rsidRDefault="004A489F" w:rsidP="004A489F">
      <w:pPr>
        <w:jc w:val="right"/>
        <w:rPr>
          <w:noProof/>
          <w:sz w:val="20"/>
        </w:rPr>
      </w:pPr>
      <w:r w:rsidRPr="00D207EA">
        <w:rPr>
          <w:noProof/>
          <w:sz w:val="20"/>
        </w:rPr>
        <w:t>Crédits d’engagement en Mio EUR (à la 3</w:t>
      </w:r>
      <w:r w:rsidRPr="00D207EA">
        <w:rPr>
          <w:noProof/>
          <w:sz w:val="20"/>
          <w:vertAlign w:val="superscript"/>
        </w:rPr>
        <w:t>e</w:t>
      </w:r>
      <w:r w:rsidRPr="00D207EA">
        <w:rPr>
          <w:noProof/>
          <w:sz w:val="20"/>
        </w:rPr>
        <w:t> décimale)</w:t>
      </w:r>
    </w:p>
    <w:tbl>
      <w:tblPr>
        <w:tblW w:w="5000" w:type="pct"/>
        <w:tblCellMar>
          <w:top w:w="15" w:type="dxa"/>
          <w:bottom w:w="15" w:type="dxa"/>
        </w:tblCellMar>
        <w:tblLook w:val="04A0" w:firstRow="1" w:lastRow="0" w:firstColumn="1" w:lastColumn="0" w:noHBand="0" w:noVBand="1"/>
      </w:tblPr>
      <w:tblGrid>
        <w:gridCol w:w="1786"/>
        <w:gridCol w:w="626"/>
        <w:gridCol w:w="706"/>
        <w:gridCol w:w="576"/>
        <w:gridCol w:w="811"/>
        <w:gridCol w:w="576"/>
        <w:gridCol w:w="811"/>
        <w:gridCol w:w="576"/>
        <w:gridCol w:w="811"/>
        <w:gridCol w:w="576"/>
        <w:gridCol w:w="811"/>
        <w:gridCol w:w="576"/>
        <w:gridCol w:w="811"/>
        <w:gridCol w:w="576"/>
        <w:gridCol w:w="811"/>
        <w:gridCol w:w="576"/>
        <w:gridCol w:w="811"/>
        <w:gridCol w:w="576"/>
        <w:gridCol w:w="817"/>
      </w:tblGrid>
      <w:tr w:rsidR="004A489F" w:rsidRPr="00D207EA" w14:paraId="5A0C5CA7" w14:textId="77777777">
        <w:trPr>
          <w:trHeight w:val="300"/>
        </w:trPr>
        <w:tc>
          <w:tcPr>
            <w:tcW w:w="650" w:type="pct"/>
            <w:tcBorders>
              <w:top w:val="single" w:sz="8" w:space="0" w:color="000000"/>
              <w:left w:val="single" w:sz="8" w:space="0" w:color="000000"/>
              <w:bottom w:val="single" w:sz="4" w:space="0" w:color="000000"/>
              <w:right w:val="single" w:sz="4" w:space="0" w:color="000000"/>
            </w:tcBorders>
            <w:vAlign w:val="bottom"/>
            <w:hideMark/>
          </w:tcPr>
          <w:p w14:paraId="3F9B5128" w14:textId="77777777" w:rsidR="004A489F" w:rsidRPr="00D207EA" w:rsidRDefault="004A489F">
            <w:pPr>
              <w:spacing w:before="0" w:after="0"/>
              <w:jc w:val="left"/>
              <w:rPr>
                <w:rFonts w:eastAsia="Times New Roman"/>
                <w:b/>
                <w:noProof/>
                <w:color w:val="000000"/>
                <w:sz w:val="18"/>
                <w:szCs w:val="18"/>
              </w:rPr>
            </w:pPr>
            <w:r w:rsidRPr="00D207EA">
              <w:rPr>
                <w:b/>
                <w:noProof/>
                <w:color w:val="000000"/>
                <w:sz w:val="18"/>
              </w:rPr>
              <w:t>Indiquer les objectifs et les réalisations</w:t>
            </w:r>
          </w:p>
        </w:tc>
        <w:tc>
          <w:tcPr>
            <w:tcW w:w="242" w:type="pct"/>
            <w:tcBorders>
              <w:top w:val="single" w:sz="8" w:space="0" w:color="000000"/>
              <w:left w:val="single" w:sz="4" w:space="0" w:color="000000"/>
              <w:bottom w:val="single" w:sz="4" w:space="0" w:color="000000"/>
              <w:right w:val="single" w:sz="4" w:space="0" w:color="000000"/>
            </w:tcBorders>
            <w:noWrap/>
            <w:vAlign w:val="bottom"/>
            <w:hideMark/>
          </w:tcPr>
          <w:p w14:paraId="448533FD" w14:textId="425D5B6C" w:rsidR="004A489F" w:rsidRPr="00D207EA" w:rsidRDefault="004A489F">
            <w:pPr>
              <w:spacing w:before="0" w:after="0"/>
              <w:jc w:val="left"/>
              <w:rPr>
                <w:rFonts w:eastAsia="Times New Roman"/>
                <w:noProof/>
                <w:color w:val="000000"/>
                <w:sz w:val="18"/>
                <w:szCs w:val="18"/>
              </w:rPr>
            </w:pPr>
          </w:p>
        </w:tc>
        <w:tc>
          <w:tcPr>
            <w:tcW w:w="242" w:type="pct"/>
            <w:tcBorders>
              <w:top w:val="single" w:sz="8" w:space="0" w:color="000000"/>
              <w:left w:val="single" w:sz="4" w:space="0" w:color="000000"/>
              <w:bottom w:val="single" w:sz="4" w:space="0" w:color="000000"/>
              <w:right w:val="single" w:sz="4" w:space="0" w:color="000000"/>
            </w:tcBorders>
            <w:noWrap/>
            <w:vAlign w:val="bottom"/>
            <w:hideMark/>
          </w:tcPr>
          <w:p w14:paraId="45283D30" w14:textId="128907AB" w:rsidR="004A489F" w:rsidRPr="00D207EA" w:rsidRDefault="004A489F">
            <w:pPr>
              <w:spacing w:before="0" w:after="0"/>
              <w:jc w:val="left"/>
              <w:rPr>
                <w:rFonts w:eastAsia="Times New Roman"/>
                <w:noProof/>
                <w:color w:val="000000"/>
                <w:sz w:val="18"/>
                <w:szCs w:val="18"/>
              </w:rPr>
            </w:pP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33C030D5"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Année</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6F1E1F69"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Année</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71A7FCA6"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Année</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54944FBC"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Année</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58C3BAA2"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Année</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67DBC2CC"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Année</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74CD062A"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Année</w:t>
            </w:r>
          </w:p>
        </w:tc>
        <w:tc>
          <w:tcPr>
            <w:tcW w:w="483" w:type="pct"/>
            <w:gridSpan w:val="2"/>
            <w:vMerge w:val="restart"/>
            <w:tcBorders>
              <w:top w:val="single" w:sz="8" w:space="0" w:color="000000"/>
              <w:left w:val="single" w:sz="4" w:space="0" w:color="000000"/>
              <w:bottom w:val="nil"/>
              <w:right w:val="nil"/>
            </w:tcBorders>
            <w:vAlign w:val="center"/>
            <w:hideMark/>
          </w:tcPr>
          <w:p w14:paraId="78727556" w14:textId="77777777" w:rsidR="004A489F" w:rsidRPr="00D207EA" w:rsidRDefault="004A489F">
            <w:pPr>
              <w:spacing w:before="0" w:after="0"/>
              <w:jc w:val="center"/>
              <w:rPr>
                <w:rFonts w:eastAsia="Times New Roman"/>
                <w:b/>
                <w:noProof/>
                <w:color w:val="000000"/>
                <w:sz w:val="18"/>
                <w:szCs w:val="18"/>
              </w:rPr>
            </w:pPr>
            <w:r w:rsidRPr="00D207EA">
              <w:rPr>
                <w:b/>
                <w:noProof/>
                <w:color w:val="000000"/>
                <w:sz w:val="18"/>
              </w:rPr>
              <w:t>TOTAL</w:t>
            </w:r>
            <w:r w:rsidRPr="00D207EA">
              <w:rPr>
                <w:b/>
                <w:noProof/>
                <w:color w:val="000000"/>
                <w:sz w:val="18"/>
              </w:rPr>
              <w:br/>
              <w:t>2028-2034</w:t>
            </w:r>
          </w:p>
        </w:tc>
      </w:tr>
      <w:tr w:rsidR="004A489F" w:rsidRPr="00D207EA" w14:paraId="0035014D"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274B489D" w14:textId="77777777" w:rsidR="004A489F" w:rsidRPr="00D207EA" w:rsidRDefault="004A489F">
            <w:pPr>
              <w:spacing w:before="0" w:after="0"/>
              <w:jc w:val="center"/>
              <w:rPr>
                <w:rFonts w:ascii="Wingdings" w:eastAsia="Times New Roman" w:hAnsi="Wingdings" w:cs="Calibri"/>
                <w:noProof/>
                <w:color w:val="000000"/>
                <w:sz w:val="18"/>
                <w:szCs w:val="18"/>
              </w:rPr>
            </w:pPr>
            <w:r w:rsidRPr="00D207EA">
              <w:rPr>
                <w:rFonts w:ascii="Wingdings" w:hAnsi="Wingdings"/>
                <w:noProof/>
                <w:color w:val="000000"/>
                <w:sz w:val="18"/>
              </w:rPr>
              <w:t></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0E2D6FA0" w14:textId="77777777" w:rsidR="004A489F" w:rsidRPr="00D207EA" w:rsidRDefault="004A489F">
            <w:pPr>
              <w:spacing w:before="0" w:after="0"/>
              <w:jc w:val="center"/>
              <w:rPr>
                <w:rFonts w:ascii="Wingdings" w:eastAsia="Times New Roman" w:hAnsi="Wingdings" w:cs="Calibri"/>
                <w:noProof/>
                <w:color w:val="000000"/>
                <w:sz w:val="18"/>
                <w:szCs w:val="18"/>
                <w:lang w:eastAsia="zh-CN"/>
              </w:rPr>
            </w:pP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002016A2" w14:textId="77777777" w:rsidR="004A489F" w:rsidRPr="00D207EA" w:rsidRDefault="004A489F">
            <w:pPr>
              <w:spacing w:before="0" w:after="0"/>
              <w:jc w:val="left"/>
              <w:rPr>
                <w:rFonts w:eastAsia="Times New Roman"/>
                <w:noProof/>
                <w:sz w:val="20"/>
                <w:szCs w:val="20"/>
                <w:lang w:eastAsia="zh-CN"/>
              </w:rPr>
            </w:pP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6A10FF98"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2028</w:t>
            </w: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292A53A5"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2029</w:t>
            </w: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57D7B89B"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2030</w:t>
            </w: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09D20015"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2031</w:t>
            </w: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5859DD13"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2032</w:t>
            </w: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0A830BA1"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2033</w:t>
            </w: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6061DE47" w14:textId="77777777" w:rsidR="004A489F" w:rsidRPr="00D207EA" w:rsidRDefault="004A489F">
            <w:pPr>
              <w:spacing w:before="0" w:after="0"/>
              <w:jc w:val="center"/>
              <w:rPr>
                <w:rFonts w:eastAsia="Times New Roman"/>
                <w:b/>
                <w:noProof/>
                <w:color w:val="000000"/>
                <w:sz w:val="20"/>
                <w:szCs w:val="20"/>
              </w:rPr>
            </w:pPr>
            <w:r w:rsidRPr="00D207EA">
              <w:rPr>
                <w:b/>
                <w:noProof/>
                <w:color w:val="000000"/>
                <w:sz w:val="20"/>
              </w:rPr>
              <w:t>2034</w:t>
            </w:r>
          </w:p>
        </w:tc>
        <w:tc>
          <w:tcPr>
            <w:tcW w:w="483" w:type="pct"/>
            <w:gridSpan w:val="2"/>
            <w:vMerge/>
            <w:tcBorders>
              <w:top w:val="single" w:sz="8" w:space="0" w:color="000000"/>
              <w:left w:val="single" w:sz="4" w:space="0" w:color="000000"/>
              <w:bottom w:val="nil"/>
              <w:right w:val="nil"/>
            </w:tcBorders>
            <w:vAlign w:val="center"/>
            <w:hideMark/>
          </w:tcPr>
          <w:p w14:paraId="25992BE0" w14:textId="77777777" w:rsidR="004A489F" w:rsidRPr="00D207EA" w:rsidRDefault="004A489F">
            <w:pPr>
              <w:spacing w:before="0" w:after="0"/>
              <w:jc w:val="left"/>
              <w:rPr>
                <w:rFonts w:eastAsia="Times New Roman"/>
                <w:b/>
                <w:noProof/>
                <w:color w:val="000000"/>
                <w:sz w:val="18"/>
                <w:szCs w:val="18"/>
                <w:lang w:eastAsia="zh-CN"/>
              </w:rPr>
            </w:pPr>
          </w:p>
        </w:tc>
      </w:tr>
      <w:tr w:rsidR="004A489F" w:rsidRPr="00D207EA" w14:paraId="3E0D2CEC"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0C7FA10C" w14:textId="77777777" w:rsidR="004A489F" w:rsidRPr="00D207EA" w:rsidRDefault="004A489F">
            <w:pPr>
              <w:spacing w:before="0" w:after="0"/>
              <w:jc w:val="center"/>
              <w:rPr>
                <w:rFonts w:eastAsia="Times New Roman"/>
                <w:b/>
                <w:noProof/>
                <w:color w:val="000000"/>
                <w:sz w:val="20"/>
                <w:szCs w:val="20"/>
                <w:lang w:eastAsia="zh-CN"/>
              </w:rPr>
            </w:pPr>
          </w:p>
        </w:tc>
        <w:tc>
          <w:tcPr>
            <w:tcW w:w="4350" w:type="pct"/>
            <w:gridSpan w:val="18"/>
            <w:tcBorders>
              <w:top w:val="single" w:sz="4" w:space="0" w:color="000000"/>
              <w:left w:val="single" w:sz="4" w:space="0" w:color="000000"/>
              <w:bottom w:val="single" w:sz="4" w:space="0" w:color="000000"/>
              <w:right w:val="single" w:sz="4" w:space="0" w:color="000000"/>
            </w:tcBorders>
            <w:noWrap/>
            <w:vAlign w:val="bottom"/>
            <w:hideMark/>
          </w:tcPr>
          <w:p w14:paraId="1751F413" w14:textId="77777777" w:rsidR="004A489F" w:rsidRPr="00D207EA" w:rsidRDefault="004A489F">
            <w:pPr>
              <w:spacing w:before="0" w:after="0"/>
              <w:jc w:val="left"/>
              <w:rPr>
                <w:rFonts w:eastAsia="Times New Roman"/>
                <w:b/>
                <w:noProof/>
                <w:color w:val="000000"/>
                <w:sz w:val="18"/>
                <w:szCs w:val="18"/>
              </w:rPr>
            </w:pPr>
            <w:r w:rsidRPr="00D207EA">
              <w:rPr>
                <w:b/>
                <w:noProof/>
                <w:color w:val="000000"/>
                <w:sz w:val="18"/>
              </w:rPr>
              <w:t>RÉALISATIONS (outputs)</w:t>
            </w:r>
          </w:p>
        </w:tc>
      </w:tr>
      <w:tr w:rsidR="004A489F" w:rsidRPr="00D207EA" w14:paraId="574541FB" w14:textId="77777777">
        <w:trPr>
          <w:trHeight w:val="480"/>
        </w:trPr>
        <w:tc>
          <w:tcPr>
            <w:tcW w:w="650" w:type="pct"/>
            <w:tcBorders>
              <w:top w:val="single" w:sz="4" w:space="0" w:color="000000"/>
              <w:left w:val="single" w:sz="8" w:space="0" w:color="000000"/>
              <w:bottom w:val="nil"/>
              <w:right w:val="single" w:sz="4" w:space="0" w:color="000000"/>
            </w:tcBorders>
            <w:noWrap/>
            <w:vAlign w:val="bottom"/>
            <w:hideMark/>
          </w:tcPr>
          <w:p w14:paraId="1A8134E3" w14:textId="77777777" w:rsidR="004A489F" w:rsidRPr="00D207EA" w:rsidRDefault="004A489F">
            <w:pPr>
              <w:spacing w:before="0" w:after="0"/>
              <w:jc w:val="left"/>
              <w:rPr>
                <w:rFonts w:eastAsia="Times New Roman"/>
                <w:noProof/>
                <w:sz w:val="20"/>
                <w:szCs w:val="20"/>
                <w:lang w:eastAsia="zh-CN"/>
              </w:rPr>
            </w:pPr>
          </w:p>
        </w:tc>
        <w:tc>
          <w:tcPr>
            <w:tcW w:w="242" w:type="pct"/>
            <w:tcBorders>
              <w:top w:val="single" w:sz="4" w:space="0" w:color="000000"/>
              <w:left w:val="single" w:sz="4" w:space="0" w:color="000000"/>
              <w:bottom w:val="nil"/>
              <w:right w:val="single" w:sz="4" w:space="0" w:color="000000"/>
            </w:tcBorders>
            <w:noWrap/>
            <w:vAlign w:val="center"/>
            <w:hideMark/>
          </w:tcPr>
          <w:p w14:paraId="69D6ADD9" w14:textId="77777777" w:rsidR="004A489F" w:rsidRPr="00D207EA" w:rsidRDefault="004A489F">
            <w:pPr>
              <w:spacing w:before="0" w:after="0"/>
              <w:jc w:val="center"/>
              <w:rPr>
                <w:rFonts w:eastAsia="Times New Roman"/>
                <w:noProof/>
                <w:color w:val="000000"/>
                <w:sz w:val="18"/>
                <w:szCs w:val="18"/>
              </w:rPr>
            </w:pPr>
            <w:bookmarkStart w:id="167" w:name="3.2.2!C5"/>
            <w:r w:rsidRPr="00D207EA">
              <w:rPr>
                <w:noProof/>
                <w:color w:val="000000"/>
                <w:sz w:val="18"/>
              </w:rPr>
              <w:t>Type</w:t>
            </w:r>
            <w:bookmarkEnd w:id="167"/>
          </w:p>
        </w:tc>
        <w:tc>
          <w:tcPr>
            <w:tcW w:w="242" w:type="pct"/>
            <w:tcBorders>
              <w:top w:val="single" w:sz="4" w:space="0" w:color="000000"/>
              <w:left w:val="single" w:sz="4" w:space="0" w:color="000000"/>
              <w:bottom w:val="nil"/>
              <w:right w:val="single" w:sz="4" w:space="0" w:color="000000"/>
            </w:tcBorders>
            <w:vAlign w:val="center"/>
            <w:hideMark/>
          </w:tcPr>
          <w:p w14:paraId="6BD83F50"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Coût</w:t>
            </w:r>
            <w:r w:rsidRPr="00D207EA">
              <w:rPr>
                <w:noProof/>
                <w:color w:val="000000"/>
                <w:sz w:val="18"/>
              </w:rPr>
              <w:br/>
              <w:t>moyen</w:t>
            </w:r>
          </w:p>
        </w:tc>
        <w:tc>
          <w:tcPr>
            <w:tcW w:w="176" w:type="pct"/>
            <w:tcBorders>
              <w:top w:val="single" w:sz="4" w:space="0" w:color="000000"/>
              <w:left w:val="single" w:sz="4" w:space="0" w:color="000000"/>
              <w:bottom w:val="nil"/>
              <w:right w:val="single" w:sz="4" w:space="0" w:color="000000"/>
            </w:tcBorders>
            <w:noWrap/>
            <w:vAlign w:val="center"/>
            <w:hideMark/>
          </w:tcPr>
          <w:p w14:paraId="6201C5F7"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Nbre</w:t>
            </w:r>
          </w:p>
        </w:tc>
        <w:tc>
          <w:tcPr>
            <w:tcW w:w="307" w:type="pct"/>
            <w:tcBorders>
              <w:top w:val="single" w:sz="4" w:space="0" w:color="000000"/>
              <w:left w:val="single" w:sz="4" w:space="0" w:color="000000"/>
              <w:bottom w:val="nil"/>
              <w:right w:val="single" w:sz="4" w:space="0" w:color="000000"/>
            </w:tcBorders>
            <w:noWrap/>
            <w:vAlign w:val="center"/>
            <w:hideMark/>
          </w:tcPr>
          <w:p w14:paraId="79146FC4"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Coût</w:t>
            </w:r>
          </w:p>
        </w:tc>
        <w:tc>
          <w:tcPr>
            <w:tcW w:w="176" w:type="pct"/>
            <w:tcBorders>
              <w:top w:val="single" w:sz="4" w:space="0" w:color="000000"/>
              <w:left w:val="single" w:sz="4" w:space="0" w:color="000000"/>
              <w:bottom w:val="nil"/>
              <w:right w:val="single" w:sz="4" w:space="0" w:color="000000"/>
            </w:tcBorders>
            <w:noWrap/>
            <w:vAlign w:val="center"/>
            <w:hideMark/>
          </w:tcPr>
          <w:p w14:paraId="2010A6A5"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Nbre</w:t>
            </w:r>
          </w:p>
        </w:tc>
        <w:tc>
          <w:tcPr>
            <w:tcW w:w="307" w:type="pct"/>
            <w:tcBorders>
              <w:top w:val="single" w:sz="4" w:space="0" w:color="000000"/>
              <w:left w:val="single" w:sz="4" w:space="0" w:color="000000"/>
              <w:bottom w:val="nil"/>
              <w:right w:val="single" w:sz="4" w:space="0" w:color="000000"/>
            </w:tcBorders>
            <w:noWrap/>
            <w:vAlign w:val="center"/>
            <w:hideMark/>
          </w:tcPr>
          <w:p w14:paraId="39D5C5E8"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Coût</w:t>
            </w:r>
          </w:p>
        </w:tc>
        <w:tc>
          <w:tcPr>
            <w:tcW w:w="176" w:type="pct"/>
            <w:tcBorders>
              <w:top w:val="single" w:sz="4" w:space="0" w:color="000000"/>
              <w:left w:val="single" w:sz="4" w:space="0" w:color="000000"/>
              <w:bottom w:val="nil"/>
              <w:right w:val="single" w:sz="4" w:space="0" w:color="000000"/>
            </w:tcBorders>
            <w:noWrap/>
            <w:vAlign w:val="center"/>
            <w:hideMark/>
          </w:tcPr>
          <w:p w14:paraId="59163770"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Nbre</w:t>
            </w:r>
          </w:p>
        </w:tc>
        <w:tc>
          <w:tcPr>
            <w:tcW w:w="307" w:type="pct"/>
            <w:tcBorders>
              <w:top w:val="single" w:sz="4" w:space="0" w:color="000000"/>
              <w:left w:val="single" w:sz="4" w:space="0" w:color="000000"/>
              <w:bottom w:val="nil"/>
              <w:right w:val="single" w:sz="4" w:space="0" w:color="000000"/>
            </w:tcBorders>
            <w:noWrap/>
            <w:vAlign w:val="center"/>
            <w:hideMark/>
          </w:tcPr>
          <w:p w14:paraId="44599B94"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Coût</w:t>
            </w:r>
          </w:p>
        </w:tc>
        <w:tc>
          <w:tcPr>
            <w:tcW w:w="176" w:type="pct"/>
            <w:tcBorders>
              <w:top w:val="single" w:sz="4" w:space="0" w:color="000000"/>
              <w:left w:val="single" w:sz="4" w:space="0" w:color="000000"/>
              <w:bottom w:val="nil"/>
              <w:right w:val="single" w:sz="4" w:space="0" w:color="000000"/>
            </w:tcBorders>
            <w:noWrap/>
            <w:vAlign w:val="center"/>
            <w:hideMark/>
          </w:tcPr>
          <w:p w14:paraId="3CB25914"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Nbre</w:t>
            </w:r>
          </w:p>
        </w:tc>
        <w:tc>
          <w:tcPr>
            <w:tcW w:w="307" w:type="pct"/>
            <w:tcBorders>
              <w:top w:val="single" w:sz="4" w:space="0" w:color="000000"/>
              <w:left w:val="single" w:sz="4" w:space="0" w:color="000000"/>
              <w:bottom w:val="nil"/>
              <w:right w:val="single" w:sz="4" w:space="0" w:color="000000"/>
            </w:tcBorders>
            <w:noWrap/>
            <w:vAlign w:val="center"/>
            <w:hideMark/>
          </w:tcPr>
          <w:p w14:paraId="211025B7"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Coût</w:t>
            </w:r>
          </w:p>
        </w:tc>
        <w:tc>
          <w:tcPr>
            <w:tcW w:w="176" w:type="pct"/>
            <w:tcBorders>
              <w:top w:val="single" w:sz="4" w:space="0" w:color="000000"/>
              <w:left w:val="single" w:sz="4" w:space="0" w:color="000000"/>
              <w:bottom w:val="nil"/>
              <w:right w:val="single" w:sz="4" w:space="0" w:color="000000"/>
            </w:tcBorders>
            <w:noWrap/>
            <w:vAlign w:val="center"/>
            <w:hideMark/>
          </w:tcPr>
          <w:p w14:paraId="0383A1F8"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Nbre</w:t>
            </w:r>
          </w:p>
        </w:tc>
        <w:tc>
          <w:tcPr>
            <w:tcW w:w="307" w:type="pct"/>
            <w:tcBorders>
              <w:top w:val="single" w:sz="4" w:space="0" w:color="000000"/>
              <w:left w:val="single" w:sz="4" w:space="0" w:color="000000"/>
              <w:bottom w:val="nil"/>
              <w:right w:val="single" w:sz="4" w:space="0" w:color="000000"/>
            </w:tcBorders>
            <w:noWrap/>
            <w:vAlign w:val="center"/>
            <w:hideMark/>
          </w:tcPr>
          <w:p w14:paraId="6BE95B51"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Coût</w:t>
            </w:r>
          </w:p>
        </w:tc>
        <w:tc>
          <w:tcPr>
            <w:tcW w:w="176" w:type="pct"/>
            <w:tcBorders>
              <w:top w:val="single" w:sz="4" w:space="0" w:color="000000"/>
              <w:left w:val="single" w:sz="4" w:space="0" w:color="000000"/>
              <w:bottom w:val="nil"/>
              <w:right w:val="single" w:sz="4" w:space="0" w:color="000000"/>
            </w:tcBorders>
            <w:noWrap/>
            <w:vAlign w:val="center"/>
            <w:hideMark/>
          </w:tcPr>
          <w:p w14:paraId="7261236A"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Nbre</w:t>
            </w:r>
          </w:p>
        </w:tc>
        <w:tc>
          <w:tcPr>
            <w:tcW w:w="307" w:type="pct"/>
            <w:tcBorders>
              <w:top w:val="single" w:sz="4" w:space="0" w:color="000000"/>
              <w:left w:val="single" w:sz="4" w:space="0" w:color="000000"/>
              <w:bottom w:val="nil"/>
              <w:right w:val="single" w:sz="4" w:space="0" w:color="000000"/>
            </w:tcBorders>
            <w:noWrap/>
            <w:vAlign w:val="center"/>
            <w:hideMark/>
          </w:tcPr>
          <w:p w14:paraId="1398966B"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Coût</w:t>
            </w:r>
          </w:p>
        </w:tc>
        <w:tc>
          <w:tcPr>
            <w:tcW w:w="176" w:type="pct"/>
            <w:tcBorders>
              <w:top w:val="single" w:sz="4" w:space="0" w:color="000000"/>
              <w:left w:val="single" w:sz="4" w:space="0" w:color="000000"/>
              <w:bottom w:val="nil"/>
              <w:right w:val="single" w:sz="4" w:space="0" w:color="000000"/>
            </w:tcBorders>
            <w:noWrap/>
            <w:vAlign w:val="center"/>
            <w:hideMark/>
          </w:tcPr>
          <w:p w14:paraId="5FCF328D"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Nbre</w:t>
            </w:r>
          </w:p>
        </w:tc>
        <w:tc>
          <w:tcPr>
            <w:tcW w:w="307" w:type="pct"/>
            <w:tcBorders>
              <w:top w:val="single" w:sz="4" w:space="0" w:color="000000"/>
              <w:left w:val="single" w:sz="4" w:space="0" w:color="000000"/>
              <w:bottom w:val="nil"/>
              <w:right w:val="single" w:sz="4" w:space="0" w:color="000000"/>
            </w:tcBorders>
            <w:noWrap/>
            <w:vAlign w:val="center"/>
            <w:hideMark/>
          </w:tcPr>
          <w:p w14:paraId="2AD34775"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Coût</w:t>
            </w:r>
          </w:p>
        </w:tc>
        <w:tc>
          <w:tcPr>
            <w:tcW w:w="176" w:type="pct"/>
            <w:tcBorders>
              <w:top w:val="single" w:sz="4" w:space="0" w:color="000000"/>
              <w:left w:val="single" w:sz="4" w:space="0" w:color="000000"/>
              <w:bottom w:val="nil"/>
              <w:right w:val="single" w:sz="4" w:space="0" w:color="000000"/>
            </w:tcBorders>
            <w:noWrap/>
            <w:vAlign w:val="center"/>
            <w:hideMark/>
          </w:tcPr>
          <w:p w14:paraId="06690D21"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Nbre</w:t>
            </w:r>
          </w:p>
        </w:tc>
        <w:tc>
          <w:tcPr>
            <w:tcW w:w="307" w:type="pct"/>
            <w:tcBorders>
              <w:top w:val="single" w:sz="4" w:space="0" w:color="000000"/>
              <w:left w:val="single" w:sz="4" w:space="0" w:color="000000"/>
              <w:bottom w:val="nil"/>
              <w:right w:val="single" w:sz="4" w:space="0" w:color="000000"/>
            </w:tcBorders>
            <w:noWrap/>
            <w:vAlign w:val="center"/>
            <w:hideMark/>
          </w:tcPr>
          <w:p w14:paraId="07295241"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Coût</w:t>
            </w:r>
          </w:p>
        </w:tc>
      </w:tr>
      <w:tr w:rsidR="004A489F" w:rsidRPr="00D207EA" w14:paraId="2246FAE0" w14:textId="77777777">
        <w:trPr>
          <w:trHeight w:val="300"/>
        </w:trPr>
        <w:tc>
          <w:tcPr>
            <w:tcW w:w="5000" w:type="pct"/>
            <w:gridSpan w:val="19"/>
            <w:tcBorders>
              <w:top w:val="single" w:sz="4" w:space="0" w:color="000000"/>
              <w:left w:val="single" w:sz="8" w:space="0" w:color="000000"/>
              <w:bottom w:val="single" w:sz="4" w:space="0" w:color="000000"/>
              <w:right w:val="nil"/>
            </w:tcBorders>
            <w:noWrap/>
            <w:vAlign w:val="bottom"/>
            <w:hideMark/>
          </w:tcPr>
          <w:p w14:paraId="17012722" w14:textId="77777777" w:rsidR="004A489F" w:rsidRPr="00D207EA" w:rsidRDefault="004A489F">
            <w:pPr>
              <w:spacing w:before="0" w:after="0"/>
              <w:jc w:val="left"/>
              <w:rPr>
                <w:rFonts w:eastAsia="Times New Roman"/>
                <w:noProof/>
                <w:color w:val="000000"/>
                <w:sz w:val="18"/>
                <w:szCs w:val="18"/>
              </w:rPr>
            </w:pPr>
            <w:bookmarkStart w:id="168" w:name="3.2.2!B6"/>
            <w:r w:rsidRPr="00D207EA">
              <w:rPr>
                <w:noProof/>
                <w:color w:val="000000"/>
                <w:sz w:val="18"/>
              </w:rPr>
              <w:t>OBJECTIF SPÉCIFIQUE nº 1...</w:t>
            </w:r>
            <w:bookmarkEnd w:id="168"/>
          </w:p>
        </w:tc>
      </w:tr>
      <w:tr w:rsidR="004A489F" w:rsidRPr="00D207EA" w14:paraId="2121AC35" w14:textId="77777777">
        <w:trPr>
          <w:trHeight w:val="300"/>
        </w:trPr>
        <w:tc>
          <w:tcPr>
            <w:tcW w:w="650" w:type="pct"/>
            <w:tcBorders>
              <w:top w:val="nil"/>
              <w:left w:val="single" w:sz="8" w:space="0" w:color="000000"/>
              <w:bottom w:val="single" w:sz="4" w:space="0" w:color="000000"/>
              <w:right w:val="single" w:sz="4" w:space="0" w:color="000000"/>
            </w:tcBorders>
            <w:noWrap/>
            <w:vAlign w:val="bottom"/>
            <w:hideMark/>
          </w:tcPr>
          <w:p w14:paraId="18132DB5" w14:textId="77777777" w:rsidR="004A489F" w:rsidRPr="00D207EA" w:rsidRDefault="004A489F">
            <w:pPr>
              <w:spacing w:before="0" w:after="0"/>
              <w:jc w:val="left"/>
              <w:rPr>
                <w:rFonts w:eastAsia="Times New Roman"/>
                <w:noProof/>
                <w:color w:val="000000"/>
                <w:sz w:val="18"/>
                <w:szCs w:val="18"/>
              </w:rPr>
            </w:pPr>
            <w:r w:rsidRPr="00D207EA">
              <w:rPr>
                <w:noProof/>
                <w:color w:val="000000"/>
                <w:sz w:val="18"/>
              </w:rPr>
              <w:t>- Réalisation</w:t>
            </w:r>
          </w:p>
        </w:tc>
        <w:tc>
          <w:tcPr>
            <w:tcW w:w="242" w:type="pct"/>
            <w:tcBorders>
              <w:top w:val="nil"/>
              <w:left w:val="single" w:sz="4" w:space="0" w:color="000000"/>
              <w:bottom w:val="single" w:sz="4" w:space="0" w:color="000000"/>
              <w:right w:val="single" w:sz="4" w:space="0" w:color="000000"/>
            </w:tcBorders>
            <w:noWrap/>
            <w:vAlign w:val="bottom"/>
            <w:hideMark/>
          </w:tcPr>
          <w:p w14:paraId="32CD336D" w14:textId="2DF7DEE6" w:rsidR="004A489F" w:rsidRPr="00D207EA" w:rsidRDefault="004A489F">
            <w:pPr>
              <w:spacing w:before="0" w:after="0"/>
              <w:jc w:val="left"/>
              <w:rPr>
                <w:rFonts w:eastAsia="Times New Roman"/>
                <w:noProof/>
                <w:color w:val="000000"/>
                <w:sz w:val="18"/>
                <w:szCs w:val="18"/>
              </w:rPr>
            </w:pPr>
          </w:p>
        </w:tc>
        <w:tc>
          <w:tcPr>
            <w:tcW w:w="242" w:type="pct"/>
            <w:tcBorders>
              <w:top w:val="nil"/>
              <w:left w:val="single" w:sz="4" w:space="0" w:color="000000"/>
              <w:bottom w:val="single" w:sz="4" w:space="0" w:color="000000"/>
              <w:right w:val="single" w:sz="4" w:space="0" w:color="000000"/>
            </w:tcBorders>
            <w:noWrap/>
            <w:vAlign w:val="bottom"/>
            <w:hideMark/>
          </w:tcPr>
          <w:p w14:paraId="053A98B2" w14:textId="192EE4BD" w:rsidR="004A489F" w:rsidRPr="00D207EA" w:rsidRDefault="004A489F">
            <w:pPr>
              <w:spacing w:before="0" w:after="0"/>
              <w:jc w:val="left"/>
              <w:rPr>
                <w:rFonts w:eastAsia="Times New Roman"/>
                <w:noProof/>
                <w:color w:val="000000"/>
                <w:sz w:val="18"/>
                <w:szCs w:val="18"/>
              </w:rPr>
            </w:pPr>
          </w:p>
        </w:tc>
        <w:tc>
          <w:tcPr>
            <w:tcW w:w="176" w:type="pct"/>
            <w:tcBorders>
              <w:top w:val="nil"/>
              <w:left w:val="single" w:sz="4" w:space="0" w:color="000000"/>
              <w:bottom w:val="single" w:sz="4" w:space="0" w:color="000000"/>
              <w:right w:val="single" w:sz="4" w:space="0" w:color="000000"/>
            </w:tcBorders>
            <w:noWrap/>
            <w:vAlign w:val="bottom"/>
            <w:hideMark/>
          </w:tcPr>
          <w:p w14:paraId="34008BB4" w14:textId="77777777" w:rsidR="004A489F" w:rsidRPr="00D207EA" w:rsidRDefault="004A489F">
            <w:pPr>
              <w:spacing w:before="0" w:after="0"/>
              <w:jc w:val="left"/>
              <w:rPr>
                <w:rFonts w:eastAsia="Times New Roman"/>
                <w:noProof/>
                <w:color w:val="000000"/>
                <w:sz w:val="18"/>
                <w:szCs w:val="18"/>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13FC4439" w14:textId="77777777" w:rsidR="004A489F" w:rsidRPr="00D207E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4FD1EB4A" w14:textId="77777777" w:rsidR="004A489F" w:rsidRPr="00D207E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433C52A5" w14:textId="77777777" w:rsidR="004A489F" w:rsidRPr="00D207E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7C3B58D5" w14:textId="77777777" w:rsidR="004A489F" w:rsidRPr="00D207E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0BCBDBDE" w14:textId="77777777" w:rsidR="004A489F" w:rsidRPr="00D207E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26BE8A20" w14:textId="77777777" w:rsidR="004A489F" w:rsidRPr="00D207E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76C5A31F" w14:textId="77777777" w:rsidR="004A489F" w:rsidRPr="00D207E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170FD0A1" w14:textId="77777777" w:rsidR="004A489F" w:rsidRPr="00D207E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54C36769" w14:textId="77777777" w:rsidR="004A489F" w:rsidRPr="00D207E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67630674" w14:textId="77777777" w:rsidR="004A489F" w:rsidRPr="00D207E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5CFB6BC7" w14:textId="77777777" w:rsidR="004A489F" w:rsidRPr="00D207E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346290C1" w14:textId="77777777" w:rsidR="004A489F" w:rsidRPr="00D207E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4457FF53" w14:textId="77777777" w:rsidR="004A489F" w:rsidRPr="00D207E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shd w:val="clear" w:color="000000" w:fill="F2F2F2"/>
            <w:noWrap/>
            <w:vAlign w:val="bottom"/>
            <w:hideMark/>
          </w:tcPr>
          <w:p w14:paraId="7EEAEA5E"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nil"/>
              <w:left w:val="single" w:sz="4" w:space="0" w:color="000000"/>
              <w:bottom w:val="single" w:sz="4" w:space="0" w:color="000000"/>
              <w:right w:val="single" w:sz="4" w:space="0" w:color="000000"/>
            </w:tcBorders>
            <w:shd w:val="clear" w:color="000000" w:fill="F2F2F2"/>
            <w:noWrap/>
            <w:vAlign w:val="bottom"/>
            <w:hideMark/>
          </w:tcPr>
          <w:p w14:paraId="152E027A"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r>
      <w:tr w:rsidR="004A489F" w:rsidRPr="00D207EA" w14:paraId="774C19D9"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23D83556" w14:textId="77777777" w:rsidR="004A489F" w:rsidRPr="00D207EA" w:rsidRDefault="004A489F">
            <w:pPr>
              <w:spacing w:before="0" w:after="0"/>
              <w:jc w:val="left"/>
              <w:rPr>
                <w:rFonts w:eastAsia="Times New Roman"/>
                <w:noProof/>
                <w:color w:val="000000"/>
                <w:sz w:val="18"/>
                <w:szCs w:val="18"/>
              </w:rPr>
            </w:pPr>
            <w:r w:rsidRPr="00D207EA">
              <w:rPr>
                <w:noProof/>
                <w:color w:val="000000"/>
                <w:sz w:val="18"/>
              </w:rPr>
              <w:t>- Réalisation</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3882F40B" w14:textId="3709EF91" w:rsidR="004A489F" w:rsidRPr="00D207EA" w:rsidRDefault="004A489F">
            <w:pPr>
              <w:spacing w:before="0" w:after="0"/>
              <w:jc w:val="left"/>
              <w:rPr>
                <w:rFonts w:eastAsia="Times New Roman"/>
                <w:noProof/>
                <w:color w:val="000000"/>
                <w:sz w:val="18"/>
                <w:szCs w:val="18"/>
              </w:rPr>
            </w:pP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12D90EA2" w14:textId="13385D67" w:rsidR="004A489F" w:rsidRPr="00D207EA" w:rsidRDefault="004A489F">
            <w:pPr>
              <w:spacing w:before="0" w:after="0"/>
              <w:jc w:val="left"/>
              <w:rPr>
                <w:rFonts w:eastAsia="Times New Roman"/>
                <w:noProof/>
                <w:color w:val="000000"/>
                <w:sz w:val="18"/>
                <w:szCs w:val="18"/>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2C131F04" w14:textId="77777777" w:rsidR="004A489F" w:rsidRPr="00D207EA" w:rsidRDefault="004A489F">
            <w:pPr>
              <w:spacing w:before="0" w:after="0"/>
              <w:jc w:val="left"/>
              <w:rPr>
                <w:rFonts w:eastAsia="Times New Roman"/>
                <w:noProof/>
                <w:color w:val="000000"/>
                <w:sz w:val="18"/>
                <w:szCs w:val="18"/>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74999ED6" w14:textId="77777777" w:rsidR="004A489F" w:rsidRPr="00D207E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446F7566" w14:textId="77777777" w:rsidR="004A489F" w:rsidRPr="00D207E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02F79510" w14:textId="77777777" w:rsidR="004A489F" w:rsidRPr="00D207E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6F1E3378" w14:textId="77777777" w:rsidR="004A489F" w:rsidRPr="00D207E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74A96653" w14:textId="77777777" w:rsidR="004A489F" w:rsidRPr="00D207E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21C765EE" w14:textId="77777777" w:rsidR="004A489F" w:rsidRPr="00D207E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799E24F6" w14:textId="77777777" w:rsidR="004A489F" w:rsidRPr="00D207E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42FCF8D6" w14:textId="77777777" w:rsidR="004A489F" w:rsidRPr="00D207E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7DE3132A" w14:textId="77777777" w:rsidR="004A489F" w:rsidRPr="00D207E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0B6321E8" w14:textId="77777777" w:rsidR="004A489F" w:rsidRPr="00D207E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75186744" w14:textId="77777777" w:rsidR="004A489F" w:rsidRPr="00D207E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443E9F6D" w14:textId="77777777" w:rsidR="004A489F" w:rsidRPr="00D207E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3176FF07" w14:textId="77777777" w:rsidR="004A489F" w:rsidRPr="00D207E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shd w:val="clear" w:color="000000" w:fill="F2F2F2"/>
            <w:noWrap/>
            <w:vAlign w:val="bottom"/>
            <w:hideMark/>
          </w:tcPr>
          <w:p w14:paraId="3D226EA2"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nil"/>
              <w:left w:val="single" w:sz="4" w:space="0" w:color="000000"/>
              <w:bottom w:val="single" w:sz="4" w:space="0" w:color="000000"/>
              <w:right w:val="single" w:sz="4" w:space="0" w:color="000000"/>
            </w:tcBorders>
            <w:shd w:val="clear" w:color="000000" w:fill="F2F2F2"/>
            <w:noWrap/>
            <w:vAlign w:val="bottom"/>
            <w:hideMark/>
          </w:tcPr>
          <w:p w14:paraId="6CFB1471"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r>
      <w:tr w:rsidR="004A489F" w:rsidRPr="00D207EA" w14:paraId="44C1BF55"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3D88A221" w14:textId="77777777" w:rsidR="004A489F" w:rsidRPr="00D207EA" w:rsidRDefault="004A489F">
            <w:pPr>
              <w:spacing w:before="0" w:after="0"/>
              <w:jc w:val="left"/>
              <w:rPr>
                <w:rFonts w:eastAsia="Times New Roman"/>
                <w:noProof/>
                <w:color w:val="000000"/>
                <w:sz w:val="18"/>
                <w:szCs w:val="18"/>
              </w:rPr>
            </w:pPr>
            <w:r w:rsidRPr="00D207EA">
              <w:rPr>
                <w:noProof/>
                <w:color w:val="000000"/>
                <w:sz w:val="18"/>
              </w:rPr>
              <w:t>- Réalisation</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3DC08F0D" w14:textId="7463F615" w:rsidR="004A489F" w:rsidRPr="00D207EA" w:rsidRDefault="004A489F">
            <w:pPr>
              <w:spacing w:before="0" w:after="0"/>
              <w:jc w:val="left"/>
              <w:rPr>
                <w:rFonts w:eastAsia="Times New Roman"/>
                <w:noProof/>
                <w:color w:val="000000"/>
                <w:sz w:val="18"/>
                <w:szCs w:val="18"/>
              </w:rPr>
            </w:pP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1F3CAF01" w14:textId="39E47047" w:rsidR="004A489F" w:rsidRPr="00D207EA" w:rsidRDefault="004A489F">
            <w:pPr>
              <w:spacing w:before="0" w:after="0"/>
              <w:jc w:val="left"/>
              <w:rPr>
                <w:rFonts w:eastAsia="Times New Roman"/>
                <w:noProof/>
                <w:color w:val="000000"/>
                <w:sz w:val="18"/>
                <w:szCs w:val="18"/>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76128590" w14:textId="77777777" w:rsidR="004A489F" w:rsidRPr="00D207EA" w:rsidRDefault="004A489F">
            <w:pPr>
              <w:spacing w:before="0" w:after="0"/>
              <w:jc w:val="left"/>
              <w:rPr>
                <w:rFonts w:eastAsia="Times New Roman"/>
                <w:noProof/>
                <w:color w:val="000000"/>
                <w:sz w:val="18"/>
                <w:szCs w:val="18"/>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3F9ADB1A" w14:textId="77777777" w:rsidR="004A489F" w:rsidRPr="00D207E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32D43C9A" w14:textId="77777777" w:rsidR="004A489F" w:rsidRPr="00D207E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1325B6B7" w14:textId="77777777" w:rsidR="004A489F" w:rsidRPr="00D207E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28DF4AFF" w14:textId="77777777" w:rsidR="004A489F" w:rsidRPr="00D207E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194CDB2D" w14:textId="77777777" w:rsidR="004A489F" w:rsidRPr="00D207E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34810C37" w14:textId="77777777" w:rsidR="004A489F" w:rsidRPr="00D207E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55BE5CAA" w14:textId="77777777" w:rsidR="004A489F" w:rsidRPr="00D207E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02F5D8ED" w14:textId="77777777" w:rsidR="004A489F" w:rsidRPr="00D207E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2C8FB68B" w14:textId="77777777" w:rsidR="004A489F" w:rsidRPr="00D207E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205AC00D" w14:textId="77777777" w:rsidR="004A489F" w:rsidRPr="00D207E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54867D20" w14:textId="77777777" w:rsidR="004A489F" w:rsidRPr="00D207E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467B1CA0" w14:textId="77777777" w:rsidR="004A489F" w:rsidRPr="00D207E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7C060475" w14:textId="77777777" w:rsidR="004A489F" w:rsidRPr="00D207E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shd w:val="clear" w:color="000000" w:fill="F2F2F2"/>
            <w:noWrap/>
            <w:vAlign w:val="bottom"/>
            <w:hideMark/>
          </w:tcPr>
          <w:p w14:paraId="0DE5F0A5"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nil"/>
              <w:left w:val="single" w:sz="4" w:space="0" w:color="000000"/>
              <w:bottom w:val="single" w:sz="4" w:space="0" w:color="000000"/>
              <w:right w:val="single" w:sz="4" w:space="0" w:color="000000"/>
            </w:tcBorders>
            <w:shd w:val="clear" w:color="000000" w:fill="F2F2F2"/>
            <w:noWrap/>
            <w:vAlign w:val="bottom"/>
            <w:hideMark/>
          </w:tcPr>
          <w:p w14:paraId="494DB266"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r>
      <w:tr w:rsidR="004A489F" w:rsidRPr="00D207EA" w14:paraId="3C5D3ECB" w14:textId="77777777">
        <w:trPr>
          <w:trHeight w:val="300"/>
        </w:trPr>
        <w:tc>
          <w:tcPr>
            <w:tcW w:w="1133" w:type="pct"/>
            <w:gridSpan w:val="3"/>
            <w:tcBorders>
              <w:top w:val="single" w:sz="4" w:space="0" w:color="000000"/>
              <w:left w:val="single" w:sz="8" w:space="0" w:color="000000"/>
              <w:bottom w:val="single" w:sz="4" w:space="0" w:color="000000"/>
              <w:right w:val="single" w:sz="4" w:space="0" w:color="000000"/>
            </w:tcBorders>
            <w:noWrap/>
            <w:vAlign w:val="bottom"/>
            <w:hideMark/>
          </w:tcPr>
          <w:p w14:paraId="57D5F645" w14:textId="77777777" w:rsidR="004A489F" w:rsidRPr="00D207EA" w:rsidRDefault="004A489F">
            <w:pPr>
              <w:spacing w:before="0" w:after="0"/>
              <w:jc w:val="left"/>
              <w:rPr>
                <w:rFonts w:eastAsia="Times New Roman"/>
                <w:noProof/>
                <w:color w:val="000000"/>
                <w:sz w:val="18"/>
                <w:szCs w:val="18"/>
              </w:rPr>
            </w:pPr>
            <w:r w:rsidRPr="00D207EA">
              <w:rPr>
                <w:noProof/>
                <w:color w:val="000000"/>
                <w:sz w:val="18"/>
              </w:rPr>
              <w:t>Sous-total objectif spécifique nº 1</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46559F77"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5DD36F5F"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136472DF"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0F9782F2"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42873EA7"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597B641C"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6DBC5F09"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6E96C671"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2947C5BA"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417940F8"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63BE401C"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14AE6018"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00A93E1B"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77C04CED"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27540601"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5D771493"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r>
      <w:tr w:rsidR="004A489F" w:rsidRPr="00D207EA" w14:paraId="62829D45" w14:textId="77777777">
        <w:trPr>
          <w:trHeight w:val="300"/>
        </w:trPr>
        <w:tc>
          <w:tcPr>
            <w:tcW w:w="5000" w:type="pct"/>
            <w:gridSpan w:val="19"/>
            <w:tcBorders>
              <w:top w:val="single" w:sz="4" w:space="0" w:color="000000"/>
              <w:left w:val="single" w:sz="8" w:space="0" w:color="000000"/>
              <w:bottom w:val="single" w:sz="4" w:space="0" w:color="000000"/>
              <w:right w:val="nil"/>
            </w:tcBorders>
            <w:noWrap/>
            <w:vAlign w:val="bottom"/>
            <w:hideMark/>
          </w:tcPr>
          <w:p w14:paraId="603EC118" w14:textId="77777777" w:rsidR="004A489F" w:rsidRPr="00D207EA" w:rsidRDefault="004A489F">
            <w:pPr>
              <w:spacing w:before="0" w:after="0"/>
              <w:jc w:val="left"/>
              <w:rPr>
                <w:rFonts w:eastAsia="Times New Roman"/>
                <w:noProof/>
                <w:color w:val="000000"/>
                <w:sz w:val="18"/>
                <w:szCs w:val="18"/>
              </w:rPr>
            </w:pPr>
            <w:r w:rsidRPr="00D207EA">
              <w:rPr>
                <w:noProof/>
                <w:color w:val="000000"/>
                <w:sz w:val="18"/>
              </w:rPr>
              <w:t>OBJECTIF SPÉCIFIQUE nº 2…</w:t>
            </w:r>
          </w:p>
        </w:tc>
      </w:tr>
      <w:tr w:rsidR="004A489F" w:rsidRPr="00D207EA" w14:paraId="4E0570B9"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47D83AF4" w14:textId="77777777" w:rsidR="004A489F" w:rsidRPr="00D207EA" w:rsidRDefault="004A489F">
            <w:pPr>
              <w:spacing w:before="0" w:after="0"/>
              <w:jc w:val="left"/>
              <w:rPr>
                <w:rFonts w:eastAsia="Times New Roman"/>
                <w:noProof/>
                <w:color w:val="000000"/>
                <w:sz w:val="18"/>
                <w:szCs w:val="18"/>
              </w:rPr>
            </w:pPr>
            <w:r w:rsidRPr="00D207EA">
              <w:rPr>
                <w:noProof/>
                <w:color w:val="000000"/>
                <w:sz w:val="18"/>
              </w:rPr>
              <w:t>- Réalisation</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4D5A8924" w14:textId="0BB415F5" w:rsidR="004A489F" w:rsidRPr="00D207EA" w:rsidRDefault="004A489F">
            <w:pPr>
              <w:spacing w:before="0" w:after="0"/>
              <w:jc w:val="left"/>
              <w:rPr>
                <w:rFonts w:eastAsia="Times New Roman"/>
                <w:noProof/>
                <w:color w:val="000000"/>
                <w:sz w:val="18"/>
                <w:szCs w:val="18"/>
              </w:rPr>
            </w:pP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254C1680" w14:textId="16BB1A65" w:rsidR="004A489F" w:rsidRPr="00D207EA" w:rsidRDefault="004A489F">
            <w:pPr>
              <w:spacing w:before="0" w:after="0"/>
              <w:jc w:val="left"/>
              <w:rPr>
                <w:rFonts w:eastAsia="Times New Roman"/>
                <w:noProof/>
                <w:color w:val="000000"/>
                <w:sz w:val="18"/>
                <w:szCs w:val="18"/>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7307FFF8" w14:textId="77777777" w:rsidR="004A489F" w:rsidRPr="00D207EA" w:rsidRDefault="004A489F">
            <w:pPr>
              <w:spacing w:before="0" w:after="0"/>
              <w:jc w:val="left"/>
              <w:rPr>
                <w:rFonts w:eastAsia="Times New Roman"/>
                <w:noProof/>
                <w:color w:val="000000"/>
                <w:sz w:val="18"/>
                <w:szCs w:val="18"/>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14F3B446" w14:textId="77777777" w:rsidR="004A489F" w:rsidRPr="00D207E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6457998D" w14:textId="77777777" w:rsidR="004A489F" w:rsidRPr="00D207E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0FAA91F0" w14:textId="77777777" w:rsidR="004A489F" w:rsidRPr="00D207E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1DAD6441" w14:textId="77777777" w:rsidR="004A489F" w:rsidRPr="00D207E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1FEBD0B5" w14:textId="77777777" w:rsidR="004A489F" w:rsidRPr="00D207E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34B260FC" w14:textId="77777777" w:rsidR="004A489F" w:rsidRPr="00D207E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3A3F63FC" w14:textId="77777777" w:rsidR="004A489F" w:rsidRPr="00D207E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2CEB9C7B" w14:textId="77777777" w:rsidR="004A489F" w:rsidRPr="00D207E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65DEDDAB" w14:textId="77777777" w:rsidR="004A489F" w:rsidRPr="00D207E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31EAD1CC" w14:textId="77777777" w:rsidR="004A489F" w:rsidRPr="00D207E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187F4F6F" w14:textId="77777777" w:rsidR="004A489F" w:rsidRPr="00D207E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6717245F" w14:textId="77777777" w:rsidR="004A489F" w:rsidRPr="00D207E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7DDB428D" w14:textId="77777777" w:rsidR="004A489F" w:rsidRPr="00D207E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shd w:val="clear" w:color="000000" w:fill="F2F2F2"/>
            <w:noWrap/>
            <w:vAlign w:val="bottom"/>
            <w:hideMark/>
          </w:tcPr>
          <w:p w14:paraId="5F950698"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nil"/>
              <w:left w:val="single" w:sz="4" w:space="0" w:color="000000"/>
              <w:bottom w:val="single" w:sz="4" w:space="0" w:color="000000"/>
              <w:right w:val="single" w:sz="4" w:space="0" w:color="000000"/>
            </w:tcBorders>
            <w:shd w:val="clear" w:color="000000" w:fill="F2F2F2"/>
            <w:noWrap/>
            <w:vAlign w:val="bottom"/>
            <w:hideMark/>
          </w:tcPr>
          <w:p w14:paraId="732ADA4B"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r>
      <w:tr w:rsidR="004A489F" w:rsidRPr="00D207EA" w14:paraId="303D6477"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41C23E40" w14:textId="77777777" w:rsidR="004A489F" w:rsidRPr="00D207EA" w:rsidRDefault="004A489F">
            <w:pPr>
              <w:spacing w:before="0" w:after="0"/>
              <w:jc w:val="left"/>
              <w:rPr>
                <w:rFonts w:eastAsia="Times New Roman"/>
                <w:noProof/>
                <w:color w:val="000000"/>
                <w:sz w:val="18"/>
                <w:szCs w:val="18"/>
              </w:rPr>
            </w:pPr>
            <w:r w:rsidRPr="00D207EA">
              <w:rPr>
                <w:noProof/>
                <w:color w:val="000000"/>
                <w:sz w:val="18"/>
              </w:rPr>
              <w:t>- Réalisation</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53DAFD4F" w14:textId="22F0459F" w:rsidR="004A489F" w:rsidRPr="00D207EA" w:rsidRDefault="004A489F">
            <w:pPr>
              <w:spacing w:before="0" w:after="0"/>
              <w:jc w:val="left"/>
              <w:rPr>
                <w:rFonts w:eastAsia="Times New Roman"/>
                <w:noProof/>
                <w:color w:val="000000"/>
                <w:sz w:val="18"/>
                <w:szCs w:val="18"/>
              </w:rPr>
            </w:pP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1334944C" w14:textId="76ABAFB0" w:rsidR="004A489F" w:rsidRPr="00D207EA" w:rsidRDefault="004A489F">
            <w:pPr>
              <w:spacing w:before="0" w:after="0"/>
              <w:jc w:val="left"/>
              <w:rPr>
                <w:rFonts w:eastAsia="Times New Roman"/>
                <w:noProof/>
                <w:color w:val="000000"/>
                <w:sz w:val="18"/>
                <w:szCs w:val="18"/>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6329DDDB" w14:textId="77777777" w:rsidR="004A489F" w:rsidRPr="00D207EA" w:rsidRDefault="004A489F">
            <w:pPr>
              <w:spacing w:before="0" w:after="0"/>
              <w:jc w:val="left"/>
              <w:rPr>
                <w:rFonts w:eastAsia="Times New Roman"/>
                <w:noProof/>
                <w:color w:val="000000"/>
                <w:sz w:val="18"/>
                <w:szCs w:val="18"/>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583107E1" w14:textId="77777777" w:rsidR="004A489F" w:rsidRPr="00D207E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6C081D19" w14:textId="77777777" w:rsidR="004A489F" w:rsidRPr="00D207E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0E514A89" w14:textId="77777777" w:rsidR="004A489F" w:rsidRPr="00D207E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5FA52663" w14:textId="77777777" w:rsidR="004A489F" w:rsidRPr="00D207E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5DBE7BC8" w14:textId="77777777" w:rsidR="004A489F" w:rsidRPr="00D207E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6F9F7CFF" w14:textId="77777777" w:rsidR="004A489F" w:rsidRPr="00D207E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548B3E91" w14:textId="77777777" w:rsidR="004A489F" w:rsidRPr="00D207E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7CEC2B4C" w14:textId="77777777" w:rsidR="004A489F" w:rsidRPr="00D207E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0B45EEA9" w14:textId="77777777" w:rsidR="004A489F" w:rsidRPr="00D207E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14E17A2D" w14:textId="77777777" w:rsidR="004A489F" w:rsidRPr="00D207E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2918CD57" w14:textId="77777777" w:rsidR="004A489F" w:rsidRPr="00D207E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378A56E7" w14:textId="77777777" w:rsidR="004A489F" w:rsidRPr="00D207E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51349CA8" w14:textId="77777777" w:rsidR="004A489F" w:rsidRPr="00D207E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shd w:val="clear" w:color="000000" w:fill="F2F2F2"/>
            <w:noWrap/>
            <w:vAlign w:val="bottom"/>
            <w:hideMark/>
          </w:tcPr>
          <w:p w14:paraId="6A6AB078"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nil"/>
              <w:left w:val="single" w:sz="4" w:space="0" w:color="000000"/>
              <w:bottom w:val="single" w:sz="4" w:space="0" w:color="000000"/>
              <w:right w:val="single" w:sz="4" w:space="0" w:color="000000"/>
            </w:tcBorders>
            <w:shd w:val="clear" w:color="000000" w:fill="F2F2F2"/>
            <w:noWrap/>
            <w:vAlign w:val="bottom"/>
            <w:hideMark/>
          </w:tcPr>
          <w:p w14:paraId="1A00EAD3"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r>
      <w:tr w:rsidR="004A489F" w:rsidRPr="00D207EA" w14:paraId="68DED020"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3E43EB78" w14:textId="77777777" w:rsidR="004A489F" w:rsidRPr="00D207EA" w:rsidRDefault="004A489F">
            <w:pPr>
              <w:spacing w:before="0" w:after="0"/>
              <w:jc w:val="left"/>
              <w:rPr>
                <w:rFonts w:eastAsia="Times New Roman"/>
                <w:noProof/>
                <w:color w:val="000000"/>
                <w:sz w:val="18"/>
                <w:szCs w:val="18"/>
              </w:rPr>
            </w:pPr>
            <w:r w:rsidRPr="00D207EA">
              <w:rPr>
                <w:noProof/>
                <w:color w:val="000000"/>
                <w:sz w:val="18"/>
              </w:rPr>
              <w:t>- Réalisation</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4EAD23F3" w14:textId="337FE55B" w:rsidR="004A489F" w:rsidRPr="00D207EA" w:rsidRDefault="004A489F">
            <w:pPr>
              <w:spacing w:before="0" w:after="0"/>
              <w:jc w:val="left"/>
              <w:rPr>
                <w:rFonts w:eastAsia="Times New Roman"/>
                <w:noProof/>
                <w:color w:val="000000"/>
                <w:sz w:val="18"/>
                <w:szCs w:val="18"/>
              </w:rPr>
            </w:pP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6348F472" w14:textId="4C8E959F" w:rsidR="004A489F" w:rsidRPr="00D207EA" w:rsidRDefault="004A489F">
            <w:pPr>
              <w:spacing w:before="0" w:after="0"/>
              <w:jc w:val="left"/>
              <w:rPr>
                <w:rFonts w:eastAsia="Times New Roman"/>
                <w:noProof/>
                <w:color w:val="000000"/>
                <w:sz w:val="18"/>
                <w:szCs w:val="18"/>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00D6AB16" w14:textId="77777777" w:rsidR="004A489F" w:rsidRPr="00D207EA" w:rsidRDefault="004A489F">
            <w:pPr>
              <w:spacing w:before="0" w:after="0"/>
              <w:jc w:val="left"/>
              <w:rPr>
                <w:rFonts w:eastAsia="Times New Roman"/>
                <w:noProof/>
                <w:color w:val="000000"/>
                <w:sz w:val="18"/>
                <w:szCs w:val="18"/>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466E0D29" w14:textId="77777777" w:rsidR="004A489F" w:rsidRPr="00D207E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06FBB125" w14:textId="77777777" w:rsidR="004A489F" w:rsidRPr="00D207E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00C78FD1" w14:textId="77777777" w:rsidR="004A489F" w:rsidRPr="00D207E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02E50152" w14:textId="77777777" w:rsidR="004A489F" w:rsidRPr="00D207E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267069B4" w14:textId="77777777" w:rsidR="004A489F" w:rsidRPr="00D207E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4193E53C" w14:textId="77777777" w:rsidR="004A489F" w:rsidRPr="00D207E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61CDFAE3" w14:textId="77777777" w:rsidR="004A489F" w:rsidRPr="00D207E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361EAE95" w14:textId="77777777" w:rsidR="004A489F" w:rsidRPr="00D207E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521C54FB" w14:textId="77777777" w:rsidR="004A489F" w:rsidRPr="00D207E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23F50CA2" w14:textId="77777777" w:rsidR="004A489F" w:rsidRPr="00D207E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0AF26877" w14:textId="77777777" w:rsidR="004A489F" w:rsidRPr="00D207E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109E46E5" w14:textId="77777777" w:rsidR="004A489F" w:rsidRPr="00D207E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2312725F" w14:textId="77777777" w:rsidR="004A489F" w:rsidRPr="00D207E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shd w:val="clear" w:color="000000" w:fill="F2F2F2"/>
            <w:noWrap/>
            <w:vAlign w:val="bottom"/>
            <w:hideMark/>
          </w:tcPr>
          <w:p w14:paraId="15BA5C50"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nil"/>
              <w:left w:val="single" w:sz="4" w:space="0" w:color="000000"/>
              <w:bottom w:val="single" w:sz="4" w:space="0" w:color="000000"/>
              <w:right w:val="single" w:sz="4" w:space="0" w:color="000000"/>
            </w:tcBorders>
            <w:shd w:val="clear" w:color="000000" w:fill="F2F2F2"/>
            <w:noWrap/>
            <w:vAlign w:val="bottom"/>
            <w:hideMark/>
          </w:tcPr>
          <w:p w14:paraId="29742C93"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r>
      <w:tr w:rsidR="004A489F" w:rsidRPr="00D207EA" w14:paraId="7DB0DB5B" w14:textId="77777777">
        <w:trPr>
          <w:trHeight w:val="300"/>
        </w:trPr>
        <w:tc>
          <w:tcPr>
            <w:tcW w:w="1133" w:type="pct"/>
            <w:gridSpan w:val="3"/>
            <w:tcBorders>
              <w:top w:val="single" w:sz="4" w:space="0" w:color="000000"/>
              <w:left w:val="single" w:sz="8" w:space="0" w:color="000000"/>
              <w:bottom w:val="single" w:sz="4" w:space="0" w:color="000000"/>
              <w:right w:val="single" w:sz="4" w:space="0" w:color="000000"/>
            </w:tcBorders>
            <w:noWrap/>
            <w:vAlign w:val="bottom"/>
            <w:hideMark/>
          </w:tcPr>
          <w:p w14:paraId="46E35BD4" w14:textId="77777777" w:rsidR="004A489F" w:rsidRPr="00D207EA" w:rsidRDefault="004A489F">
            <w:pPr>
              <w:spacing w:before="0" w:after="0"/>
              <w:jc w:val="left"/>
              <w:rPr>
                <w:rFonts w:eastAsia="Times New Roman"/>
                <w:noProof/>
                <w:color w:val="000000"/>
                <w:sz w:val="18"/>
                <w:szCs w:val="18"/>
              </w:rPr>
            </w:pPr>
            <w:r w:rsidRPr="00D207EA">
              <w:rPr>
                <w:noProof/>
                <w:color w:val="000000"/>
                <w:sz w:val="18"/>
              </w:rPr>
              <w:t>Sous-total objectif spécifique nº 2</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1B46A5B1"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004F2A55"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7817A6BD"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3E6492C7"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335FB6BC"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79F206FC"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5502F6B2"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6DBEDBF5"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4E094947"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554D0B9F"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07C3C302"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7C1CDAF2"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7A087118"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30E7973D"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3FA1B9D4"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3A62DC79"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r>
      <w:tr w:rsidR="004A489F" w:rsidRPr="00D207EA" w14:paraId="4C90EFC8" w14:textId="77777777">
        <w:trPr>
          <w:trHeight w:val="300"/>
        </w:trPr>
        <w:tc>
          <w:tcPr>
            <w:tcW w:w="1133" w:type="pct"/>
            <w:gridSpan w:val="3"/>
            <w:tcBorders>
              <w:top w:val="single" w:sz="4" w:space="0" w:color="000000"/>
              <w:left w:val="single" w:sz="8" w:space="0" w:color="000000"/>
              <w:bottom w:val="single" w:sz="8" w:space="0" w:color="000000"/>
              <w:right w:val="single" w:sz="4" w:space="0" w:color="000000"/>
            </w:tcBorders>
            <w:noWrap/>
            <w:vAlign w:val="bottom"/>
            <w:hideMark/>
          </w:tcPr>
          <w:p w14:paraId="04DC2441" w14:textId="77777777" w:rsidR="004A489F" w:rsidRPr="00D207EA" w:rsidRDefault="004A489F">
            <w:pPr>
              <w:spacing w:before="0" w:after="0"/>
              <w:jc w:val="left"/>
              <w:rPr>
                <w:rFonts w:eastAsia="Times New Roman"/>
                <w:b/>
                <w:noProof/>
                <w:color w:val="000000"/>
                <w:sz w:val="18"/>
                <w:szCs w:val="18"/>
              </w:rPr>
            </w:pPr>
            <w:r w:rsidRPr="00D207EA">
              <w:rPr>
                <w:b/>
                <w:noProof/>
                <w:color w:val="000000"/>
                <w:sz w:val="18"/>
              </w:rPr>
              <w:t>TOTAUX</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0C677E33"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796120EC"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1E38F8FE"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0AB4FA79"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5BF9B166"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15176DCC"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3EDBF97C"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17FEE3BD"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28738D66"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74043D52"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61B166A0"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6DBB016E"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3A32DC16"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4C320D09"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372AF254"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059F551D" w14:textId="77777777" w:rsidR="004A489F" w:rsidRPr="00D207EA" w:rsidRDefault="004A489F">
            <w:pPr>
              <w:spacing w:before="0" w:after="0"/>
              <w:jc w:val="right"/>
              <w:rPr>
                <w:rFonts w:eastAsia="Times New Roman"/>
                <w:b/>
                <w:noProof/>
                <w:color w:val="000000"/>
                <w:sz w:val="18"/>
                <w:szCs w:val="18"/>
              </w:rPr>
            </w:pPr>
            <w:r w:rsidRPr="00D207EA">
              <w:rPr>
                <w:b/>
                <w:noProof/>
                <w:color w:val="000000"/>
                <w:sz w:val="18"/>
              </w:rPr>
              <w:t>0,000</w:t>
            </w:r>
          </w:p>
        </w:tc>
      </w:tr>
    </w:tbl>
    <w:p w14:paraId="6F4BB8F9" w14:textId="77777777" w:rsidR="004A489F" w:rsidRPr="00D207EA" w:rsidRDefault="004A489F" w:rsidP="004A489F">
      <w:pPr>
        <w:rPr>
          <w:noProof/>
        </w:rPr>
        <w:sectPr w:rsidR="004A489F" w:rsidRPr="00D207EA" w:rsidSect="00972E68">
          <w:headerReference w:type="default" r:id="rId20"/>
          <w:footerReference w:type="default" r:id="rId21"/>
          <w:pgSz w:w="16840" w:h="11907" w:orient="landscape" w:code="9"/>
          <w:pgMar w:top="1134" w:right="1418" w:bottom="567" w:left="1418" w:header="709" w:footer="709" w:gutter="0"/>
          <w:cols w:space="708"/>
          <w:docGrid w:linePitch="360"/>
        </w:sectPr>
      </w:pPr>
    </w:p>
    <w:p w14:paraId="4704292F" w14:textId="34719F54" w:rsidR="004A489F" w:rsidRPr="00D207EA" w:rsidRDefault="004A489F" w:rsidP="004A489F">
      <w:pPr>
        <w:pStyle w:val="ManualHeading3"/>
        <w:rPr>
          <w:bCs/>
          <w:noProof/>
          <w:szCs w:val="24"/>
        </w:rPr>
      </w:pPr>
      <w:bookmarkStart w:id="169" w:name="_Toc514938055"/>
      <w:bookmarkStart w:id="170" w:name="_Toc520485054"/>
      <w:bookmarkStart w:id="171" w:name="_Toc160804598"/>
      <w:bookmarkStart w:id="172" w:name="_Toc167220290"/>
      <w:bookmarkStart w:id="173" w:name="_Toc177549023"/>
      <w:r w:rsidRPr="00D207EA">
        <w:rPr>
          <w:noProof/>
        </w:rPr>
        <w:t>3.2.3.</w:t>
      </w:r>
      <w:r w:rsidRPr="00D207EA">
        <w:rPr>
          <w:noProof/>
        </w:rPr>
        <w:tab/>
        <w:t>Synthèse de l’incidence estimée sur les crédits administratifs</w:t>
      </w:r>
      <w:bookmarkEnd w:id="169"/>
      <w:bookmarkEnd w:id="170"/>
      <w:bookmarkEnd w:id="171"/>
      <w:bookmarkEnd w:id="172"/>
      <w:bookmarkEnd w:id="173"/>
    </w:p>
    <w:p w14:paraId="05ACCC51" w14:textId="05FA3A67" w:rsidR="004A489F" w:rsidRPr="00D207EA" w:rsidRDefault="004A489F" w:rsidP="004A489F">
      <w:pPr>
        <w:pStyle w:val="ListDash1"/>
        <w:rPr>
          <w:noProof/>
        </w:rPr>
      </w:pPr>
      <w:r w:rsidRPr="00D207EA">
        <w:rPr>
          <w:rFonts w:ascii="Wingdings" w:hAnsi="Wingdings"/>
          <w:noProof/>
        </w:rPr>
        <w:t></w:t>
      </w:r>
      <w:r w:rsidRPr="00D207EA">
        <w:rPr>
          <w:noProof/>
        </w:rPr>
        <w:tab/>
        <w:t>La proposition/l’initiative n’engendre pas l’utilisation de crédits de nature administrative.</w:t>
      </w:r>
    </w:p>
    <w:p w14:paraId="5126E38A" w14:textId="77777777" w:rsidR="004A489F" w:rsidRPr="00D207EA" w:rsidRDefault="004A489F" w:rsidP="004A489F">
      <w:pPr>
        <w:pStyle w:val="ListDash1"/>
        <w:rPr>
          <w:noProof/>
        </w:rPr>
      </w:pPr>
      <w:r w:rsidRPr="00D207EA">
        <w:rPr>
          <w:rFonts w:ascii="Wingdings" w:hAnsi="Wingdings"/>
          <w:noProof/>
        </w:rPr>
        <w:t></w:t>
      </w:r>
      <w:r w:rsidRPr="00D207EA">
        <w:rPr>
          <w:noProof/>
        </w:rPr>
        <w:tab/>
        <w:t>La proposition/l’initiative engendre l’utilisation de crédits de nature administrative, comme expliqué ci-après:</w:t>
      </w:r>
    </w:p>
    <w:p w14:paraId="5BF4141A" w14:textId="77777777" w:rsidR="004A489F" w:rsidRPr="00D207EA" w:rsidRDefault="004A489F" w:rsidP="004A489F">
      <w:pPr>
        <w:pStyle w:val="ManualHeading3"/>
        <w:rPr>
          <w:noProof/>
        </w:rPr>
      </w:pPr>
      <w:bookmarkStart w:id="174" w:name="_Toc167220291"/>
      <w:bookmarkStart w:id="175" w:name="_Toc177549024"/>
      <w:r w:rsidRPr="00D207EA">
        <w:rPr>
          <w:noProof/>
        </w:rPr>
        <w:t>3.2.3.1. Crédits issus du budget voté</w:t>
      </w:r>
      <w:bookmarkEnd w:id="174"/>
      <w:bookmarkEnd w:id="175"/>
    </w:p>
    <w:tbl>
      <w:tblPr>
        <w:tblW w:w="5000" w:type="pct"/>
        <w:tblCellMar>
          <w:top w:w="15" w:type="dxa"/>
          <w:bottom w:w="15" w:type="dxa"/>
        </w:tblCellMar>
        <w:tblLook w:val="04A0" w:firstRow="1" w:lastRow="0" w:firstColumn="1" w:lastColumn="0" w:noHBand="0" w:noVBand="1"/>
      </w:tblPr>
      <w:tblGrid>
        <w:gridCol w:w="1759"/>
        <w:gridCol w:w="726"/>
        <w:gridCol w:w="726"/>
        <w:gridCol w:w="726"/>
        <w:gridCol w:w="726"/>
        <w:gridCol w:w="726"/>
        <w:gridCol w:w="727"/>
        <w:gridCol w:w="727"/>
        <w:gridCol w:w="810"/>
        <w:gridCol w:w="727"/>
        <w:gridCol w:w="909"/>
      </w:tblGrid>
      <w:tr w:rsidR="004A489F" w:rsidRPr="00D207EA" w14:paraId="7E055865" w14:textId="77777777">
        <w:trPr>
          <w:trHeight w:val="300"/>
        </w:trPr>
        <w:tc>
          <w:tcPr>
            <w:tcW w:w="952" w:type="pct"/>
            <w:vMerge w:val="restart"/>
            <w:tcBorders>
              <w:top w:val="single" w:sz="8" w:space="0" w:color="auto"/>
              <w:left w:val="single" w:sz="8" w:space="0" w:color="auto"/>
              <w:bottom w:val="single" w:sz="8" w:space="0" w:color="auto"/>
              <w:right w:val="single" w:sz="8" w:space="0" w:color="auto"/>
            </w:tcBorders>
            <w:vAlign w:val="center"/>
            <w:hideMark/>
          </w:tcPr>
          <w:p w14:paraId="3DB403A9" w14:textId="77777777" w:rsidR="004A489F" w:rsidRPr="00D207EA" w:rsidRDefault="004A489F">
            <w:pPr>
              <w:spacing w:before="0" w:after="0"/>
              <w:jc w:val="center"/>
              <w:rPr>
                <w:rFonts w:eastAsia="Times New Roman"/>
                <w:b/>
                <w:noProof/>
                <w:color w:val="000000"/>
                <w:sz w:val="14"/>
                <w:szCs w:val="14"/>
              </w:rPr>
            </w:pPr>
            <w:bookmarkStart w:id="176" w:name="_Toc167220292"/>
            <w:bookmarkStart w:id="177" w:name="_Toc177549025"/>
            <w:r w:rsidRPr="00D207EA">
              <w:rPr>
                <w:b/>
                <w:noProof/>
                <w:color w:val="000000"/>
                <w:sz w:val="14"/>
              </w:rPr>
              <w:t>CRÉDITS VOTÉS</w:t>
            </w:r>
          </w:p>
        </w:tc>
        <w:tc>
          <w:tcPr>
            <w:tcW w:w="396" w:type="pct"/>
            <w:tcBorders>
              <w:top w:val="single" w:sz="8" w:space="0" w:color="auto"/>
              <w:left w:val="single" w:sz="8" w:space="0" w:color="auto"/>
              <w:bottom w:val="single" w:sz="8" w:space="0" w:color="auto"/>
              <w:right w:val="single" w:sz="8" w:space="0" w:color="auto"/>
            </w:tcBorders>
            <w:vAlign w:val="center"/>
            <w:hideMark/>
          </w:tcPr>
          <w:p w14:paraId="3DFD388C" w14:textId="77777777" w:rsidR="004A489F" w:rsidRPr="00D207EA" w:rsidRDefault="004A489F">
            <w:pPr>
              <w:spacing w:before="0" w:after="0"/>
              <w:jc w:val="center"/>
              <w:rPr>
                <w:rFonts w:eastAsia="Times New Roman"/>
                <w:noProof/>
                <w:color w:val="000000"/>
                <w:sz w:val="14"/>
                <w:szCs w:val="14"/>
              </w:rPr>
            </w:pPr>
            <w:r w:rsidRPr="00D207EA">
              <w:rPr>
                <w:noProof/>
                <w:color w:val="000000"/>
                <w:sz w:val="14"/>
              </w:rPr>
              <w:t>Année</w:t>
            </w:r>
          </w:p>
        </w:tc>
        <w:tc>
          <w:tcPr>
            <w:tcW w:w="396" w:type="pct"/>
            <w:tcBorders>
              <w:top w:val="single" w:sz="8" w:space="0" w:color="auto"/>
              <w:left w:val="single" w:sz="8" w:space="0" w:color="auto"/>
              <w:bottom w:val="single" w:sz="8" w:space="0" w:color="auto"/>
              <w:right w:val="single" w:sz="8" w:space="0" w:color="auto"/>
            </w:tcBorders>
            <w:vAlign w:val="center"/>
            <w:hideMark/>
          </w:tcPr>
          <w:p w14:paraId="366F17A5" w14:textId="77777777" w:rsidR="004A489F" w:rsidRPr="00D207EA" w:rsidRDefault="004A489F">
            <w:pPr>
              <w:spacing w:before="0" w:after="0"/>
              <w:jc w:val="center"/>
              <w:rPr>
                <w:rFonts w:eastAsia="Times New Roman"/>
                <w:noProof/>
                <w:color w:val="000000"/>
                <w:sz w:val="14"/>
                <w:szCs w:val="14"/>
              </w:rPr>
            </w:pPr>
            <w:r w:rsidRPr="00D207EA">
              <w:rPr>
                <w:noProof/>
                <w:color w:val="000000"/>
                <w:sz w:val="14"/>
              </w:rPr>
              <w:t>Année</w:t>
            </w:r>
          </w:p>
        </w:tc>
        <w:tc>
          <w:tcPr>
            <w:tcW w:w="396" w:type="pct"/>
            <w:tcBorders>
              <w:top w:val="single" w:sz="8" w:space="0" w:color="auto"/>
              <w:left w:val="single" w:sz="8" w:space="0" w:color="auto"/>
              <w:bottom w:val="single" w:sz="8" w:space="0" w:color="auto"/>
              <w:right w:val="single" w:sz="8" w:space="0" w:color="auto"/>
            </w:tcBorders>
            <w:vAlign w:val="center"/>
            <w:hideMark/>
          </w:tcPr>
          <w:p w14:paraId="5EEAE50A" w14:textId="77777777" w:rsidR="004A489F" w:rsidRPr="00D207EA" w:rsidRDefault="004A489F">
            <w:pPr>
              <w:spacing w:before="0" w:after="0"/>
              <w:jc w:val="center"/>
              <w:rPr>
                <w:rFonts w:eastAsia="Times New Roman"/>
                <w:noProof/>
                <w:color w:val="000000"/>
                <w:sz w:val="14"/>
                <w:szCs w:val="14"/>
              </w:rPr>
            </w:pPr>
            <w:r w:rsidRPr="00D207EA">
              <w:rPr>
                <w:noProof/>
                <w:color w:val="000000"/>
                <w:sz w:val="14"/>
              </w:rPr>
              <w:t>Année</w:t>
            </w:r>
          </w:p>
        </w:tc>
        <w:tc>
          <w:tcPr>
            <w:tcW w:w="396" w:type="pct"/>
            <w:tcBorders>
              <w:top w:val="single" w:sz="8" w:space="0" w:color="auto"/>
              <w:left w:val="single" w:sz="8" w:space="0" w:color="auto"/>
              <w:bottom w:val="single" w:sz="8" w:space="0" w:color="auto"/>
              <w:right w:val="single" w:sz="8" w:space="0" w:color="auto"/>
            </w:tcBorders>
            <w:vAlign w:val="center"/>
            <w:hideMark/>
          </w:tcPr>
          <w:p w14:paraId="74619123" w14:textId="77777777" w:rsidR="004A489F" w:rsidRPr="00D207EA" w:rsidRDefault="004A489F">
            <w:pPr>
              <w:spacing w:before="0" w:after="0"/>
              <w:jc w:val="center"/>
              <w:rPr>
                <w:rFonts w:eastAsia="Times New Roman"/>
                <w:noProof/>
                <w:color w:val="000000"/>
                <w:sz w:val="14"/>
                <w:szCs w:val="14"/>
              </w:rPr>
            </w:pPr>
            <w:r w:rsidRPr="00D207EA">
              <w:rPr>
                <w:noProof/>
                <w:color w:val="000000"/>
                <w:sz w:val="14"/>
              </w:rPr>
              <w:t>Année</w:t>
            </w:r>
          </w:p>
        </w:tc>
        <w:tc>
          <w:tcPr>
            <w:tcW w:w="396" w:type="pct"/>
            <w:tcBorders>
              <w:top w:val="single" w:sz="8" w:space="0" w:color="auto"/>
              <w:left w:val="single" w:sz="8" w:space="0" w:color="auto"/>
              <w:bottom w:val="single" w:sz="8" w:space="0" w:color="auto"/>
              <w:right w:val="single" w:sz="8" w:space="0" w:color="auto"/>
            </w:tcBorders>
            <w:vAlign w:val="center"/>
            <w:hideMark/>
          </w:tcPr>
          <w:p w14:paraId="5E09EA1E" w14:textId="77777777" w:rsidR="004A489F" w:rsidRPr="00D207EA" w:rsidRDefault="004A489F">
            <w:pPr>
              <w:spacing w:before="0" w:after="0"/>
              <w:jc w:val="center"/>
              <w:rPr>
                <w:rFonts w:eastAsia="Times New Roman"/>
                <w:noProof/>
                <w:color w:val="000000"/>
                <w:sz w:val="14"/>
                <w:szCs w:val="14"/>
              </w:rPr>
            </w:pPr>
            <w:r w:rsidRPr="00D207EA">
              <w:rPr>
                <w:noProof/>
                <w:color w:val="000000"/>
                <w:sz w:val="14"/>
              </w:rPr>
              <w:t>Année</w:t>
            </w:r>
          </w:p>
        </w:tc>
        <w:tc>
          <w:tcPr>
            <w:tcW w:w="396" w:type="pct"/>
            <w:tcBorders>
              <w:top w:val="single" w:sz="8" w:space="0" w:color="auto"/>
              <w:left w:val="single" w:sz="8" w:space="0" w:color="auto"/>
              <w:bottom w:val="single" w:sz="8" w:space="0" w:color="auto"/>
              <w:right w:val="single" w:sz="8" w:space="0" w:color="auto"/>
            </w:tcBorders>
            <w:vAlign w:val="center"/>
            <w:hideMark/>
          </w:tcPr>
          <w:p w14:paraId="3D676B39" w14:textId="77777777" w:rsidR="004A489F" w:rsidRPr="00D207EA" w:rsidRDefault="004A489F">
            <w:pPr>
              <w:spacing w:before="0" w:after="0"/>
              <w:jc w:val="center"/>
              <w:rPr>
                <w:rFonts w:eastAsia="Times New Roman"/>
                <w:noProof/>
                <w:color w:val="000000"/>
                <w:sz w:val="14"/>
                <w:szCs w:val="14"/>
              </w:rPr>
            </w:pPr>
            <w:r w:rsidRPr="00D207EA">
              <w:rPr>
                <w:noProof/>
                <w:color w:val="000000"/>
                <w:sz w:val="14"/>
              </w:rPr>
              <w:t>Année</w:t>
            </w:r>
          </w:p>
        </w:tc>
        <w:tc>
          <w:tcPr>
            <w:tcW w:w="396" w:type="pct"/>
            <w:tcBorders>
              <w:top w:val="single" w:sz="8" w:space="0" w:color="auto"/>
              <w:left w:val="single" w:sz="8" w:space="0" w:color="auto"/>
              <w:bottom w:val="single" w:sz="8" w:space="0" w:color="auto"/>
              <w:right w:val="single" w:sz="8" w:space="0" w:color="auto"/>
            </w:tcBorders>
            <w:vAlign w:val="center"/>
            <w:hideMark/>
          </w:tcPr>
          <w:p w14:paraId="438939E1" w14:textId="77777777" w:rsidR="004A489F" w:rsidRPr="00D207EA" w:rsidRDefault="004A489F">
            <w:pPr>
              <w:spacing w:before="0" w:after="0"/>
              <w:jc w:val="center"/>
              <w:rPr>
                <w:rFonts w:eastAsia="Times New Roman"/>
                <w:noProof/>
                <w:color w:val="000000"/>
                <w:sz w:val="14"/>
                <w:szCs w:val="14"/>
              </w:rPr>
            </w:pPr>
            <w:r w:rsidRPr="00D207EA">
              <w:rPr>
                <w:noProof/>
                <w:color w:val="000000"/>
                <w:sz w:val="14"/>
              </w:rPr>
              <w:t>Année</w:t>
            </w:r>
          </w:p>
        </w:tc>
        <w:tc>
          <w:tcPr>
            <w:tcW w:w="439" w:type="pct"/>
            <w:vMerge w:val="restart"/>
            <w:tcBorders>
              <w:top w:val="single" w:sz="8" w:space="0" w:color="auto"/>
              <w:left w:val="single" w:sz="8" w:space="0" w:color="auto"/>
              <w:bottom w:val="single" w:sz="8" w:space="0" w:color="auto"/>
              <w:right w:val="single" w:sz="8" w:space="0" w:color="auto"/>
            </w:tcBorders>
            <w:vAlign w:val="center"/>
            <w:hideMark/>
          </w:tcPr>
          <w:p w14:paraId="027E5438"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TOTAL</w:t>
            </w:r>
            <w:r w:rsidRPr="00D207EA">
              <w:rPr>
                <w:b/>
                <w:noProof/>
                <w:color w:val="000000"/>
                <w:sz w:val="14"/>
              </w:rPr>
              <w:br/>
              <w:t>2028 - 2034</w:t>
            </w:r>
          </w:p>
        </w:tc>
        <w:tc>
          <w:tcPr>
            <w:tcW w:w="396" w:type="pct"/>
            <w:tcBorders>
              <w:top w:val="single" w:sz="8" w:space="0" w:color="auto"/>
              <w:left w:val="single" w:sz="8" w:space="0" w:color="auto"/>
              <w:bottom w:val="single" w:sz="8" w:space="0" w:color="auto"/>
              <w:right w:val="single" w:sz="8" w:space="0" w:color="auto"/>
            </w:tcBorders>
            <w:vAlign w:val="center"/>
            <w:hideMark/>
          </w:tcPr>
          <w:p w14:paraId="437195E6" w14:textId="77777777" w:rsidR="004A489F" w:rsidRPr="00D207EA" w:rsidRDefault="004A489F">
            <w:pPr>
              <w:spacing w:before="0" w:after="0"/>
              <w:jc w:val="center"/>
              <w:rPr>
                <w:rFonts w:eastAsia="Times New Roman"/>
                <w:noProof/>
                <w:color w:val="000000"/>
                <w:sz w:val="14"/>
                <w:szCs w:val="14"/>
              </w:rPr>
            </w:pPr>
            <w:r w:rsidRPr="00D207EA">
              <w:rPr>
                <w:noProof/>
                <w:color w:val="000000"/>
                <w:sz w:val="14"/>
              </w:rPr>
              <w:t>APRÈS</w:t>
            </w:r>
          </w:p>
        </w:tc>
        <w:tc>
          <w:tcPr>
            <w:tcW w:w="439" w:type="pct"/>
            <w:vMerge w:val="restart"/>
            <w:tcBorders>
              <w:top w:val="single" w:sz="8" w:space="0" w:color="auto"/>
              <w:left w:val="single" w:sz="8" w:space="0" w:color="auto"/>
              <w:bottom w:val="single" w:sz="8" w:space="0" w:color="auto"/>
              <w:right w:val="single" w:sz="8" w:space="0" w:color="auto"/>
            </w:tcBorders>
            <w:vAlign w:val="center"/>
            <w:hideMark/>
          </w:tcPr>
          <w:p w14:paraId="7790832D"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TOTAL GÉNÉRAL</w:t>
            </w:r>
          </w:p>
        </w:tc>
      </w:tr>
      <w:tr w:rsidR="004A489F" w:rsidRPr="00D207EA" w14:paraId="62907DBE" w14:textId="77777777">
        <w:trPr>
          <w:trHeight w:val="315"/>
        </w:trPr>
        <w:tc>
          <w:tcPr>
            <w:tcW w:w="952" w:type="pct"/>
            <w:vMerge/>
            <w:tcBorders>
              <w:top w:val="single" w:sz="8" w:space="0" w:color="auto"/>
              <w:left w:val="single" w:sz="8" w:space="0" w:color="auto"/>
              <w:bottom w:val="single" w:sz="8" w:space="0" w:color="auto"/>
              <w:right w:val="single" w:sz="8" w:space="0" w:color="auto"/>
            </w:tcBorders>
            <w:vAlign w:val="center"/>
            <w:hideMark/>
          </w:tcPr>
          <w:p w14:paraId="2E1D0F0E" w14:textId="77777777" w:rsidR="004A489F" w:rsidRPr="00D207EA" w:rsidRDefault="004A489F">
            <w:pPr>
              <w:spacing w:before="0" w:after="0"/>
              <w:jc w:val="left"/>
              <w:rPr>
                <w:rFonts w:eastAsia="Times New Roman"/>
                <w:b/>
                <w:noProof/>
                <w:color w:val="000000"/>
                <w:sz w:val="14"/>
                <w:szCs w:val="14"/>
                <w:lang w:eastAsia="zh-CN"/>
              </w:rPr>
            </w:pPr>
          </w:p>
        </w:tc>
        <w:tc>
          <w:tcPr>
            <w:tcW w:w="396" w:type="pct"/>
            <w:tcBorders>
              <w:top w:val="single" w:sz="8" w:space="0" w:color="auto"/>
              <w:left w:val="single" w:sz="8" w:space="0" w:color="auto"/>
              <w:bottom w:val="single" w:sz="8" w:space="0" w:color="auto"/>
              <w:right w:val="single" w:sz="8" w:space="0" w:color="auto"/>
            </w:tcBorders>
            <w:vAlign w:val="center"/>
            <w:hideMark/>
          </w:tcPr>
          <w:p w14:paraId="2BD76960"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2028</w:t>
            </w:r>
          </w:p>
        </w:tc>
        <w:tc>
          <w:tcPr>
            <w:tcW w:w="396" w:type="pct"/>
            <w:tcBorders>
              <w:top w:val="single" w:sz="8" w:space="0" w:color="auto"/>
              <w:left w:val="single" w:sz="8" w:space="0" w:color="auto"/>
              <w:bottom w:val="single" w:sz="8" w:space="0" w:color="auto"/>
              <w:right w:val="single" w:sz="8" w:space="0" w:color="auto"/>
            </w:tcBorders>
            <w:vAlign w:val="center"/>
            <w:hideMark/>
          </w:tcPr>
          <w:p w14:paraId="01F240D3"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2029</w:t>
            </w:r>
          </w:p>
        </w:tc>
        <w:tc>
          <w:tcPr>
            <w:tcW w:w="396" w:type="pct"/>
            <w:tcBorders>
              <w:top w:val="single" w:sz="8" w:space="0" w:color="auto"/>
              <w:left w:val="single" w:sz="8" w:space="0" w:color="auto"/>
              <w:bottom w:val="single" w:sz="8" w:space="0" w:color="auto"/>
              <w:right w:val="single" w:sz="8" w:space="0" w:color="auto"/>
            </w:tcBorders>
            <w:vAlign w:val="center"/>
            <w:hideMark/>
          </w:tcPr>
          <w:p w14:paraId="45AD93ED"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2030</w:t>
            </w:r>
          </w:p>
        </w:tc>
        <w:tc>
          <w:tcPr>
            <w:tcW w:w="396" w:type="pct"/>
            <w:tcBorders>
              <w:top w:val="single" w:sz="8" w:space="0" w:color="auto"/>
              <w:left w:val="single" w:sz="8" w:space="0" w:color="auto"/>
              <w:bottom w:val="single" w:sz="8" w:space="0" w:color="auto"/>
              <w:right w:val="single" w:sz="8" w:space="0" w:color="auto"/>
            </w:tcBorders>
            <w:vAlign w:val="center"/>
            <w:hideMark/>
          </w:tcPr>
          <w:p w14:paraId="2F10CA8F"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2031</w:t>
            </w:r>
          </w:p>
        </w:tc>
        <w:tc>
          <w:tcPr>
            <w:tcW w:w="396" w:type="pct"/>
            <w:tcBorders>
              <w:top w:val="single" w:sz="8" w:space="0" w:color="auto"/>
              <w:left w:val="single" w:sz="8" w:space="0" w:color="auto"/>
              <w:bottom w:val="single" w:sz="8" w:space="0" w:color="auto"/>
              <w:right w:val="single" w:sz="8" w:space="0" w:color="auto"/>
            </w:tcBorders>
            <w:vAlign w:val="center"/>
            <w:hideMark/>
          </w:tcPr>
          <w:p w14:paraId="3237AA2A"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2032</w:t>
            </w:r>
          </w:p>
        </w:tc>
        <w:tc>
          <w:tcPr>
            <w:tcW w:w="396" w:type="pct"/>
            <w:tcBorders>
              <w:top w:val="single" w:sz="8" w:space="0" w:color="auto"/>
              <w:left w:val="single" w:sz="8" w:space="0" w:color="auto"/>
              <w:bottom w:val="single" w:sz="8" w:space="0" w:color="auto"/>
              <w:right w:val="single" w:sz="8" w:space="0" w:color="auto"/>
            </w:tcBorders>
            <w:vAlign w:val="center"/>
            <w:hideMark/>
          </w:tcPr>
          <w:p w14:paraId="1C87DB69"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2033</w:t>
            </w:r>
          </w:p>
        </w:tc>
        <w:tc>
          <w:tcPr>
            <w:tcW w:w="396" w:type="pct"/>
            <w:tcBorders>
              <w:top w:val="single" w:sz="8" w:space="0" w:color="auto"/>
              <w:left w:val="single" w:sz="8" w:space="0" w:color="auto"/>
              <w:bottom w:val="single" w:sz="8" w:space="0" w:color="auto"/>
              <w:right w:val="single" w:sz="8" w:space="0" w:color="auto"/>
            </w:tcBorders>
            <w:vAlign w:val="center"/>
            <w:hideMark/>
          </w:tcPr>
          <w:p w14:paraId="22F90FEE"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2034</w:t>
            </w:r>
          </w:p>
        </w:tc>
        <w:tc>
          <w:tcPr>
            <w:tcW w:w="439" w:type="pct"/>
            <w:vMerge/>
            <w:tcBorders>
              <w:top w:val="single" w:sz="8" w:space="0" w:color="auto"/>
              <w:left w:val="single" w:sz="8" w:space="0" w:color="auto"/>
              <w:bottom w:val="single" w:sz="8" w:space="0" w:color="auto"/>
              <w:right w:val="single" w:sz="8" w:space="0" w:color="auto"/>
            </w:tcBorders>
            <w:vAlign w:val="center"/>
            <w:hideMark/>
          </w:tcPr>
          <w:p w14:paraId="47E4ED8F" w14:textId="77777777" w:rsidR="004A489F" w:rsidRPr="00D207EA" w:rsidRDefault="004A489F">
            <w:pPr>
              <w:spacing w:before="0" w:after="0"/>
              <w:jc w:val="left"/>
              <w:rPr>
                <w:rFonts w:eastAsia="Times New Roman"/>
                <w:b/>
                <w:noProof/>
                <w:color w:val="000000"/>
                <w:sz w:val="14"/>
                <w:szCs w:val="14"/>
                <w:lang w:eastAsia="zh-CN"/>
              </w:rPr>
            </w:pPr>
          </w:p>
        </w:tc>
        <w:tc>
          <w:tcPr>
            <w:tcW w:w="396" w:type="pct"/>
            <w:tcBorders>
              <w:top w:val="single" w:sz="8" w:space="0" w:color="auto"/>
              <w:left w:val="single" w:sz="8" w:space="0" w:color="auto"/>
              <w:bottom w:val="single" w:sz="8" w:space="0" w:color="auto"/>
              <w:right w:val="single" w:sz="8" w:space="0" w:color="auto"/>
            </w:tcBorders>
            <w:vAlign w:val="center"/>
            <w:hideMark/>
          </w:tcPr>
          <w:p w14:paraId="347A6775"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2034</w:t>
            </w:r>
          </w:p>
        </w:tc>
        <w:tc>
          <w:tcPr>
            <w:tcW w:w="439" w:type="pct"/>
            <w:vMerge/>
            <w:tcBorders>
              <w:top w:val="single" w:sz="8" w:space="0" w:color="auto"/>
              <w:left w:val="single" w:sz="8" w:space="0" w:color="auto"/>
              <w:bottom w:val="single" w:sz="8" w:space="0" w:color="auto"/>
              <w:right w:val="single" w:sz="8" w:space="0" w:color="auto"/>
            </w:tcBorders>
            <w:vAlign w:val="center"/>
            <w:hideMark/>
          </w:tcPr>
          <w:p w14:paraId="56DFCB8B" w14:textId="77777777" w:rsidR="004A489F" w:rsidRPr="00D207EA" w:rsidRDefault="004A489F">
            <w:pPr>
              <w:spacing w:before="0" w:after="0"/>
              <w:jc w:val="left"/>
              <w:rPr>
                <w:rFonts w:eastAsia="Times New Roman"/>
                <w:b/>
                <w:noProof/>
                <w:color w:val="000000"/>
                <w:sz w:val="14"/>
                <w:szCs w:val="14"/>
                <w:lang w:eastAsia="zh-CN"/>
              </w:rPr>
            </w:pPr>
          </w:p>
        </w:tc>
      </w:tr>
      <w:tr w:rsidR="004A489F" w:rsidRPr="00D207EA" w14:paraId="459369CB" w14:textId="77777777">
        <w:trPr>
          <w:trHeight w:val="315"/>
        </w:trPr>
        <w:tc>
          <w:tcPr>
            <w:tcW w:w="4165" w:type="pct"/>
            <w:gridSpan w:val="9"/>
            <w:tcBorders>
              <w:top w:val="single" w:sz="8" w:space="0" w:color="auto"/>
              <w:left w:val="single" w:sz="8" w:space="0" w:color="auto"/>
              <w:bottom w:val="single" w:sz="8" w:space="0" w:color="auto"/>
              <w:right w:val="nil"/>
            </w:tcBorders>
            <w:vAlign w:val="center"/>
            <w:hideMark/>
          </w:tcPr>
          <w:p w14:paraId="5C34D197" w14:textId="77777777" w:rsidR="004A489F" w:rsidRPr="00D207EA" w:rsidRDefault="004A489F">
            <w:pPr>
              <w:spacing w:before="0" w:after="0"/>
              <w:jc w:val="left"/>
              <w:rPr>
                <w:rFonts w:eastAsia="Times New Roman"/>
                <w:b/>
                <w:noProof/>
                <w:sz w:val="14"/>
                <w:szCs w:val="14"/>
              </w:rPr>
            </w:pPr>
            <w:r w:rsidRPr="00D207EA">
              <w:rPr>
                <w:b/>
                <w:noProof/>
                <w:sz w:val="14"/>
              </w:rPr>
              <w:t>RUBRIQUE 7</w:t>
            </w:r>
          </w:p>
        </w:tc>
        <w:tc>
          <w:tcPr>
            <w:tcW w:w="396" w:type="pct"/>
            <w:tcBorders>
              <w:top w:val="single" w:sz="8" w:space="0" w:color="auto"/>
              <w:left w:val="single" w:sz="8" w:space="0" w:color="auto"/>
              <w:bottom w:val="single" w:sz="8" w:space="0" w:color="auto"/>
              <w:right w:val="single" w:sz="8" w:space="0" w:color="auto"/>
            </w:tcBorders>
            <w:vAlign w:val="center"/>
            <w:hideMark/>
          </w:tcPr>
          <w:p w14:paraId="71597973" w14:textId="77777777" w:rsidR="004A489F" w:rsidRPr="00D207EA" w:rsidRDefault="004A489F">
            <w:pPr>
              <w:spacing w:before="0" w:after="0"/>
              <w:jc w:val="left"/>
              <w:rPr>
                <w:rFonts w:eastAsia="Times New Roman"/>
                <w:b/>
                <w:noProof/>
                <w:sz w:val="14"/>
                <w:szCs w:val="14"/>
                <w:lang w:eastAsia="zh-CN"/>
              </w:rPr>
            </w:pPr>
          </w:p>
        </w:tc>
        <w:tc>
          <w:tcPr>
            <w:tcW w:w="439" w:type="pct"/>
            <w:tcBorders>
              <w:top w:val="single" w:sz="8" w:space="0" w:color="auto"/>
              <w:left w:val="single" w:sz="8" w:space="0" w:color="auto"/>
              <w:bottom w:val="single" w:sz="8" w:space="0" w:color="auto"/>
              <w:right w:val="single" w:sz="8" w:space="0" w:color="auto"/>
            </w:tcBorders>
            <w:vAlign w:val="center"/>
            <w:hideMark/>
          </w:tcPr>
          <w:p w14:paraId="10952AB0" w14:textId="77777777" w:rsidR="004A489F" w:rsidRPr="00D207EA" w:rsidRDefault="004A489F">
            <w:pPr>
              <w:spacing w:before="0" w:after="0"/>
              <w:jc w:val="left"/>
              <w:rPr>
                <w:rFonts w:eastAsia="Times New Roman"/>
                <w:noProof/>
                <w:sz w:val="14"/>
                <w:szCs w:val="14"/>
                <w:lang w:eastAsia="zh-CN"/>
              </w:rPr>
            </w:pPr>
          </w:p>
        </w:tc>
      </w:tr>
      <w:tr w:rsidR="004A489F" w:rsidRPr="00D207EA" w14:paraId="72577FA4" w14:textId="77777777">
        <w:trPr>
          <w:trHeight w:val="315"/>
        </w:trPr>
        <w:tc>
          <w:tcPr>
            <w:tcW w:w="952" w:type="pct"/>
            <w:tcBorders>
              <w:top w:val="single" w:sz="8" w:space="0" w:color="auto"/>
              <w:left w:val="single" w:sz="8" w:space="0" w:color="auto"/>
              <w:bottom w:val="single" w:sz="8" w:space="0" w:color="auto"/>
              <w:right w:val="single" w:sz="8" w:space="0" w:color="auto"/>
            </w:tcBorders>
            <w:vAlign w:val="center"/>
            <w:hideMark/>
          </w:tcPr>
          <w:p w14:paraId="434E7201" w14:textId="41C5DC21" w:rsidR="004A489F" w:rsidRPr="00D207EA" w:rsidRDefault="004A489F">
            <w:pPr>
              <w:spacing w:before="0" w:after="0"/>
              <w:jc w:val="left"/>
              <w:rPr>
                <w:rFonts w:eastAsia="Times New Roman"/>
                <w:noProof/>
                <w:color w:val="000000"/>
                <w:sz w:val="14"/>
                <w:szCs w:val="14"/>
              </w:rPr>
            </w:pPr>
            <w:r w:rsidRPr="00D207EA">
              <w:rPr>
                <w:noProof/>
                <w:color w:val="000000"/>
                <w:sz w:val="14"/>
              </w:rPr>
              <w:t>Ressources humaines</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78615D"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435,090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C3BEDD3"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435,090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1F849B"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435,090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2EF6B0"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435,090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BAA99C"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435,090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609A02F"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435,090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531518"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435,090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05D3AD3"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3045,630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3A662DA"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435,090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12B39DD"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3480,720</w:t>
            </w:r>
          </w:p>
        </w:tc>
      </w:tr>
      <w:tr w:rsidR="004A489F" w:rsidRPr="00D207EA" w14:paraId="4CC22744" w14:textId="77777777">
        <w:trPr>
          <w:trHeight w:val="315"/>
        </w:trPr>
        <w:tc>
          <w:tcPr>
            <w:tcW w:w="952" w:type="pct"/>
            <w:tcBorders>
              <w:top w:val="single" w:sz="8" w:space="0" w:color="auto"/>
              <w:left w:val="single" w:sz="8" w:space="0" w:color="auto"/>
              <w:bottom w:val="single" w:sz="8" w:space="0" w:color="auto"/>
              <w:right w:val="single" w:sz="8" w:space="0" w:color="auto"/>
            </w:tcBorders>
            <w:vAlign w:val="center"/>
            <w:hideMark/>
          </w:tcPr>
          <w:p w14:paraId="21C8A4CD" w14:textId="5E9ABDBF" w:rsidR="004A489F" w:rsidRPr="00D207EA" w:rsidRDefault="004A489F">
            <w:pPr>
              <w:spacing w:before="0" w:after="0"/>
              <w:jc w:val="left"/>
              <w:rPr>
                <w:rFonts w:eastAsia="Times New Roman"/>
                <w:noProof/>
                <w:color w:val="000000"/>
                <w:sz w:val="14"/>
                <w:szCs w:val="14"/>
              </w:rPr>
            </w:pPr>
            <w:r w:rsidRPr="00D207EA">
              <w:rPr>
                <w:noProof/>
                <w:color w:val="000000"/>
                <w:sz w:val="14"/>
              </w:rPr>
              <w:t>Autres dépenses administratives</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6712FB"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26,923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4FFE19"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26,923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1D3F9E6"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26,923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C26A6ED"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26,923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1DE98AF"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26,923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3944019"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26,923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6BE6B6"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26,923</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7E8F9D"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188,461</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158360E"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26,923</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01E7D85"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215,384</w:t>
            </w:r>
          </w:p>
        </w:tc>
      </w:tr>
      <w:tr w:rsidR="004A489F" w:rsidRPr="00D207EA" w14:paraId="182BA1FA" w14:textId="77777777">
        <w:trPr>
          <w:trHeight w:val="315"/>
        </w:trPr>
        <w:tc>
          <w:tcPr>
            <w:tcW w:w="952"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4F692E46"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Sous-total RUBRIQUE 7</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12113B7"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462,013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CFE169E"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462,013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B67BA5"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462,013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B25763"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462,013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5CF40E9"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462,013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AFA2394"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462,013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933C50C"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462,013</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21B46DB"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3234,091</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B7A362B"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462,013</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A7CFE11"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3696,104</w:t>
            </w:r>
          </w:p>
        </w:tc>
      </w:tr>
      <w:tr w:rsidR="004A489F" w:rsidRPr="00D207EA" w14:paraId="58809E84" w14:textId="77777777">
        <w:trPr>
          <w:trHeight w:val="315"/>
        </w:trPr>
        <w:tc>
          <w:tcPr>
            <w:tcW w:w="4165" w:type="pct"/>
            <w:gridSpan w:val="9"/>
            <w:tcBorders>
              <w:top w:val="single" w:sz="8" w:space="0" w:color="auto"/>
              <w:left w:val="single" w:sz="8" w:space="0" w:color="auto"/>
              <w:bottom w:val="single" w:sz="8" w:space="0" w:color="auto"/>
              <w:right w:val="nil"/>
            </w:tcBorders>
            <w:vAlign w:val="center"/>
            <w:hideMark/>
          </w:tcPr>
          <w:p w14:paraId="5CF1B874" w14:textId="77777777" w:rsidR="004A489F" w:rsidRPr="00D207EA" w:rsidRDefault="004A489F">
            <w:pPr>
              <w:spacing w:before="0" w:after="0"/>
              <w:jc w:val="left"/>
              <w:rPr>
                <w:rFonts w:eastAsia="Times New Roman"/>
                <w:b/>
                <w:noProof/>
                <w:sz w:val="14"/>
                <w:szCs w:val="14"/>
              </w:rPr>
            </w:pPr>
            <w:r w:rsidRPr="00D207EA">
              <w:rPr>
                <w:b/>
                <w:noProof/>
                <w:sz w:val="14"/>
              </w:rPr>
              <w:t>Hors RUBRIQUE 7</w:t>
            </w:r>
          </w:p>
        </w:tc>
        <w:tc>
          <w:tcPr>
            <w:tcW w:w="396" w:type="pct"/>
            <w:tcBorders>
              <w:top w:val="single" w:sz="8" w:space="0" w:color="auto"/>
              <w:left w:val="single" w:sz="8" w:space="0" w:color="auto"/>
              <w:bottom w:val="single" w:sz="8" w:space="0" w:color="auto"/>
              <w:right w:val="single" w:sz="8" w:space="0" w:color="auto"/>
            </w:tcBorders>
            <w:vAlign w:val="center"/>
            <w:hideMark/>
          </w:tcPr>
          <w:p w14:paraId="403E22AA" w14:textId="77777777" w:rsidR="004A489F" w:rsidRPr="00D207EA" w:rsidRDefault="004A489F">
            <w:pPr>
              <w:spacing w:before="0" w:after="0"/>
              <w:jc w:val="left"/>
              <w:rPr>
                <w:rFonts w:eastAsia="Times New Roman"/>
                <w:b/>
                <w:noProof/>
                <w:sz w:val="14"/>
                <w:szCs w:val="14"/>
                <w:lang w:eastAsia="zh-CN"/>
              </w:rPr>
            </w:pPr>
          </w:p>
        </w:tc>
        <w:tc>
          <w:tcPr>
            <w:tcW w:w="439" w:type="pct"/>
            <w:tcBorders>
              <w:top w:val="single" w:sz="8" w:space="0" w:color="auto"/>
              <w:left w:val="single" w:sz="8" w:space="0" w:color="auto"/>
              <w:bottom w:val="single" w:sz="8" w:space="0" w:color="auto"/>
              <w:right w:val="single" w:sz="8" w:space="0" w:color="auto"/>
            </w:tcBorders>
            <w:vAlign w:val="center"/>
            <w:hideMark/>
          </w:tcPr>
          <w:p w14:paraId="2AC4BC82" w14:textId="77777777" w:rsidR="004A489F" w:rsidRPr="00D207EA" w:rsidRDefault="004A489F">
            <w:pPr>
              <w:spacing w:before="0" w:after="0"/>
              <w:jc w:val="left"/>
              <w:rPr>
                <w:rFonts w:eastAsia="Times New Roman"/>
                <w:noProof/>
                <w:sz w:val="14"/>
                <w:szCs w:val="14"/>
                <w:lang w:eastAsia="zh-CN"/>
              </w:rPr>
            </w:pPr>
          </w:p>
        </w:tc>
      </w:tr>
      <w:tr w:rsidR="004A489F" w:rsidRPr="00D207EA" w14:paraId="60958DA9" w14:textId="77777777">
        <w:trPr>
          <w:trHeight w:val="315"/>
        </w:trPr>
        <w:tc>
          <w:tcPr>
            <w:tcW w:w="952" w:type="pct"/>
            <w:tcBorders>
              <w:top w:val="single" w:sz="8" w:space="0" w:color="auto"/>
              <w:left w:val="single" w:sz="8" w:space="0" w:color="auto"/>
              <w:bottom w:val="single" w:sz="8" w:space="0" w:color="auto"/>
              <w:right w:val="single" w:sz="8" w:space="0" w:color="auto"/>
            </w:tcBorders>
            <w:vAlign w:val="center"/>
            <w:hideMark/>
          </w:tcPr>
          <w:p w14:paraId="594E1F3E" w14:textId="716E2778" w:rsidR="004A489F" w:rsidRPr="00D207EA" w:rsidRDefault="004A489F">
            <w:pPr>
              <w:spacing w:before="0" w:after="0"/>
              <w:jc w:val="left"/>
              <w:rPr>
                <w:rFonts w:eastAsia="Times New Roman"/>
                <w:noProof/>
                <w:color w:val="000000"/>
                <w:sz w:val="14"/>
                <w:szCs w:val="14"/>
              </w:rPr>
            </w:pPr>
            <w:r w:rsidRPr="00D207EA">
              <w:rPr>
                <w:noProof/>
                <w:color w:val="000000"/>
                <w:sz w:val="14"/>
              </w:rPr>
              <w:t>Ressources humaines</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5117FF1"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66020A"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3690A09"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B2AAEC"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4540DA8"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79CAB7E"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06BC2DC"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29,290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1F53B3"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205,030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9DAFBE0"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29,290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0FDB856"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234,320</w:t>
            </w:r>
          </w:p>
        </w:tc>
      </w:tr>
      <w:tr w:rsidR="004A489F" w:rsidRPr="00D207EA" w14:paraId="2E122CBD" w14:textId="77777777">
        <w:trPr>
          <w:trHeight w:val="315"/>
        </w:trPr>
        <w:tc>
          <w:tcPr>
            <w:tcW w:w="952" w:type="pct"/>
            <w:tcBorders>
              <w:top w:val="single" w:sz="8" w:space="0" w:color="auto"/>
              <w:left w:val="single" w:sz="8" w:space="0" w:color="auto"/>
              <w:bottom w:val="single" w:sz="8" w:space="0" w:color="auto"/>
              <w:right w:val="single" w:sz="8" w:space="0" w:color="auto"/>
            </w:tcBorders>
            <w:vAlign w:val="center"/>
            <w:hideMark/>
          </w:tcPr>
          <w:p w14:paraId="6468851A" w14:textId="77777777" w:rsidR="004A489F" w:rsidRPr="00D207EA" w:rsidRDefault="004A489F">
            <w:pPr>
              <w:spacing w:before="0" w:after="0"/>
              <w:jc w:val="left"/>
              <w:rPr>
                <w:rFonts w:eastAsia="Times New Roman"/>
                <w:noProof/>
                <w:color w:val="000000"/>
                <w:sz w:val="14"/>
                <w:szCs w:val="14"/>
              </w:rPr>
            </w:pPr>
            <w:r w:rsidRPr="00D207EA">
              <w:rPr>
                <w:noProof/>
                <w:color w:val="000000"/>
                <w:sz w:val="14"/>
              </w:rPr>
              <w:t>Autres dépenses de nature administrative</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C72830"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5D88F0"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E5B2E50"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B0C85B5"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725801"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A703BE"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4760A5"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0,000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5384DE"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1CF3D7"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0,000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C36BFA"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0,000</w:t>
            </w:r>
          </w:p>
        </w:tc>
      </w:tr>
      <w:tr w:rsidR="004A489F" w:rsidRPr="00D207EA" w14:paraId="7B9FCB6C" w14:textId="77777777">
        <w:trPr>
          <w:trHeight w:val="315"/>
        </w:trPr>
        <w:tc>
          <w:tcPr>
            <w:tcW w:w="952"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0A4B1D1D"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Sous-total hors RUBRIQUE 7</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A89BD3"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56EF9FF"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D79675B"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57EDEFC"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F3D239F"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78C3579"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EC2AF7"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29,290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7390E90"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205,030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F07312"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29,290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7B3B53"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234,320</w:t>
            </w:r>
          </w:p>
        </w:tc>
      </w:tr>
      <w:tr w:rsidR="004A489F" w:rsidRPr="00D207EA" w14:paraId="03CAA435" w14:textId="77777777">
        <w:trPr>
          <w:trHeight w:val="315"/>
        </w:trPr>
        <w:tc>
          <w:tcPr>
            <w:tcW w:w="4165" w:type="pct"/>
            <w:gridSpan w:val="9"/>
            <w:tcBorders>
              <w:top w:val="single" w:sz="8" w:space="0" w:color="auto"/>
              <w:left w:val="single" w:sz="8" w:space="0" w:color="auto"/>
              <w:bottom w:val="single" w:sz="8" w:space="0" w:color="auto"/>
              <w:right w:val="nil"/>
            </w:tcBorders>
            <w:noWrap/>
            <w:vAlign w:val="center"/>
            <w:hideMark/>
          </w:tcPr>
          <w:p w14:paraId="3C4BDA35" w14:textId="77777777" w:rsidR="004A489F" w:rsidRPr="00D207EA" w:rsidRDefault="004A489F">
            <w:pPr>
              <w:spacing w:before="0" w:after="0"/>
              <w:jc w:val="right"/>
              <w:rPr>
                <w:rFonts w:eastAsia="Times New Roman"/>
                <w:b/>
                <w:noProof/>
                <w:color w:val="000000"/>
                <w:sz w:val="14"/>
                <w:szCs w:val="14"/>
                <w:lang w:eastAsia="zh-CN"/>
              </w:rPr>
            </w:pPr>
          </w:p>
        </w:tc>
        <w:tc>
          <w:tcPr>
            <w:tcW w:w="835" w:type="pct"/>
            <w:gridSpan w:val="2"/>
            <w:tcBorders>
              <w:top w:val="single" w:sz="8" w:space="0" w:color="auto"/>
              <w:left w:val="single" w:sz="8" w:space="0" w:color="auto"/>
              <w:bottom w:val="single" w:sz="8" w:space="0" w:color="auto"/>
              <w:right w:val="nil"/>
            </w:tcBorders>
            <w:noWrap/>
            <w:vAlign w:val="bottom"/>
            <w:hideMark/>
          </w:tcPr>
          <w:p w14:paraId="44FEF35A" w14:textId="77777777" w:rsidR="004A489F" w:rsidRPr="00D207EA" w:rsidRDefault="004A489F">
            <w:pPr>
              <w:spacing w:before="0" w:after="0"/>
              <w:jc w:val="center"/>
              <w:rPr>
                <w:rFonts w:eastAsia="Times New Roman"/>
                <w:noProof/>
                <w:sz w:val="14"/>
                <w:szCs w:val="14"/>
                <w:lang w:eastAsia="zh-CN"/>
              </w:rPr>
            </w:pPr>
          </w:p>
        </w:tc>
      </w:tr>
      <w:tr w:rsidR="004A489F" w:rsidRPr="00D207EA" w14:paraId="667512BE" w14:textId="77777777">
        <w:trPr>
          <w:trHeight w:val="315"/>
        </w:trPr>
        <w:tc>
          <w:tcPr>
            <w:tcW w:w="952" w:type="pct"/>
            <w:tcBorders>
              <w:top w:val="single" w:sz="8" w:space="0" w:color="auto"/>
              <w:left w:val="single" w:sz="8" w:space="0" w:color="auto"/>
              <w:bottom w:val="single" w:sz="8" w:space="0" w:color="auto"/>
              <w:right w:val="single" w:sz="8" w:space="0" w:color="auto"/>
            </w:tcBorders>
            <w:vAlign w:val="center"/>
            <w:hideMark/>
          </w:tcPr>
          <w:p w14:paraId="100A36EF"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TOTAL</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EA32B5"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491,303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A83953"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491,303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9ABEA76"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491,303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4E8B62"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491,303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45F242"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491,303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16BCF02"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491,303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FF12AF6"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491,303</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209F1CB"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3439,121</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8DB03B"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491,303</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0AEA177"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3930,424</w:t>
            </w:r>
          </w:p>
        </w:tc>
      </w:tr>
    </w:tbl>
    <w:p w14:paraId="345CEBED" w14:textId="6B9F2F92" w:rsidR="004A489F" w:rsidRPr="00D207EA" w:rsidRDefault="004A489F" w:rsidP="004A489F">
      <w:pPr>
        <w:pStyle w:val="ManualHeading3"/>
        <w:rPr>
          <w:noProof/>
        </w:rPr>
      </w:pPr>
      <w:r w:rsidRPr="00D207EA">
        <w:rPr>
          <w:noProof/>
        </w:rPr>
        <w:t>3.2.3.2.</w:t>
      </w:r>
      <w:r w:rsidRPr="00D207EA">
        <w:rPr>
          <w:noProof/>
        </w:rPr>
        <w:tab/>
        <w:t>Crédits issus de recettes affectées externes</w:t>
      </w:r>
      <w:bookmarkEnd w:id="176"/>
      <w:bookmarkEnd w:id="177"/>
    </w:p>
    <w:tbl>
      <w:tblPr>
        <w:tblW w:w="5000" w:type="pct"/>
        <w:tblCellMar>
          <w:top w:w="15" w:type="dxa"/>
          <w:bottom w:w="15" w:type="dxa"/>
        </w:tblCellMar>
        <w:tblLook w:val="04A0" w:firstRow="1" w:lastRow="0" w:firstColumn="1" w:lastColumn="0" w:noHBand="0" w:noVBand="1"/>
      </w:tblPr>
      <w:tblGrid>
        <w:gridCol w:w="1756"/>
        <w:gridCol w:w="686"/>
        <w:gridCol w:w="686"/>
        <w:gridCol w:w="686"/>
        <w:gridCol w:w="686"/>
        <w:gridCol w:w="686"/>
        <w:gridCol w:w="686"/>
        <w:gridCol w:w="686"/>
        <w:gridCol w:w="847"/>
        <w:gridCol w:w="777"/>
        <w:gridCol w:w="1107"/>
      </w:tblGrid>
      <w:tr w:rsidR="004A489F" w:rsidRPr="00D207EA" w14:paraId="2D959AAA" w14:textId="77777777">
        <w:trPr>
          <w:trHeight w:val="300"/>
        </w:trPr>
        <w:tc>
          <w:tcPr>
            <w:tcW w:w="1380" w:type="pct"/>
            <w:vMerge w:val="restart"/>
            <w:tcBorders>
              <w:top w:val="single" w:sz="8" w:space="0" w:color="auto"/>
              <w:left w:val="single" w:sz="8" w:space="0" w:color="auto"/>
              <w:bottom w:val="nil"/>
              <w:right w:val="single" w:sz="8" w:space="0" w:color="auto"/>
            </w:tcBorders>
            <w:vAlign w:val="center"/>
            <w:hideMark/>
          </w:tcPr>
          <w:p w14:paraId="6BD3A1F6" w14:textId="77777777" w:rsidR="004A489F" w:rsidRPr="00D207EA" w:rsidRDefault="004A489F">
            <w:pPr>
              <w:spacing w:before="0" w:after="0"/>
              <w:jc w:val="center"/>
              <w:rPr>
                <w:rFonts w:eastAsia="Times New Roman"/>
                <w:b/>
                <w:noProof/>
                <w:color w:val="000000"/>
                <w:sz w:val="18"/>
                <w:szCs w:val="18"/>
              </w:rPr>
            </w:pPr>
            <w:r w:rsidRPr="00D207EA">
              <w:rPr>
                <w:b/>
                <w:noProof/>
                <w:color w:val="000000"/>
                <w:sz w:val="18"/>
              </w:rPr>
              <w:t>RECETTES AFFECTÉES EXTERNES</w:t>
            </w:r>
          </w:p>
        </w:tc>
        <w:tc>
          <w:tcPr>
            <w:tcW w:w="354" w:type="pct"/>
            <w:tcBorders>
              <w:top w:val="single" w:sz="8" w:space="0" w:color="auto"/>
              <w:left w:val="nil"/>
              <w:bottom w:val="nil"/>
              <w:right w:val="single" w:sz="8" w:space="0" w:color="auto"/>
            </w:tcBorders>
            <w:vAlign w:val="center"/>
            <w:hideMark/>
          </w:tcPr>
          <w:p w14:paraId="30F9436B"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Année</w:t>
            </w:r>
          </w:p>
        </w:tc>
        <w:tc>
          <w:tcPr>
            <w:tcW w:w="354" w:type="pct"/>
            <w:tcBorders>
              <w:top w:val="single" w:sz="8" w:space="0" w:color="auto"/>
              <w:left w:val="nil"/>
              <w:bottom w:val="nil"/>
              <w:right w:val="single" w:sz="8" w:space="0" w:color="auto"/>
            </w:tcBorders>
            <w:vAlign w:val="center"/>
            <w:hideMark/>
          </w:tcPr>
          <w:p w14:paraId="659C2CD2"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Année</w:t>
            </w:r>
          </w:p>
        </w:tc>
        <w:tc>
          <w:tcPr>
            <w:tcW w:w="354" w:type="pct"/>
            <w:tcBorders>
              <w:top w:val="single" w:sz="8" w:space="0" w:color="auto"/>
              <w:left w:val="nil"/>
              <w:bottom w:val="nil"/>
              <w:right w:val="single" w:sz="8" w:space="0" w:color="auto"/>
            </w:tcBorders>
            <w:vAlign w:val="center"/>
            <w:hideMark/>
          </w:tcPr>
          <w:p w14:paraId="33706309"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Année</w:t>
            </w:r>
          </w:p>
        </w:tc>
        <w:tc>
          <w:tcPr>
            <w:tcW w:w="362" w:type="pct"/>
            <w:tcBorders>
              <w:top w:val="single" w:sz="8" w:space="0" w:color="auto"/>
              <w:left w:val="nil"/>
              <w:bottom w:val="nil"/>
              <w:right w:val="single" w:sz="8" w:space="0" w:color="auto"/>
            </w:tcBorders>
            <w:vAlign w:val="center"/>
            <w:hideMark/>
          </w:tcPr>
          <w:p w14:paraId="79941593"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Année</w:t>
            </w:r>
          </w:p>
        </w:tc>
        <w:tc>
          <w:tcPr>
            <w:tcW w:w="362" w:type="pct"/>
            <w:tcBorders>
              <w:top w:val="single" w:sz="8" w:space="0" w:color="auto"/>
              <w:left w:val="nil"/>
              <w:bottom w:val="nil"/>
              <w:right w:val="single" w:sz="8" w:space="0" w:color="auto"/>
            </w:tcBorders>
            <w:vAlign w:val="center"/>
            <w:hideMark/>
          </w:tcPr>
          <w:p w14:paraId="410CA947"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Année</w:t>
            </w:r>
          </w:p>
        </w:tc>
        <w:tc>
          <w:tcPr>
            <w:tcW w:w="358" w:type="pct"/>
            <w:tcBorders>
              <w:top w:val="single" w:sz="8" w:space="0" w:color="auto"/>
              <w:left w:val="nil"/>
              <w:bottom w:val="nil"/>
              <w:right w:val="single" w:sz="8" w:space="0" w:color="auto"/>
            </w:tcBorders>
            <w:vAlign w:val="center"/>
            <w:hideMark/>
          </w:tcPr>
          <w:p w14:paraId="1DC6F2D2"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Année</w:t>
            </w:r>
          </w:p>
        </w:tc>
        <w:tc>
          <w:tcPr>
            <w:tcW w:w="351" w:type="pct"/>
            <w:tcBorders>
              <w:top w:val="single" w:sz="8" w:space="0" w:color="auto"/>
              <w:left w:val="nil"/>
              <w:bottom w:val="nil"/>
              <w:right w:val="single" w:sz="8" w:space="0" w:color="auto"/>
            </w:tcBorders>
            <w:vAlign w:val="center"/>
            <w:hideMark/>
          </w:tcPr>
          <w:p w14:paraId="745E1696"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Année</w:t>
            </w:r>
          </w:p>
        </w:tc>
        <w:tc>
          <w:tcPr>
            <w:tcW w:w="400" w:type="pct"/>
            <w:vMerge w:val="restart"/>
            <w:tcBorders>
              <w:top w:val="single" w:sz="8" w:space="0" w:color="auto"/>
              <w:left w:val="single" w:sz="8" w:space="0" w:color="auto"/>
              <w:bottom w:val="nil"/>
              <w:right w:val="single" w:sz="8" w:space="0" w:color="auto"/>
            </w:tcBorders>
            <w:vAlign w:val="center"/>
            <w:hideMark/>
          </w:tcPr>
          <w:p w14:paraId="58957074" w14:textId="77777777" w:rsidR="004A489F" w:rsidRPr="00D207EA" w:rsidRDefault="004A489F">
            <w:pPr>
              <w:spacing w:before="0" w:after="0"/>
              <w:jc w:val="center"/>
              <w:rPr>
                <w:rFonts w:eastAsia="Times New Roman"/>
                <w:b/>
                <w:noProof/>
                <w:color w:val="000000"/>
                <w:sz w:val="18"/>
                <w:szCs w:val="18"/>
              </w:rPr>
            </w:pPr>
            <w:r w:rsidRPr="00D207EA">
              <w:rPr>
                <w:b/>
                <w:noProof/>
                <w:color w:val="000000"/>
                <w:sz w:val="18"/>
              </w:rPr>
              <w:t>TOTAL</w:t>
            </w:r>
            <w:r w:rsidRPr="00D207EA">
              <w:rPr>
                <w:b/>
                <w:noProof/>
                <w:color w:val="000000"/>
                <w:sz w:val="18"/>
              </w:rPr>
              <w:br/>
              <w:t>2028 - 2034</w:t>
            </w:r>
          </w:p>
        </w:tc>
        <w:tc>
          <w:tcPr>
            <w:tcW w:w="362" w:type="pct"/>
            <w:tcBorders>
              <w:top w:val="single" w:sz="8" w:space="0" w:color="auto"/>
              <w:left w:val="nil"/>
              <w:bottom w:val="nil"/>
              <w:right w:val="single" w:sz="8" w:space="0" w:color="auto"/>
            </w:tcBorders>
            <w:vAlign w:val="center"/>
            <w:hideMark/>
          </w:tcPr>
          <w:p w14:paraId="7807E4A2"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APRÈS</w:t>
            </w:r>
          </w:p>
        </w:tc>
        <w:tc>
          <w:tcPr>
            <w:tcW w:w="362" w:type="pct"/>
            <w:vMerge w:val="restart"/>
            <w:tcBorders>
              <w:top w:val="single" w:sz="8" w:space="0" w:color="auto"/>
              <w:left w:val="single" w:sz="8" w:space="0" w:color="auto"/>
              <w:bottom w:val="nil"/>
              <w:right w:val="single" w:sz="8" w:space="0" w:color="auto"/>
            </w:tcBorders>
            <w:vAlign w:val="center"/>
            <w:hideMark/>
          </w:tcPr>
          <w:p w14:paraId="61DB1A87" w14:textId="77777777" w:rsidR="004A489F" w:rsidRPr="00D207EA" w:rsidRDefault="004A489F">
            <w:pPr>
              <w:spacing w:before="0" w:after="0"/>
              <w:jc w:val="center"/>
              <w:rPr>
                <w:rFonts w:eastAsia="Times New Roman"/>
                <w:b/>
                <w:noProof/>
                <w:color w:val="000000"/>
                <w:sz w:val="18"/>
                <w:szCs w:val="18"/>
              </w:rPr>
            </w:pPr>
            <w:r w:rsidRPr="00D207EA">
              <w:rPr>
                <w:b/>
                <w:noProof/>
                <w:color w:val="000000"/>
                <w:sz w:val="18"/>
              </w:rPr>
              <w:t>TOTAL GÉNÉRAL</w:t>
            </w:r>
          </w:p>
        </w:tc>
      </w:tr>
      <w:tr w:rsidR="004A489F" w:rsidRPr="00D207EA" w14:paraId="74C50E23" w14:textId="77777777">
        <w:trPr>
          <w:trHeight w:val="315"/>
        </w:trPr>
        <w:tc>
          <w:tcPr>
            <w:tcW w:w="1380" w:type="pct"/>
            <w:vMerge/>
            <w:tcBorders>
              <w:top w:val="single" w:sz="8" w:space="0" w:color="auto"/>
              <w:left w:val="single" w:sz="8" w:space="0" w:color="auto"/>
              <w:bottom w:val="nil"/>
              <w:right w:val="single" w:sz="8" w:space="0" w:color="auto"/>
            </w:tcBorders>
            <w:vAlign w:val="center"/>
            <w:hideMark/>
          </w:tcPr>
          <w:p w14:paraId="5F5B3BA1" w14:textId="77777777" w:rsidR="004A489F" w:rsidRPr="00D207EA" w:rsidRDefault="004A489F">
            <w:pPr>
              <w:spacing w:before="0" w:after="0"/>
              <w:jc w:val="left"/>
              <w:rPr>
                <w:rFonts w:eastAsia="Times New Roman"/>
                <w:b/>
                <w:noProof/>
                <w:color w:val="000000"/>
                <w:sz w:val="18"/>
                <w:szCs w:val="18"/>
                <w:lang w:eastAsia="zh-CN"/>
              </w:rPr>
            </w:pPr>
          </w:p>
        </w:tc>
        <w:tc>
          <w:tcPr>
            <w:tcW w:w="354" w:type="pct"/>
            <w:tcBorders>
              <w:top w:val="nil"/>
              <w:left w:val="nil"/>
              <w:bottom w:val="single" w:sz="8" w:space="0" w:color="auto"/>
              <w:right w:val="single" w:sz="8" w:space="0" w:color="auto"/>
            </w:tcBorders>
            <w:vAlign w:val="center"/>
            <w:hideMark/>
          </w:tcPr>
          <w:p w14:paraId="4A0B8174" w14:textId="77777777" w:rsidR="004A489F" w:rsidRPr="00D207EA" w:rsidRDefault="004A489F">
            <w:pPr>
              <w:spacing w:before="0" w:after="0"/>
              <w:jc w:val="center"/>
              <w:rPr>
                <w:rFonts w:eastAsia="Times New Roman"/>
                <w:b/>
                <w:noProof/>
                <w:color w:val="000000"/>
                <w:sz w:val="18"/>
                <w:szCs w:val="18"/>
              </w:rPr>
            </w:pPr>
            <w:r w:rsidRPr="00D207EA">
              <w:rPr>
                <w:b/>
                <w:noProof/>
                <w:color w:val="000000"/>
                <w:sz w:val="18"/>
              </w:rPr>
              <w:t>2028</w:t>
            </w:r>
          </w:p>
        </w:tc>
        <w:tc>
          <w:tcPr>
            <w:tcW w:w="354" w:type="pct"/>
            <w:tcBorders>
              <w:top w:val="nil"/>
              <w:left w:val="nil"/>
              <w:bottom w:val="single" w:sz="8" w:space="0" w:color="auto"/>
              <w:right w:val="single" w:sz="8" w:space="0" w:color="auto"/>
            </w:tcBorders>
            <w:vAlign w:val="center"/>
            <w:hideMark/>
          </w:tcPr>
          <w:p w14:paraId="3672238C" w14:textId="77777777" w:rsidR="004A489F" w:rsidRPr="00D207EA" w:rsidRDefault="004A489F">
            <w:pPr>
              <w:spacing w:before="0" w:after="0"/>
              <w:jc w:val="center"/>
              <w:rPr>
                <w:rFonts w:eastAsia="Times New Roman"/>
                <w:b/>
                <w:noProof/>
                <w:color w:val="000000"/>
                <w:sz w:val="18"/>
                <w:szCs w:val="18"/>
              </w:rPr>
            </w:pPr>
            <w:r w:rsidRPr="00D207EA">
              <w:rPr>
                <w:b/>
                <w:noProof/>
                <w:color w:val="000000"/>
                <w:sz w:val="18"/>
              </w:rPr>
              <w:t>2029</w:t>
            </w:r>
          </w:p>
        </w:tc>
        <w:tc>
          <w:tcPr>
            <w:tcW w:w="354" w:type="pct"/>
            <w:tcBorders>
              <w:top w:val="nil"/>
              <w:left w:val="nil"/>
              <w:bottom w:val="single" w:sz="8" w:space="0" w:color="auto"/>
              <w:right w:val="single" w:sz="8" w:space="0" w:color="auto"/>
            </w:tcBorders>
            <w:vAlign w:val="center"/>
            <w:hideMark/>
          </w:tcPr>
          <w:p w14:paraId="53CA749F" w14:textId="77777777" w:rsidR="004A489F" w:rsidRPr="00D207EA" w:rsidRDefault="004A489F">
            <w:pPr>
              <w:spacing w:before="0" w:after="0"/>
              <w:jc w:val="center"/>
              <w:rPr>
                <w:rFonts w:eastAsia="Times New Roman"/>
                <w:b/>
                <w:noProof/>
                <w:color w:val="000000"/>
                <w:sz w:val="18"/>
                <w:szCs w:val="18"/>
              </w:rPr>
            </w:pPr>
            <w:r w:rsidRPr="00D207EA">
              <w:rPr>
                <w:b/>
                <w:noProof/>
                <w:color w:val="000000"/>
                <w:sz w:val="18"/>
              </w:rPr>
              <w:t>2030</w:t>
            </w:r>
          </w:p>
        </w:tc>
        <w:tc>
          <w:tcPr>
            <w:tcW w:w="362" w:type="pct"/>
            <w:tcBorders>
              <w:top w:val="nil"/>
              <w:left w:val="nil"/>
              <w:bottom w:val="single" w:sz="8" w:space="0" w:color="auto"/>
              <w:right w:val="single" w:sz="8" w:space="0" w:color="auto"/>
            </w:tcBorders>
            <w:vAlign w:val="center"/>
            <w:hideMark/>
          </w:tcPr>
          <w:p w14:paraId="18E8CB89" w14:textId="77777777" w:rsidR="004A489F" w:rsidRPr="00D207EA" w:rsidRDefault="004A489F">
            <w:pPr>
              <w:spacing w:before="0" w:after="0"/>
              <w:jc w:val="center"/>
              <w:rPr>
                <w:rFonts w:eastAsia="Times New Roman"/>
                <w:b/>
                <w:noProof/>
                <w:color w:val="000000"/>
                <w:sz w:val="18"/>
                <w:szCs w:val="18"/>
              </w:rPr>
            </w:pPr>
            <w:r w:rsidRPr="00D207EA">
              <w:rPr>
                <w:b/>
                <w:noProof/>
                <w:color w:val="000000"/>
                <w:sz w:val="18"/>
              </w:rPr>
              <w:t>2031</w:t>
            </w:r>
          </w:p>
        </w:tc>
        <w:tc>
          <w:tcPr>
            <w:tcW w:w="362" w:type="pct"/>
            <w:tcBorders>
              <w:top w:val="nil"/>
              <w:left w:val="nil"/>
              <w:bottom w:val="single" w:sz="8" w:space="0" w:color="auto"/>
              <w:right w:val="single" w:sz="8" w:space="0" w:color="auto"/>
            </w:tcBorders>
            <w:vAlign w:val="center"/>
            <w:hideMark/>
          </w:tcPr>
          <w:p w14:paraId="35D4FD18" w14:textId="77777777" w:rsidR="004A489F" w:rsidRPr="00D207EA" w:rsidRDefault="004A489F">
            <w:pPr>
              <w:spacing w:before="0" w:after="0"/>
              <w:jc w:val="center"/>
              <w:rPr>
                <w:rFonts w:eastAsia="Times New Roman"/>
                <w:b/>
                <w:noProof/>
                <w:color w:val="000000"/>
                <w:sz w:val="18"/>
                <w:szCs w:val="18"/>
              </w:rPr>
            </w:pPr>
            <w:r w:rsidRPr="00D207EA">
              <w:rPr>
                <w:b/>
                <w:noProof/>
                <w:color w:val="000000"/>
                <w:sz w:val="18"/>
              </w:rPr>
              <w:t>2032</w:t>
            </w:r>
          </w:p>
        </w:tc>
        <w:tc>
          <w:tcPr>
            <w:tcW w:w="358" w:type="pct"/>
            <w:tcBorders>
              <w:top w:val="nil"/>
              <w:left w:val="nil"/>
              <w:bottom w:val="single" w:sz="8" w:space="0" w:color="auto"/>
              <w:right w:val="single" w:sz="8" w:space="0" w:color="auto"/>
            </w:tcBorders>
            <w:vAlign w:val="center"/>
            <w:hideMark/>
          </w:tcPr>
          <w:p w14:paraId="46FE4FA5" w14:textId="77777777" w:rsidR="004A489F" w:rsidRPr="00D207EA" w:rsidRDefault="004A489F">
            <w:pPr>
              <w:spacing w:before="0" w:after="0"/>
              <w:jc w:val="center"/>
              <w:rPr>
                <w:rFonts w:eastAsia="Times New Roman"/>
                <w:b/>
                <w:noProof/>
                <w:color w:val="000000"/>
                <w:sz w:val="18"/>
                <w:szCs w:val="18"/>
              </w:rPr>
            </w:pPr>
            <w:r w:rsidRPr="00D207EA">
              <w:rPr>
                <w:b/>
                <w:noProof/>
                <w:color w:val="000000"/>
                <w:sz w:val="18"/>
              </w:rPr>
              <w:t>2033</w:t>
            </w:r>
          </w:p>
        </w:tc>
        <w:tc>
          <w:tcPr>
            <w:tcW w:w="351" w:type="pct"/>
            <w:tcBorders>
              <w:top w:val="nil"/>
              <w:left w:val="nil"/>
              <w:bottom w:val="single" w:sz="8" w:space="0" w:color="auto"/>
              <w:right w:val="single" w:sz="8" w:space="0" w:color="auto"/>
            </w:tcBorders>
            <w:vAlign w:val="center"/>
            <w:hideMark/>
          </w:tcPr>
          <w:p w14:paraId="25424330" w14:textId="77777777" w:rsidR="004A489F" w:rsidRPr="00D207EA" w:rsidRDefault="004A489F">
            <w:pPr>
              <w:spacing w:before="0" w:after="0"/>
              <w:jc w:val="center"/>
              <w:rPr>
                <w:rFonts w:eastAsia="Times New Roman"/>
                <w:b/>
                <w:noProof/>
                <w:color w:val="000000"/>
                <w:sz w:val="18"/>
                <w:szCs w:val="18"/>
              </w:rPr>
            </w:pPr>
            <w:r w:rsidRPr="00D207EA">
              <w:rPr>
                <w:b/>
                <w:noProof/>
                <w:color w:val="000000"/>
                <w:sz w:val="18"/>
              </w:rPr>
              <w:t>2034</w:t>
            </w:r>
          </w:p>
        </w:tc>
        <w:tc>
          <w:tcPr>
            <w:tcW w:w="400" w:type="pct"/>
            <w:vMerge/>
            <w:tcBorders>
              <w:top w:val="single" w:sz="8" w:space="0" w:color="auto"/>
              <w:left w:val="single" w:sz="8" w:space="0" w:color="auto"/>
              <w:bottom w:val="nil"/>
              <w:right w:val="single" w:sz="8" w:space="0" w:color="auto"/>
            </w:tcBorders>
            <w:vAlign w:val="center"/>
            <w:hideMark/>
          </w:tcPr>
          <w:p w14:paraId="7A183E88" w14:textId="77777777" w:rsidR="004A489F" w:rsidRPr="00D207EA" w:rsidRDefault="004A489F">
            <w:pPr>
              <w:spacing w:before="0" w:after="0"/>
              <w:jc w:val="left"/>
              <w:rPr>
                <w:rFonts w:eastAsia="Times New Roman"/>
                <w:b/>
                <w:noProof/>
                <w:color w:val="000000"/>
                <w:sz w:val="18"/>
                <w:szCs w:val="18"/>
                <w:lang w:eastAsia="zh-CN"/>
              </w:rPr>
            </w:pPr>
          </w:p>
        </w:tc>
        <w:tc>
          <w:tcPr>
            <w:tcW w:w="362" w:type="pct"/>
            <w:tcBorders>
              <w:top w:val="nil"/>
              <w:left w:val="nil"/>
              <w:bottom w:val="single" w:sz="8" w:space="0" w:color="auto"/>
              <w:right w:val="single" w:sz="8" w:space="0" w:color="auto"/>
            </w:tcBorders>
            <w:vAlign w:val="center"/>
            <w:hideMark/>
          </w:tcPr>
          <w:p w14:paraId="0F23ED28" w14:textId="77777777" w:rsidR="004A489F" w:rsidRPr="00D207EA" w:rsidRDefault="004A489F">
            <w:pPr>
              <w:spacing w:before="0" w:after="0"/>
              <w:jc w:val="center"/>
              <w:rPr>
                <w:rFonts w:eastAsia="Times New Roman"/>
                <w:b/>
                <w:noProof/>
                <w:color w:val="000000"/>
                <w:sz w:val="18"/>
                <w:szCs w:val="18"/>
              </w:rPr>
            </w:pPr>
            <w:r w:rsidRPr="00D207EA">
              <w:rPr>
                <w:b/>
                <w:noProof/>
                <w:color w:val="000000"/>
                <w:sz w:val="18"/>
              </w:rPr>
              <w:t>2034</w:t>
            </w:r>
          </w:p>
        </w:tc>
        <w:tc>
          <w:tcPr>
            <w:tcW w:w="362" w:type="pct"/>
            <w:vMerge/>
            <w:tcBorders>
              <w:top w:val="single" w:sz="8" w:space="0" w:color="auto"/>
              <w:left w:val="single" w:sz="8" w:space="0" w:color="auto"/>
              <w:bottom w:val="nil"/>
              <w:right w:val="single" w:sz="8" w:space="0" w:color="auto"/>
            </w:tcBorders>
            <w:vAlign w:val="center"/>
            <w:hideMark/>
          </w:tcPr>
          <w:p w14:paraId="704DD3D9" w14:textId="77777777" w:rsidR="004A489F" w:rsidRPr="00D207EA" w:rsidRDefault="004A489F">
            <w:pPr>
              <w:spacing w:before="0" w:after="0"/>
              <w:jc w:val="left"/>
              <w:rPr>
                <w:rFonts w:eastAsia="Times New Roman"/>
                <w:b/>
                <w:noProof/>
                <w:color w:val="000000"/>
                <w:sz w:val="18"/>
                <w:szCs w:val="18"/>
                <w:lang w:eastAsia="zh-CN"/>
              </w:rPr>
            </w:pPr>
          </w:p>
        </w:tc>
      </w:tr>
      <w:tr w:rsidR="004A489F" w:rsidRPr="00D207EA" w14:paraId="413B9EB5" w14:textId="77777777">
        <w:trPr>
          <w:trHeight w:val="315"/>
        </w:trPr>
        <w:tc>
          <w:tcPr>
            <w:tcW w:w="4276" w:type="pct"/>
            <w:gridSpan w:val="9"/>
            <w:tcBorders>
              <w:top w:val="single" w:sz="8" w:space="0" w:color="auto"/>
              <w:left w:val="single" w:sz="8" w:space="0" w:color="auto"/>
              <w:bottom w:val="single" w:sz="8" w:space="0" w:color="auto"/>
              <w:right w:val="nil"/>
            </w:tcBorders>
            <w:vAlign w:val="center"/>
            <w:hideMark/>
          </w:tcPr>
          <w:p w14:paraId="46BC3A8B" w14:textId="77777777" w:rsidR="004A489F" w:rsidRPr="00D207EA" w:rsidRDefault="004A489F">
            <w:pPr>
              <w:spacing w:before="0" w:after="0"/>
              <w:jc w:val="left"/>
              <w:rPr>
                <w:rFonts w:eastAsia="Times New Roman"/>
                <w:b/>
                <w:noProof/>
                <w:sz w:val="16"/>
                <w:szCs w:val="16"/>
              </w:rPr>
            </w:pPr>
            <w:r w:rsidRPr="00D207EA">
              <w:rPr>
                <w:b/>
                <w:noProof/>
                <w:sz w:val="16"/>
              </w:rPr>
              <w:t>RUBRIQUE 7</w:t>
            </w:r>
          </w:p>
        </w:tc>
        <w:tc>
          <w:tcPr>
            <w:tcW w:w="362" w:type="pct"/>
            <w:tcBorders>
              <w:top w:val="single" w:sz="8" w:space="0" w:color="auto"/>
              <w:left w:val="single" w:sz="8" w:space="0" w:color="auto"/>
              <w:bottom w:val="single" w:sz="8" w:space="0" w:color="auto"/>
              <w:right w:val="single" w:sz="8" w:space="0" w:color="auto"/>
            </w:tcBorders>
            <w:vAlign w:val="center"/>
            <w:hideMark/>
          </w:tcPr>
          <w:p w14:paraId="3E1EBAA4" w14:textId="77777777" w:rsidR="004A489F" w:rsidRPr="00D207EA" w:rsidRDefault="004A489F">
            <w:pPr>
              <w:spacing w:before="0" w:after="0"/>
              <w:jc w:val="left"/>
              <w:rPr>
                <w:rFonts w:eastAsia="Times New Roman"/>
                <w:b/>
                <w:noProof/>
                <w:sz w:val="16"/>
                <w:szCs w:val="16"/>
                <w:lang w:eastAsia="zh-CN"/>
              </w:rPr>
            </w:pPr>
          </w:p>
        </w:tc>
        <w:tc>
          <w:tcPr>
            <w:tcW w:w="362" w:type="pct"/>
            <w:tcBorders>
              <w:top w:val="single" w:sz="8" w:space="0" w:color="auto"/>
              <w:left w:val="single" w:sz="8" w:space="0" w:color="auto"/>
              <w:bottom w:val="single" w:sz="8" w:space="0" w:color="auto"/>
              <w:right w:val="single" w:sz="8" w:space="0" w:color="auto"/>
            </w:tcBorders>
            <w:vAlign w:val="center"/>
            <w:hideMark/>
          </w:tcPr>
          <w:p w14:paraId="3BEAFEBE" w14:textId="77777777" w:rsidR="004A489F" w:rsidRPr="00D207EA" w:rsidRDefault="004A489F">
            <w:pPr>
              <w:spacing w:before="0" w:after="0"/>
              <w:jc w:val="left"/>
              <w:rPr>
                <w:rFonts w:eastAsia="Times New Roman"/>
                <w:noProof/>
                <w:sz w:val="20"/>
                <w:szCs w:val="20"/>
                <w:lang w:eastAsia="zh-CN"/>
              </w:rPr>
            </w:pPr>
          </w:p>
        </w:tc>
      </w:tr>
      <w:tr w:rsidR="004A489F" w:rsidRPr="00D207EA" w14:paraId="36850CC3"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27445DDF" w14:textId="29ED13B1" w:rsidR="004A489F" w:rsidRPr="00D207EA" w:rsidRDefault="004A489F">
            <w:pPr>
              <w:spacing w:before="0" w:after="0"/>
              <w:jc w:val="left"/>
              <w:rPr>
                <w:rFonts w:eastAsia="Times New Roman"/>
                <w:noProof/>
                <w:color w:val="000000"/>
                <w:sz w:val="16"/>
                <w:szCs w:val="16"/>
              </w:rPr>
            </w:pPr>
            <w:r w:rsidRPr="00D207EA">
              <w:rPr>
                <w:noProof/>
                <w:color w:val="000000"/>
                <w:sz w:val="16"/>
              </w:rPr>
              <w:t>Ressources humaines</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4D1FEDE"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7,150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2B4FBC"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7,150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39EA4E8"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7,150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29284F"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7,150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FC11DF"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7,150</w:t>
            </w:r>
          </w:p>
        </w:tc>
        <w:tc>
          <w:tcPr>
            <w:tcW w:w="35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469A89"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1A363CC"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4383D69"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35,751</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C98B6BE"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9A76972"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35,751</w:t>
            </w:r>
          </w:p>
        </w:tc>
      </w:tr>
      <w:tr w:rsidR="004A489F" w:rsidRPr="00D207EA" w14:paraId="130B4E45"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29476038" w14:textId="54F0F00B" w:rsidR="004A489F" w:rsidRPr="00D207EA" w:rsidRDefault="004A489F">
            <w:pPr>
              <w:spacing w:before="0" w:after="0"/>
              <w:jc w:val="left"/>
              <w:rPr>
                <w:rFonts w:eastAsia="Times New Roman"/>
                <w:noProof/>
                <w:color w:val="000000"/>
                <w:sz w:val="16"/>
                <w:szCs w:val="16"/>
              </w:rPr>
            </w:pPr>
            <w:r w:rsidRPr="00D207EA">
              <w:rPr>
                <w:noProof/>
                <w:color w:val="000000"/>
                <w:sz w:val="16"/>
              </w:rPr>
              <w:t>Autres dépenses administratives</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24313D8"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5D1498"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7EBDDDD"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AB4E8A"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CF0C325"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35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7B596E"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229585"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7CEF0DF"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8FB87E2"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498C005"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0,000</w:t>
            </w:r>
          </w:p>
        </w:tc>
      </w:tr>
      <w:tr w:rsidR="004A489F" w:rsidRPr="00D207EA" w14:paraId="1C175339" w14:textId="77777777">
        <w:trPr>
          <w:trHeight w:val="315"/>
        </w:trPr>
        <w:tc>
          <w:tcPr>
            <w:tcW w:w="1380"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33C6675D" w14:textId="77777777" w:rsidR="004A489F" w:rsidRPr="00D207EA" w:rsidRDefault="004A489F">
            <w:pPr>
              <w:spacing w:before="0" w:after="0"/>
              <w:jc w:val="center"/>
              <w:rPr>
                <w:rFonts w:eastAsia="Times New Roman"/>
                <w:b/>
                <w:noProof/>
                <w:color w:val="000000"/>
                <w:sz w:val="16"/>
                <w:szCs w:val="16"/>
              </w:rPr>
            </w:pPr>
            <w:r w:rsidRPr="00D207EA">
              <w:rPr>
                <w:b/>
                <w:noProof/>
                <w:color w:val="000000"/>
                <w:sz w:val="16"/>
              </w:rPr>
              <w:t>Sous-total RUBRIQUE 7</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D781A66"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7,150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3999D0F"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7,150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72B38C5"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7,150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02D9BC1"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7,150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0BD322D"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7,150</w:t>
            </w:r>
          </w:p>
        </w:tc>
        <w:tc>
          <w:tcPr>
            <w:tcW w:w="35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53AB3F4"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0,000</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81655AF"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0,000</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BE1DD55"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35,751</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2F50004"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0E4FC8"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35,751</w:t>
            </w:r>
          </w:p>
        </w:tc>
      </w:tr>
      <w:tr w:rsidR="004A489F" w:rsidRPr="00D207EA" w14:paraId="2FEBE550" w14:textId="77777777">
        <w:trPr>
          <w:trHeight w:val="315"/>
        </w:trPr>
        <w:tc>
          <w:tcPr>
            <w:tcW w:w="4276" w:type="pct"/>
            <w:gridSpan w:val="9"/>
            <w:tcBorders>
              <w:top w:val="single" w:sz="8" w:space="0" w:color="auto"/>
              <w:left w:val="single" w:sz="8" w:space="0" w:color="auto"/>
              <w:bottom w:val="single" w:sz="8" w:space="0" w:color="auto"/>
              <w:right w:val="nil"/>
            </w:tcBorders>
            <w:vAlign w:val="center"/>
            <w:hideMark/>
          </w:tcPr>
          <w:p w14:paraId="45E07894" w14:textId="77777777" w:rsidR="004A489F" w:rsidRPr="00D207EA" w:rsidRDefault="004A489F">
            <w:pPr>
              <w:spacing w:before="0" w:after="0"/>
              <w:jc w:val="left"/>
              <w:rPr>
                <w:rFonts w:eastAsia="Times New Roman"/>
                <w:b/>
                <w:noProof/>
                <w:sz w:val="16"/>
                <w:szCs w:val="16"/>
              </w:rPr>
            </w:pPr>
            <w:r w:rsidRPr="00D207EA">
              <w:rPr>
                <w:b/>
                <w:noProof/>
                <w:sz w:val="16"/>
              </w:rPr>
              <w:t>Hors RUBRIQUE 7</w:t>
            </w:r>
          </w:p>
        </w:tc>
        <w:tc>
          <w:tcPr>
            <w:tcW w:w="362" w:type="pct"/>
            <w:tcBorders>
              <w:top w:val="single" w:sz="8" w:space="0" w:color="auto"/>
              <w:left w:val="single" w:sz="8" w:space="0" w:color="auto"/>
              <w:bottom w:val="single" w:sz="8" w:space="0" w:color="auto"/>
              <w:right w:val="single" w:sz="8" w:space="0" w:color="auto"/>
            </w:tcBorders>
            <w:vAlign w:val="center"/>
            <w:hideMark/>
          </w:tcPr>
          <w:p w14:paraId="4F7EB047" w14:textId="77777777" w:rsidR="004A489F" w:rsidRPr="00D207EA" w:rsidRDefault="004A489F">
            <w:pPr>
              <w:spacing w:before="0" w:after="0"/>
              <w:jc w:val="left"/>
              <w:rPr>
                <w:rFonts w:eastAsia="Times New Roman"/>
                <w:b/>
                <w:noProof/>
                <w:sz w:val="16"/>
                <w:szCs w:val="16"/>
                <w:lang w:eastAsia="zh-CN"/>
              </w:rPr>
            </w:pPr>
          </w:p>
        </w:tc>
        <w:tc>
          <w:tcPr>
            <w:tcW w:w="362" w:type="pct"/>
            <w:tcBorders>
              <w:top w:val="single" w:sz="8" w:space="0" w:color="auto"/>
              <w:left w:val="single" w:sz="8" w:space="0" w:color="auto"/>
              <w:bottom w:val="single" w:sz="8" w:space="0" w:color="auto"/>
              <w:right w:val="single" w:sz="8" w:space="0" w:color="auto"/>
            </w:tcBorders>
            <w:vAlign w:val="center"/>
            <w:hideMark/>
          </w:tcPr>
          <w:p w14:paraId="4A3D622B" w14:textId="77777777" w:rsidR="004A489F" w:rsidRPr="00D207EA" w:rsidRDefault="004A489F">
            <w:pPr>
              <w:spacing w:before="0" w:after="0"/>
              <w:jc w:val="left"/>
              <w:rPr>
                <w:rFonts w:eastAsia="Times New Roman"/>
                <w:noProof/>
                <w:sz w:val="20"/>
                <w:szCs w:val="20"/>
                <w:lang w:eastAsia="zh-CN"/>
              </w:rPr>
            </w:pPr>
          </w:p>
        </w:tc>
      </w:tr>
      <w:tr w:rsidR="004A489F" w:rsidRPr="00D207EA" w14:paraId="7FEC3824"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07C8F1CD" w14:textId="3A35C783" w:rsidR="004A489F" w:rsidRPr="00D207EA" w:rsidRDefault="004A489F">
            <w:pPr>
              <w:spacing w:before="0" w:after="0"/>
              <w:jc w:val="left"/>
              <w:rPr>
                <w:rFonts w:eastAsia="Times New Roman"/>
                <w:noProof/>
                <w:color w:val="000000"/>
                <w:sz w:val="16"/>
                <w:szCs w:val="16"/>
              </w:rPr>
            </w:pPr>
            <w:r w:rsidRPr="00D207EA">
              <w:rPr>
                <w:noProof/>
                <w:color w:val="000000"/>
                <w:sz w:val="16"/>
              </w:rPr>
              <w:t>Ressources humaines</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2F100BE"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2B64680"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5BB6F4C"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A9856F"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C70D076"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35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EFA103E"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4DD809"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765D658"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8DCB839"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6943CC6"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0,000</w:t>
            </w:r>
          </w:p>
        </w:tc>
      </w:tr>
      <w:tr w:rsidR="004A489F" w:rsidRPr="00D207EA" w14:paraId="1DD6BE02"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2432B078" w14:textId="77777777" w:rsidR="004A489F" w:rsidRPr="00D207EA" w:rsidRDefault="004A489F">
            <w:pPr>
              <w:spacing w:before="0" w:after="0"/>
              <w:jc w:val="left"/>
              <w:rPr>
                <w:rFonts w:eastAsia="Times New Roman"/>
                <w:noProof/>
                <w:color w:val="000000"/>
                <w:sz w:val="16"/>
                <w:szCs w:val="16"/>
              </w:rPr>
            </w:pPr>
            <w:r w:rsidRPr="00D207EA">
              <w:rPr>
                <w:noProof/>
                <w:color w:val="000000"/>
                <w:sz w:val="16"/>
              </w:rPr>
              <w:t>Autres dépenses de nature administrative</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7A8BAF1"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F18971A"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D699B55"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778F262"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5F75FA9"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35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E1DA9DD"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30A6A77"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1A30F5A"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790CB69"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8D85235"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0,000</w:t>
            </w:r>
          </w:p>
        </w:tc>
      </w:tr>
      <w:tr w:rsidR="004A489F" w:rsidRPr="00D207EA" w14:paraId="368EBD90" w14:textId="77777777">
        <w:trPr>
          <w:trHeight w:val="315"/>
        </w:trPr>
        <w:tc>
          <w:tcPr>
            <w:tcW w:w="1380"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524404DA" w14:textId="77777777" w:rsidR="004A489F" w:rsidRPr="00D207EA" w:rsidRDefault="004A489F">
            <w:pPr>
              <w:spacing w:before="0" w:after="0"/>
              <w:jc w:val="center"/>
              <w:rPr>
                <w:rFonts w:eastAsia="Times New Roman"/>
                <w:b/>
                <w:noProof/>
                <w:color w:val="000000"/>
                <w:sz w:val="16"/>
                <w:szCs w:val="16"/>
              </w:rPr>
            </w:pPr>
            <w:r w:rsidRPr="00D207EA">
              <w:rPr>
                <w:b/>
                <w:noProof/>
                <w:color w:val="000000"/>
                <w:sz w:val="16"/>
              </w:rPr>
              <w:t>Sous-total hors RUBRIQUE 7</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67B0CE5"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9AA5DAC"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D856F7"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8D2682"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0B2ED4"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0,000</w:t>
            </w:r>
          </w:p>
        </w:tc>
        <w:tc>
          <w:tcPr>
            <w:tcW w:w="35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B10608A"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0,000</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E54930E"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0,000</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9A62EA"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D19B40"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3DC3D6"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0,000</w:t>
            </w:r>
          </w:p>
        </w:tc>
      </w:tr>
      <w:tr w:rsidR="004A489F" w:rsidRPr="00D207EA" w14:paraId="6ED172EC" w14:textId="77777777">
        <w:trPr>
          <w:trHeight w:val="315"/>
        </w:trPr>
        <w:tc>
          <w:tcPr>
            <w:tcW w:w="4276" w:type="pct"/>
            <w:gridSpan w:val="9"/>
            <w:tcBorders>
              <w:top w:val="single" w:sz="8" w:space="0" w:color="auto"/>
              <w:left w:val="single" w:sz="8" w:space="0" w:color="auto"/>
              <w:bottom w:val="single" w:sz="8" w:space="0" w:color="auto"/>
              <w:right w:val="nil"/>
            </w:tcBorders>
            <w:noWrap/>
            <w:vAlign w:val="center"/>
            <w:hideMark/>
          </w:tcPr>
          <w:p w14:paraId="1D0B0878" w14:textId="77777777" w:rsidR="004A489F" w:rsidRPr="00D207EA" w:rsidRDefault="004A489F">
            <w:pPr>
              <w:spacing w:before="0" w:after="0"/>
              <w:jc w:val="right"/>
              <w:rPr>
                <w:rFonts w:eastAsia="Times New Roman"/>
                <w:b/>
                <w:noProof/>
                <w:color w:val="000000"/>
                <w:sz w:val="16"/>
                <w:szCs w:val="16"/>
                <w:lang w:eastAsia="zh-CN"/>
              </w:rPr>
            </w:pPr>
          </w:p>
        </w:tc>
        <w:tc>
          <w:tcPr>
            <w:tcW w:w="724" w:type="pct"/>
            <w:gridSpan w:val="2"/>
            <w:tcBorders>
              <w:top w:val="single" w:sz="8" w:space="0" w:color="auto"/>
              <w:left w:val="single" w:sz="8" w:space="0" w:color="auto"/>
              <w:bottom w:val="single" w:sz="8" w:space="0" w:color="auto"/>
              <w:right w:val="nil"/>
            </w:tcBorders>
            <w:noWrap/>
            <w:vAlign w:val="bottom"/>
            <w:hideMark/>
          </w:tcPr>
          <w:p w14:paraId="4B509E30" w14:textId="77777777" w:rsidR="004A489F" w:rsidRPr="00D207EA" w:rsidRDefault="004A489F">
            <w:pPr>
              <w:spacing w:before="0" w:after="0"/>
              <w:jc w:val="center"/>
              <w:rPr>
                <w:rFonts w:eastAsia="Times New Roman"/>
                <w:noProof/>
                <w:sz w:val="20"/>
                <w:szCs w:val="20"/>
                <w:lang w:eastAsia="zh-CN"/>
              </w:rPr>
            </w:pPr>
          </w:p>
        </w:tc>
      </w:tr>
      <w:tr w:rsidR="004A489F" w:rsidRPr="00D207EA" w14:paraId="67D3534B" w14:textId="77777777">
        <w:trPr>
          <w:trHeight w:val="330"/>
        </w:trPr>
        <w:tc>
          <w:tcPr>
            <w:tcW w:w="1380" w:type="pct"/>
            <w:tcBorders>
              <w:top w:val="single" w:sz="12" w:space="0" w:color="auto"/>
              <w:left w:val="single" w:sz="12" w:space="0" w:color="auto"/>
              <w:bottom w:val="single" w:sz="12" w:space="0" w:color="auto"/>
              <w:right w:val="single" w:sz="8" w:space="0" w:color="auto"/>
            </w:tcBorders>
            <w:vAlign w:val="center"/>
            <w:hideMark/>
          </w:tcPr>
          <w:p w14:paraId="7432BF9E" w14:textId="77777777" w:rsidR="004A489F" w:rsidRPr="00D207EA" w:rsidRDefault="004A489F">
            <w:pPr>
              <w:spacing w:before="0" w:after="0"/>
              <w:jc w:val="center"/>
              <w:rPr>
                <w:rFonts w:eastAsia="Times New Roman"/>
                <w:b/>
                <w:noProof/>
                <w:color w:val="000000"/>
                <w:sz w:val="16"/>
                <w:szCs w:val="16"/>
              </w:rPr>
            </w:pPr>
            <w:r w:rsidRPr="00D207EA">
              <w:rPr>
                <w:b/>
                <w:noProof/>
                <w:color w:val="000000"/>
                <w:sz w:val="16"/>
              </w:rPr>
              <w:t>TOTAL</w:t>
            </w:r>
          </w:p>
        </w:tc>
        <w:tc>
          <w:tcPr>
            <w:tcW w:w="354" w:type="pct"/>
            <w:tcBorders>
              <w:top w:val="single" w:sz="12" w:space="0" w:color="auto"/>
              <w:left w:val="nil"/>
              <w:bottom w:val="single" w:sz="12" w:space="0" w:color="auto"/>
              <w:right w:val="single" w:sz="8" w:space="0" w:color="auto"/>
            </w:tcBorders>
            <w:shd w:val="clear" w:color="000000" w:fill="D9D9D9"/>
            <w:vAlign w:val="center"/>
            <w:hideMark/>
          </w:tcPr>
          <w:p w14:paraId="59EE0237"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7,150</w:t>
            </w:r>
          </w:p>
        </w:tc>
        <w:tc>
          <w:tcPr>
            <w:tcW w:w="354" w:type="pct"/>
            <w:tcBorders>
              <w:top w:val="single" w:sz="12" w:space="0" w:color="auto"/>
              <w:left w:val="nil"/>
              <w:bottom w:val="single" w:sz="12" w:space="0" w:color="auto"/>
              <w:right w:val="single" w:sz="8" w:space="0" w:color="auto"/>
            </w:tcBorders>
            <w:shd w:val="clear" w:color="000000" w:fill="D9D9D9"/>
            <w:vAlign w:val="center"/>
            <w:hideMark/>
          </w:tcPr>
          <w:p w14:paraId="1AD7CE86"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7,150</w:t>
            </w:r>
          </w:p>
        </w:tc>
        <w:tc>
          <w:tcPr>
            <w:tcW w:w="354" w:type="pct"/>
            <w:tcBorders>
              <w:top w:val="single" w:sz="12" w:space="0" w:color="auto"/>
              <w:left w:val="nil"/>
              <w:bottom w:val="single" w:sz="12" w:space="0" w:color="auto"/>
              <w:right w:val="single" w:sz="8" w:space="0" w:color="auto"/>
            </w:tcBorders>
            <w:shd w:val="clear" w:color="000000" w:fill="D9D9D9"/>
            <w:vAlign w:val="center"/>
            <w:hideMark/>
          </w:tcPr>
          <w:p w14:paraId="641ABCA6"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7,150</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70C42191"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7,150</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2F489BC8"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7,150</w:t>
            </w:r>
          </w:p>
        </w:tc>
        <w:tc>
          <w:tcPr>
            <w:tcW w:w="358" w:type="pct"/>
            <w:tcBorders>
              <w:top w:val="single" w:sz="12" w:space="0" w:color="auto"/>
              <w:left w:val="nil"/>
              <w:bottom w:val="single" w:sz="12" w:space="0" w:color="auto"/>
              <w:right w:val="single" w:sz="8" w:space="0" w:color="auto"/>
            </w:tcBorders>
            <w:shd w:val="clear" w:color="000000" w:fill="D9D9D9"/>
            <w:vAlign w:val="center"/>
            <w:hideMark/>
          </w:tcPr>
          <w:p w14:paraId="0F8D14E9"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0,000</w:t>
            </w:r>
          </w:p>
        </w:tc>
        <w:tc>
          <w:tcPr>
            <w:tcW w:w="351" w:type="pct"/>
            <w:tcBorders>
              <w:top w:val="single" w:sz="12" w:space="0" w:color="auto"/>
              <w:left w:val="nil"/>
              <w:bottom w:val="single" w:sz="12" w:space="0" w:color="auto"/>
              <w:right w:val="single" w:sz="8" w:space="0" w:color="auto"/>
            </w:tcBorders>
            <w:shd w:val="clear" w:color="000000" w:fill="D9D9D9"/>
            <w:vAlign w:val="center"/>
            <w:hideMark/>
          </w:tcPr>
          <w:p w14:paraId="3267EC89"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0,000</w:t>
            </w:r>
          </w:p>
        </w:tc>
        <w:tc>
          <w:tcPr>
            <w:tcW w:w="400" w:type="pct"/>
            <w:tcBorders>
              <w:top w:val="single" w:sz="12" w:space="0" w:color="auto"/>
              <w:left w:val="nil"/>
              <w:bottom w:val="single" w:sz="12" w:space="0" w:color="auto"/>
              <w:right w:val="single" w:sz="8" w:space="0" w:color="auto"/>
            </w:tcBorders>
            <w:shd w:val="clear" w:color="000000" w:fill="D9D9D9"/>
            <w:vAlign w:val="center"/>
            <w:hideMark/>
          </w:tcPr>
          <w:p w14:paraId="57EA1EF5"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35,751</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4BB27904"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0,000</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18D96A65"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35,751</w:t>
            </w:r>
          </w:p>
        </w:tc>
      </w:tr>
    </w:tbl>
    <w:p w14:paraId="312F63B3" w14:textId="77777777" w:rsidR="004A489F" w:rsidRPr="00D207EA" w:rsidRDefault="004A489F" w:rsidP="004A489F">
      <w:pPr>
        <w:pStyle w:val="ManualHeading3"/>
        <w:ind w:left="0" w:firstLine="0"/>
        <w:rPr>
          <w:noProof/>
        </w:rPr>
      </w:pPr>
      <w:bookmarkStart w:id="178" w:name="_Toc167220293"/>
      <w:bookmarkStart w:id="179" w:name="_Toc177549026"/>
      <w:r w:rsidRPr="00D207EA">
        <w:rPr>
          <w:noProof/>
        </w:rPr>
        <w:t>3.2.3.3.</w:t>
      </w:r>
      <w:r w:rsidRPr="00D207EA">
        <w:rPr>
          <w:noProof/>
        </w:rPr>
        <w:tab/>
        <w:t>Total des crédits</w:t>
      </w:r>
      <w:bookmarkEnd w:id="178"/>
      <w:bookmarkEnd w:id="179"/>
    </w:p>
    <w:tbl>
      <w:tblPr>
        <w:tblW w:w="5000" w:type="pct"/>
        <w:tblCellMar>
          <w:top w:w="15" w:type="dxa"/>
          <w:bottom w:w="15" w:type="dxa"/>
        </w:tblCellMar>
        <w:tblLook w:val="04A0" w:firstRow="1" w:lastRow="0" w:firstColumn="1" w:lastColumn="0" w:noHBand="0" w:noVBand="1"/>
      </w:tblPr>
      <w:tblGrid>
        <w:gridCol w:w="2290"/>
        <w:gridCol w:w="671"/>
        <w:gridCol w:w="671"/>
        <w:gridCol w:w="671"/>
        <w:gridCol w:w="671"/>
        <w:gridCol w:w="671"/>
        <w:gridCol w:w="671"/>
        <w:gridCol w:w="671"/>
        <w:gridCol w:w="741"/>
        <w:gridCol w:w="652"/>
        <w:gridCol w:w="909"/>
      </w:tblGrid>
      <w:tr w:rsidR="004A489F" w:rsidRPr="00D207EA" w14:paraId="28962CB0" w14:textId="77777777">
        <w:trPr>
          <w:trHeight w:val="510"/>
        </w:trPr>
        <w:tc>
          <w:tcPr>
            <w:tcW w:w="1380" w:type="pct"/>
            <w:vMerge w:val="restart"/>
            <w:tcBorders>
              <w:top w:val="single" w:sz="8" w:space="0" w:color="auto"/>
              <w:left w:val="single" w:sz="8" w:space="0" w:color="auto"/>
              <w:bottom w:val="nil"/>
              <w:right w:val="single" w:sz="8" w:space="0" w:color="auto"/>
            </w:tcBorders>
            <w:vAlign w:val="center"/>
            <w:hideMark/>
          </w:tcPr>
          <w:p w14:paraId="0210A2BF"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TOTAL</w:t>
            </w:r>
            <w:r w:rsidRPr="00D207EA">
              <w:rPr>
                <w:b/>
                <w:noProof/>
                <w:color w:val="000000"/>
                <w:sz w:val="14"/>
              </w:rPr>
              <w:br/>
              <w:t xml:space="preserve">CRÉDITS VOTÉS </w:t>
            </w:r>
            <w:r w:rsidRPr="00D207EA">
              <w:rPr>
                <w:b/>
                <w:noProof/>
                <w:color w:val="000000"/>
                <w:sz w:val="14"/>
              </w:rPr>
              <w:br/>
              <w:t>+</w:t>
            </w:r>
            <w:r w:rsidRPr="00D207EA">
              <w:rPr>
                <w:b/>
                <w:noProof/>
                <w:color w:val="000000"/>
                <w:sz w:val="14"/>
              </w:rPr>
              <w:br/>
              <w:t>RECETTES AFFECTÉES EXTERNES</w:t>
            </w:r>
          </w:p>
        </w:tc>
        <w:tc>
          <w:tcPr>
            <w:tcW w:w="354" w:type="pct"/>
            <w:tcBorders>
              <w:top w:val="single" w:sz="8" w:space="0" w:color="auto"/>
              <w:left w:val="nil"/>
              <w:bottom w:val="nil"/>
              <w:right w:val="single" w:sz="8" w:space="0" w:color="auto"/>
            </w:tcBorders>
            <w:vAlign w:val="center"/>
            <w:hideMark/>
          </w:tcPr>
          <w:p w14:paraId="53402F42" w14:textId="77777777" w:rsidR="004A489F" w:rsidRPr="00D207EA" w:rsidRDefault="004A489F">
            <w:pPr>
              <w:spacing w:before="0" w:after="0"/>
              <w:jc w:val="center"/>
              <w:rPr>
                <w:rFonts w:eastAsia="Times New Roman"/>
                <w:noProof/>
                <w:color w:val="000000"/>
                <w:sz w:val="14"/>
                <w:szCs w:val="14"/>
              </w:rPr>
            </w:pPr>
            <w:r w:rsidRPr="00D207EA">
              <w:rPr>
                <w:noProof/>
                <w:color w:val="000000"/>
                <w:sz w:val="14"/>
              </w:rPr>
              <w:t>Année</w:t>
            </w:r>
          </w:p>
        </w:tc>
        <w:tc>
          <w:tcPr>
            <w:tcW w:w="354" w:type="pct"/>
            <w:tcBorders>
              <w:top w:val="single" w:sz="8" w:space="0" w:color="auto"/>
              <w:left w:val="nil"/>
              <w:bottom w:val="nil"/>
              <w:right w:val="single" w:sz="8" w:space="0" w:color="auto"/>
            </w:tcBorders>
            <w:vAlign w:val="center"/>
            <w:hideMark/>
          </w:tcPr>
          <w:p w14:paraId="6061E7D2" w14:textId="77777777" w:rsidR="004A489F" w:rsidRPr="00D207EA" w:rsidRDefault="004A489F">
            <w:pPr>
              <w:spacing w:before="0" w:after="0"/>
              <w:jc w:val="center"/>
              <w:rPr>
                <w:rFonts w:eastAsia="Times New Roman"/>
                <w:noProof/>
                <w:color w:val="000000"/>
                <w:sz w:val="14"/>
                <w:szCs w:val="14"/>
              </w:rPr>
            </w:pPr>
            <w:r w:rsidRPr="00D207EA">
              <w:rPr>
                <w:noProof/>
                <w:color w:val="000000"/>
                <w:sz w:val="14"/>
              </w:rPr>
              <w:t>Année</w:t>
            </w:r>
          </w:p>
        </w:tc>
        <w:tc>
          <w:tcPr>
            <w:tcW w:w="354" w:type="pct"/>
            <w:tcBorders>
              <w:top w:val="single" w:sz="8" w:space="0" w:color="auto"/>
              <w:left w:val="nil"/>
              <w:bottom w:val="nil"/>
              <w:right w:val="single" w:sz="8" w:space="0" w:color="auto"/>
            </w:tcBorders>
            <w:vAlign w:val="center"/>
            <w:hideMark/>
          </w:tcPr>
          <w:p w14:paraId="270742E6" w14:textId="77777777" w:rsidR="004A489F" w:rsidRPr="00D207EA" w:rsidRDefault="004A489F">
            <w:pPr>
              <w:spacing w:before="0" w:after="0"/>
              <w:jc w:val="center"/>
              <w:rPr>
                <w:rFonts w:eastAsia="Times New Roman"/>
                <w:noProof/>
                <w:color w:val="000000"/>
                <w:sz w:val="14"/>
                <w:szCs w:val="14"/>
              </w:rPr>
            </w:pPr>
            <w:r w:rsidRPr="00D207EA">
              <w:rPr>
                <w:noProof/>
                <w:color w:val="000000"/>
                <w:sz w:val="14"/>
              </w:rPr>
              <w:t>Année</w:t>
            </w:r>
          </w:p>
        </w:tc>
        <w:tc>
          <w:tcPr>
            <w:tcW w:w="362" w:type="pct"/>
            <w:tcBorders>
              <w:top w:val="single" w:sz="8" w:space="0" w:color="auto"/>
              <w:left w:val="nil"/>
              <w:bottom w:val="nil"/>
              <w:right w:val="single" w:sz="8" w:space="0" w:color="auto"/>
            </w:tcBorders>
            <w:vAlign w:val="center"/>
            <w:hideMark/>
          </w:tcPr>
          <w:p w14:paraId="5C9E42B3" w14:textId="77777777" w:rsidR="004A489F" w:rsidRPr="00D207EA" w:rsidRDefault="004A489F">
            <w:pPr>
              <w:spacing w:before="0" w:after="0"/>
              <w:jc w:val="center"/>
              <w:rPr>
                <w:rFonts w:eastAsia="Times New Roman"/>
                <w:noProof/>
                <w:color w:val="000000"/>
                <w:sz w:val="14"/>
                <w:szCs w:val="14"/>
              </w:rPr>
            </w:pPr>
            <w:r w:rsidRPr="00D207EA">
              <w:rPr>
                <w:noProof/>
                <w:color w:val="000000"/>
                <w:sz w:val="14"/>
              </w:rPr>
              <w:t>Année</w:t>
            </w:r>
          </w:p>
        </w:tc>
        <w:tc>
          <w:tcPr>
            <w:tcW w:w="362" w:type="pct"/>
            <w:tcBorders>
              <w:top w:val="single" w:sz="8" w:space="0" w:color="auto"/>
              <w:left w:val="nil"/>
              <w:bottom w:val="nil"/>
              <w:right w:val="single" w:sz="8" w:space="0" w:color="auto"/>
            </w:tcBorders>
            <w:vAlign w:val="center"/>
            <w:hideMark/>
          </w:tcPr>
          <w:p w14:paraId="3E71C25E" w14:textId="77777777" w:rsidR="004A489F" w:rsidRPr="00D207EA" w:rsidRDefault="004A489F">
            <w:pPr>
              <w:spacing w:before="0" w:after="0"/>
              <w:jc w:val="center"/>
              <w:rPr>
                <w:rFonts w:eastAsia="Times New Roman"/>
                <w:noProof/>
                <w:color w:val="000000"/>
                <w:sz w:val="14"/>
                <w:szCs w:val="14"/>
              </w:rPr>
            </w:pPr>
            <w:r w:rsidRPr="00D207EA">
              <w:rPr>
                <w:noProof/>
                <w:color w:val="000000"/>
                <w:sz w:val="14"/>
              </w:rPr>
              <w:t>Année</w:t>
            </w:r>
          </w:p>
        </w:tc>
        <w:tc>
          <w:tcPr>
            <w:tcW w:w="361" w:type="pct"/>
            <w:tcBorders>
              <w:top w:val="single" w:sz="8" w:space="0" w:color="auto"/>
              <w:left w:val="nil"/>
              <w:bottom w:val="nil"/>
              <w:right w:val="single" w:sz="8" w:space="0" w:color="auto"/>
            </w:tcBorders>
            <w:vAlign w:val="center"/>
            <w:hideMark/>
          </w:tcPr>
          <w:p w14:paraId="2D3A54DC" w14:textId="77777777" w:rsidR="004A489F" w:rsidRPr="00D207EA" w:rsidRDefault="004A489F">
            <w:pPr>
              <w:spacing w:before="0" w:after="0"/>
              <w:jc w:val="center"/>
              <w:rPr>
                <w:rFonts w:eastAsia="Times New Roman"/>
                <w:noProof/>
                <w:color w:val="000000"/>
                <w:sz w:val="14"/>
                <w:szCs w:val="14"/>
              </w:rPr>
            </w:pPr>
            <w:r w:rsidRPr="00D207EA">
              <w:rPr>
                <w:noProof/>
                <w:color w:val="000000"/>
                <w:sz w:val="14"/>
              </w:rPr>
              <w:t>Année</w:t>
            </w:r>
          </w:p>
        </w:tc>
        <w:tc>
          <w:tcPr>
            <w:tcW w:w="356" w:type="pct"/>
            <w:tcBorders>
              <w:top w:val="single" w:sz="8" w:space="0" w:color="auto"/>
              <w:left w:val="nil"/>
              <w:bottom w:val="nil"/>
              <w:right w:val="single" w:sz="8" w:space="0" w:color="auto"/>
            </w:tcBorders>
            <w:vAlign w:val="center"/>
            <w:hideMark/>
          </w:tcPr>
          <w:p w14:paraId="31D6450E" w14:textId="77777777" w:rsidR="004A489F" w:rsidRPr="00D207EA" w:rsidRDefault="004A489F">
            <w:pPr>
              <w:spacing w:before="0" w:after="0"/>
              <w:jc w:val="center"/>
              <w:rPr>
                <w:rFonts w:eastAsia="Times New Roman"/>
                <w:noProof/>
                <w:color w:val="000000"/>
                <w:sz w:val="14"/>
                <w:szCs w:val="14"/>
              </w:rPr>
            </w:pPr>
            <w:r w:rsidRPr="00D207EA">
              <w:rPr>
                <w:noProof/>
                <w:color w:val="000000"/>
                <w:sz w:val="14"/>
              </w:rPr>
              <w:t>Année</w:t>
            </w:r>
          </w:p>
        </w:tc>
        <w:tc>
          <w:tcPr>
            <w:tcW w:w="392" w:type="pct"/>
            <w:vMerge w:val="restart"/>
            <w:tcBorders>
              <w:top w:val="single" w:sz="8" w:space="0" w:color="auto"/>
              <w:left w:val="single" w:sz="8" w:space="0" w:color="auto"/>
              <w:bottom w:val="nil"/>
              <w:right w:val="single" w:sz="8" w:space="0" w:color="auto"/>
            </w:tcBorders>
            <w:vAlign w:val="center"/>
            <w:hideMark/>
          </w:tcPr>
          <w:p w14:paraId="0423E85B"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TOTAL</w:t>
            </w:r>
            <w:r w:rsidRPr="00D207EA">
              <w:rPr>
                <w:b/>
                <w:noProof/>
                <w:color w:val="000000"/>
                <w:sz w:val="14"/>
              </w:rPr>
              <w:br/>
              <w:t>2028 - 2034</w:t>
            </w:r>
          </w:p>
        </w:tc>
        <w:tc>
          <w:tcPr>
            <w:tcW w:w="362" w:type="pct"/>
            <w:tcBorders>
              <w:top w:val="single" w:sz="8" w:space="0" w:color="auto"/>
              <w:left w:val="nil"/>
              <w:bottom w:val="nil"/>
              <w:right w:val="single" w:sz="8" w:space="0" w:color="auto"/>
            </w:tcBorders>
            <w:vAlign w:val="center"/>
            <w:hideMark/>
          </w:tcPr>
          <w:p w14:paraId="70959C5C" w14:textId="77777777" w:rsidR="004A489F" w:rsidRPr="00D207EA" w:rsidRDefault="004A489F">
            <w:pPr>
              <w:spacing w:before="0" w:after="0"/>
              <w:jc w:val="center"/>
              <w:rPr>
                <w:rFonts w:eastAsia="Times New Roman"/>
                <w:noProof/>
                <w:color w:val="000000"/>
                <w:sz w:val="14"/>
                <w:szCs w:val="14"/>
              </w:rPr>
            </w:pPr>
            <w:r w:rsidRPr="00D207EA">
              <w:rPr>
                <w:noProof/>
                <w:color w:val="000000"/>
                <w:sz w:val="14"/>
              </w:rPr>
              <w:t>APRÈS</w:t>
            </w:r>
          </w:p>
        </w:tc>
        <w:tc>
          <w:tcPr>
            <w:tcW w:w="362" w:type="pct"/>
            <w:vMerge w:val="restart"/>
            <w:tcBorders>
              <w:top w:val="single" w:sz="8" w:space="0" w:color="auto"/>
              <w:left w:val="single" w:sz="8" w:space="0" w:color="auto"/>
              <w:bottom w:val="nil"/>
              <w:right w:val="single" w:sz="8" w:space="0" w:color="auto"/>
            </w:tcBorders>
            <w:vAlign w:val="center"/>
            <w:hideMark/>
          </w:tcPr>
          <w:p w14:paraId="369C6331"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TOTAL GÉNÉRAL</w:t>
            </w:r>
          </w:p>
        </w:tc>
      </w:tr>
      <w:tr w:rsidR="004A489F" w:rsidRPr="00D207EA" w14:paraId="0E76BDA5" w14:textId="77777777">
        <w:trPr>
          <w:trHeight w:val="510"/>
        </w:trPr>
        <w:tc>
          <w:tcPr>
            <w:tcW w:w="1380" w:type="pct"/>
            <w:vMerge/>
            <w:tcBorders>
              <w:top w:val="single" w:sz="8" w:space="0" w:color="auto"/>
              <w:left w:val="single" w:sz="8" w:space="0" w:color="auto"/>
              <w:bottom w:val="nil"/>
              <w:right w:val="single" w:sz="8" w:space="0" w:color="auto"/>
            </w:tcBorders>
            <w:vAlign w:val="center"/>
            <w:hideMark/>
          </w:tcPr>
          <w:p w14:paraId="243D2645" w14:textId="77777777" w:rsidR="004A489F" w:rsidRPr="00D207EA" w:rsidRDefault="004A489F">
            <w:pPr>
              <w:spacing w:before="0" w:after="0"/>
              <w:jc w:val="left"/>
              <w:rPr>
                <w:rFonts w:eastAsia="Times New Roman"/>
                <w:b/>
                <w:noProof/>
                <w:color w:val="000000"/>
                <w:sz w:val="14"/>
                <w:szCs w:val="14"/>
                <w:lang w:eastAsia="zh-CN"/>
              </w:rPr>
            </w:pPr>
          </w:p>
        </w:tc>
        <w:tc>
          <w:tcPr>
            <w:tcW w:w="354" w:type="pct"/>
            <w:tcBorders>
              <w:top w:val="nil"/>
              <w:left w:val="nil"/>
              <w:bottom w:val="single" w:sz="8" w:space="0" w:color="auto"/>
              <w:right w:val="single" w:sz="8" w:space="0" w:color="auto"/>
            </w:tcBorders>
            <w:vAlign w:val="center"/>
            <w:hideMark/>
          </w:tcPr>
          <w:p w14:paraId="58F1DFBC"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2028</w:t>
            </w:r>
          </w:p>
        </w:tc>
        <w:tc>
          <w:tcPr>
            <w:tcW w:w="354" w:type="pct"/>
            <w:tcBorders>
              <w:top w:val="nil"/>
              <w:left w:val="nil"/>
              <w:bottom w:val="single" w:sz="8" w:space="0" w:color="auto"/>
              <w:right w:val="single" w:sz="8" w:space="0" w:color="auto"/>
            </w:tcBorders>
            <w:vAlign w:val="center"/>
            <w:hideMark/>
          </w:tcPr>
          <w:p w14:paraId="522111C0"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2029</w:t>
            </w:r>
          </w:p>
        </w:tc>
        <w:tc>
          <w:tcPr>
            <w:tcW w:w="354" w:type="pct"/>
            <w:tcBorders>
              <w:top w:val="nil"/>
              <w:left w:val="nil"/>
              <w:bottom w:val="single" w:sz="8" w:space="0" w:color="auto"/>
              <w:right w:val="single" w:sz="8" w:space="0" w:color="auto"/>
            </w:tcBorders>
            <w:vAlign w:val="center"/>
            <w:hideMark/>
          </w:tcPr>
          <w:p w14:paraId="59B2E683"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2030</w:t>
            </w:r>
          </w:p>
        </w:tc>
        <w:tc>
          <w:tcPr>
            <w:tcW w:w="362" w:type="pct"/>
            <w:tcBorders>
              <w:top w:val="nil"/>
              <w:left w:val="nil"/>
              <w:bottom w:val="single" w:sz="8" w:space="0" w:color="auto"/>
              <w:right w:val="single" w:sz="8" w:space="0" w:color="auto"/>
            </w:tcBorders>
            <w:vAlign w:val="center"/>
            <w:hideMark/>
          </w:tcPr>
          <w:p w14:paraId="3F4221C8"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2031</w:t>
            </w:r>
          </w:p>
        </w:tc>
        <w:tc>
          <w:tcPr>
            <w:tcW w:w="362" w:type="pct"/>
            <w:tcBorders>
              <w:top w:val="nil"/>
              <w:left w:val="nil"/>
              <w:bottom w:val="single" w:sz="8" w:space="0" w:color="auto"/>
              <w:right w:val="single" w:sz="8" w:space="0" w:color="auto"/>
            </w:tcBorders>
            <w:vAlign w:val="center"/>
            <w:hideMark/>
          </w:tcPr>
          <w:p w14:paraId="6716C89A"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2032</w:t>
            </w:r>
          </w:p>
        </w:tc>
        <w:tc>
          <w:tcPr>
            <w:tcW w:w="361" w:type="pct"/>
            <w:tcBorders>
              <w:top w:val="nil"/>
              <w:left w:val="nil"/>
              <w:bottom w:val="single" w:sz="8" w:space="0" w:color="auto"/>
              <w:right w:val="single" w:sz="8" w:space="0" w:color="auto"/>
            </w:tcBorders>
            <w:vAlign w:val="center"/>
            <w:hideMark/>
          </w:tcPr>
          <w:p w14:paraId="701A98B4"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2033</w:t>
            </w:r>
          </w:p>
        </w:tc>
        <w:tc>
          <w:tcPr>
            <w:tcW w:w="356" w:type="pct"/>
            <w:tcBorders>
              <w:top w:val="nil"/>
              <w:left w:val="nil"/>
              <w:bottom w:val="single" w:sz="8" w:space="0" w:color="auto"/>
              <w:right w:val="single" w:sz="8" w:space="0" w:color="auto"/>
            </w:tcBorders>
            <w:vAlign w:val="center"/>
            <w:hideMark/>
          </w:tcPr>
          <w:p w14:paraId="47612CA6"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2034</w:t>
            </w:r>
          </w:p>
        </w:tc>
        <w:tc>
          <w:tcPr>
            <w:tcW w:w="392" w:type="pct"/>
            <w:vMerge/>
            <w:tcBorders>
              <w:top w:val="single" w:sz="8" w:space="0" w:color="auto"/>
              <w:left w:val="single" w:sz="8" w:space="0" w:color="auto"/>
              <w:bottom w:val="nil"/>
              <w:right w:val="single" w:sz="8" w:space="0" w:color="auto"/>
            </w:tcBorders>
            <w:vAlign w:val="center"/>
            <w:hideMark/>
          </w:tcPr>
          <w:p w14:paraId="75FAAE80" w14:textId="77777777" w:rsidR="004A489F" w:rsidRPr="00D207EA" w:rsidRDefault="004A489F">
            <w:pPr>
              <w:spacing w:before="0" w:after="0"/>
              <w:jc w:val="left"/>
              <w:rPr>
                <w:rFonts w:eastAsia="Times New Roman"/>
                <w:b/>
                <w:noProof/>
                <w:color w:val="000000"/>
                <w:sz w:val="14"/>
                <w:szCs w:val="14"/>
                <w:lang w:eastAsia="zh-CN"/>
              </w:rPr>
            </w:pPr>
          </w:p>
        </w:tc>
        <w:tc>
          <w:tcPr>
            <w:tcW w:w="362" w:type="pct"/>
            <w:tcBorders>
              <w:top w:val="nil"/>
              <w:left w:val="nil"/>
              <w:bottom w:val="single" w:sz="8" w:space="0" w:color="auto"/>
              <w:right w:val="single" w:sz="8" w:space="0" w:color="auto"/>
            </w:tcBorders>
            <w:vAlign w:val="center"/>
            <w:hideMark/>
          </w:tcPr>
          <w:p w14:paraId="2D05484E"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2034</w:t>
            </w:r>
          </w:p>
        </w:tc>
        <w:tc>
          <w:tcPr>
            <w:tcW w:w="362" w:type="pct"/>
            <w:vMerge/>
            <w:tcBorders>
              <w:top w:val="single" w:sz="8" w:space="0" w:color="auto"/>
              <w:left w:val="single" w:sz="8" w:space="0" w:color="auto"/>
              <w:bottom w:val="nil"/>
              <w:right w:val="single" w:sz="8" w:space="0" w:color="auto"/>
            </w:tcBorders>
            <w:vAlign w:val="center"/>
            <w:hideMark/>
          </w:tcPr>
          <w:p w14:paraId="3EB3B014" w14:textId="77777777" w:rsidR="004A489F" w:rsidRPr="00D207EA" w:rsidRDefault="004A489F">
            <w:pPr>
              <w:spacing w:before="0" w:after="0"/>
              <w:jc w:val="left"/>
              <w:rPr>
                <w:rFonts w:eastAsia="Times New Roman"/>
                <w:b/>
                <w:noProof/>
                <w:color w:val="000000"/>
                <w:sz w:val="14"/>
                <w:szCs w:val="14"/>
                <w:lang w:eastAsia="zh-CN"/>
              </w:rPr>
            </w:pPr>
          </w:p>
        </w:tc>
      </w:tr>
      <w:tr w:rsidR="004A489F" w:rsidRPr="00D207EA" w14:paraId="7CF7A348" w14:textId="77777777">
        <w:trPr>
          <w:trHeight w:val="315"/>
        </w:trPr>
        <w:tc>
          <w:tcPr>
            <w:tcW w:w="4276" w:type="pct"/>
            <w:gridSpan w:val="9"/>
            <w:tcBorders>
              <w:top w:val="single" w:sz="8" w:space="0" w:color="auto"/>
              <w:left w:val="single" w:sz="8" w:space="0" w:color="auto"/>
              <w:bottom w:val="single" w:sz="8" w:space="0" w:color="auto"/>
              <w:right w:val="nil"/>
            </w:tcBorders>
            <w:vAlign w:val="center"/>
            <w:hideMark/>
          </w:tcPr>
          <w:p w14:paraId="7C561644" w14:textId="77777777" w:rsidR="004A489F" w:rsidRPr="00D207EA" w:rsidRDefault="004A489F">
            <w:pPr>
              <w:spacing w:before="0" w:after="0"/>
              <w:jc w:val="left"/>
              <w:rPr>
                <w:rFonts w:eastAsia="Times New Roman"/>
                <w:b/>
                <w:noProof/>
                <w:sz w:val="14"/>
                <w:szCs w:val="14"/>
              </w:rPr>
            </w:pPr>
            <w:r w:rsidRPr="00D207EA">
              <w:rPr>
                <w:b/>
                <w:noProof/>
                <w:sz w:val="14"/>
              </w:rPr>
              <w:t>RUBRIQUE 7</w:t>
            </w:r>
          </w:p>
        </w:tc>
        <w:tc>
          <w:tcPr>
            <w:tcW w:w="362" w:type="pct"/>
            <w:tcBorders>
              <w:top w:val="single" w:sz="8" w:space="0" w:color="auto"/>
              <w:left w:val="single" w:sz="8" w:space="0" w:color="auto"/>
              <w:bottom w:val="single" w:sz="8" w:space="0" w:color="auto"/>
              <w:right w:val="single" w:sz="8" w:space="0" w:color="auto"/>
            </w:tcBorders>
            <w:vAlign w:val="center"/>
            <w:hideMark/>
          </w:tcPr>
          <w:p w14:paraId="0DA118CE" w14:textId="77777777" w:rsidR="004A489F" w:rsidRPr="00D207EA" w:rsidRDefault="004A489F">
            <w:pPr>
              <w:spacing w:before="0" w:after="0"/>
              <w:jc w:val="left"/>
              <w:rPr>
                <w:rFonts w:eastAsia="Times New Roman"/>
                <w:b/>
                <w:noProof/>
                <w:sz w:val="14"/>
                <w:szCs w:val="14"/>
                <w:lang w:eastAsia="zh-CN"/>
              </w:rPr>
            </w:pPr>
          </w:p>
        </w:tc>
        <w:tc>
          <w:tcPr>
            <w:tcW w:w="362" w:type="pct"/>
            <w:tcBorders>
              <w:top w:val="single" w:sz="8" w:space="0" w:color="auto"/>
              <w:left w:val="single" w:sz="8" w:space="0" w:color="auto"/>
              <w:bottom w:val="single" w:sz="8" w:space="0" w:color="auto"/>
              <w:right w:val="single" w:sz="8" w:space="0" w:color="auto"/>
            </w:tcBorders>
            <w:vAlign w:val="center"/>
            <w:hideMark/>
          </w:tcPr>
          <w:p w14:paraId="7841521A" w14:textId="77777777" w:rsidR="004A489F" w:rsidRPr="00D207EA" w:rsidRDefault="004A489F">
            <w:pPr>
              <w:spacing w:before="0" w:after="0"/>
              <w:jc w:val="left"/>
              <w:rPr>
                <w:rFonts w:eastAsia="Times New Roman"/>
                <w:noProof/>
                <w:sz w:val="14"/>
                <w:szCs w:val="14"/>
                <w:lang w:eastAsia="zh-CN"/>
              </w:rPr>
            </w:pPr>
          </w:p>
        </w:tc>
      </w:tr>
      <w:tr w:rsidR="004A489F" w:rsidRPr="00D207EA" w14:paraId="668BE833"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433FFA77" w14:textId="071932C3" w:rsidR="004A489F" w:rsidRPr="00D207EA" w:rsidRDefault="004A489F">
            <w:pPr>
              <w:spacing w:before="0" w:after="0"/>
              <w:jc w:val="left"/>
              <w:rPr>
                <w:rFonts w:eastAsia="Times New Roman"/>
                <w:noProof/>
                <w:color w:val="000000"/>
                <w:sz w:val="14"/>
                <w:szCs w:val="14"/>
              </w:rPr>
            </w:pPr>
            <w:r w:rsidRPr="00D207EA">
              <w:rPr>
                <w:noProof/>
                <w:color w:val="000000"/>
                <w:sz w:val="14"/>
              </w:rPr>
              <w:t>Ressources humaines</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8788412"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442,240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6F5C0A"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442,240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2AB9A2"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442,240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320590F"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442,240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B059327"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442,240</w:t>
            </w:r>
          </w:p>
        </w:tc>
        <w:tc>
          <w:tcPr>
            <w:tcW w:w="3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EB1EED"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435,090</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A0E4956"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435,090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120168C"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3081,381</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70DDC71"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9CE9DE3"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3081,381</w:t>
            </w:r>
          </w:p>
        </w:tc>
      </w:tr>
      <w:tr w:rsidR="004A489F" w:rsidRPr="00D207EA" w14:paraId="744CAF42"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2057EB75" w14:textId="6CBD24ED" w:rsidR="004A489F" w:rsidRPr="00D207EA" w:rsidRDefault="004A489F">
            <w:pPr>
              <w:spacing w:before="0" w:after="0"/>
              <w:jc w:val="left"/>
              <w:rPr>
                <w:rFonts w:eastAsia="Times New Roman"/>
                <w:noProof/>
                <w:color w:val="000000"/>
                <w:sz w:val="14"/>
                <w:szCs w:val="14"/>
              </w:rPr>
            </w:pPr>
            <w:r w:rsidRPr="00D207EA">
              <w:rPr>
                <w:noProof/>
                <w:color w:val="000000"/>
                <w:sz w:val="14"/>
              </w:rPr>
              <w:t>Autres dépenses administratives</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F0B5CD"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26,923</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7B728F"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26,923</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E69FCE"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26,923</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48D8317"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26,923</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3EB00B7"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26,923</w:t>
            </w:r>
          </w:p>
        </w:tc>
        <w:tc>
          <w:tcPr>
            <w:tcW w:w="3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98753F6"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26,923</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7ACB1FF"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26,923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735753B"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188,461</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DF1A00"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1F52301"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188,461</w:t>
            </w:r>
          </w:p>
        </w:tc>
      </w:tr>
      <w:tr w:rsidR="004A489F" w:rsidRPr="00D207EA" w14:paraId="122EEC2D" w14:textId="77777777">
        <w:trPr>
          <w:trHeight w:val="315"/>
        </w:trPr>
        <w:tc>
          <w:tcPr>
            <w:tcW w:w="1380"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3CEC6546"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Sous-total RUBRIQUE 7</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3F5F04A"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469,163</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103A20"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469,163</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929F0A"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469,163</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EC0C11"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469,163</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3979BF5"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469,163</w:t>
            </w:r>
          </w:p>
        </w:tc>
        <w:tc>
          <w:tcPr>
            <w:tcW w:w="3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46A6D2"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462,013</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7AB58F"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462,013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593FEAD"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3269,842</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99DF084"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B20BE3C"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3269,842</w:t>
            </w:r>
          </w:p>
        </w:tc>
      </w:tr>
      <w:tr w:rsidR="004A489F" w:rsidRPr="00D207EA" w14:paraId="27870B5C" w14:textId="77777777">
        <w:trPr>
          <w:trHeight w:val="315"/>
        </w:trPr>
        <w:tc>
          <w:tcPr>
            <w:tcW w:w="4276" w:type="pct"/>
            <w:gridSpan w:val="9"/>
            <w:tcBorders>
              <w:top w:val="single" w:sz="8" w:space="0" w:color="auto"/>
              <w:left w:val="single" w:sz="8" w:space="0" w:color="auto"/>
              <w:bottom w:val="single" w:sz="8" w:space="0" w:color="auto"/>
              <w:right w:val="nil"/>
            </w:tcBorders>
            <w:vAlign w:val="center"/>
            <w:hideMark/>
          </w:tcPr>
          <w:p w14:paraId="2D272ECD" w14:textId="77777777" w:rsidR="004A489F" w:rsidRPr="00D207EA" w:rsidRDefault="004A489F">
            <w:pPr>
              <w:spacing w:before="0" w:after="0"/>
              <w:jc w:val="left"/>
              <w:rPr>
                <w:rFonts w:eastAsia="Times New Roman"/>
                <w:b/>
                <w:noProof/>
                <w:sz w:val="14"/>
                <w:szCs w:val="14"/>
              </w:rPr>
            </w:pPr>
            <w:r w:rsidRPr="00D207EA">
              <w:rPr>
                <w:b/>
                <w:noProof/>
                <w:sz w:val="14"/>
              </w:rPr>
              <w:t>Hors RUBRIQUE 7</w:t>
            </w:r>
          </w:p>
        </w:tc>
        <w:tc>
          <w:tcPr>
            <w:tcW w:w="362" w:type="pct"/>
            <w:tcBorders>
              <w:top w:val="single" w:sz="8" w:space="0" w:color="auto"/>
              <w:left w:val="single" w:sz="8" w:space="0" w:color="auto"/>
              <w:bottom w:val="single" w:sz="8" w:space="0" w:color="auto"/>
              <w:right w:val="single" w:sz="8" w:space="0" w:color="auto"/>
            </w:tcBorders>
            <w:vAlign w:val="center"/>
            <w:hideMark/>
          </w:tcPr>
          <w:p w14:paraId="533B27A4" w14:textId="77777777" w:rsidR="004A489F" w:rsidRPr="00D207EA" w:rsidRDefault="004A489F">
            <w:pPr>
              <w:spacing w:before="0" w:after="0"/>
              <w:jc w:val="left"/>
              <w:rPr>
                <w:rFonts w:eastAsia="Times New Roman"/>
                <w:b/>
                <w:noProof/>
                <w:sz w:val="14"/>
                <w:szCs w:val="14"/>
                <w:lang w:eastAsia="zh-CN"/>
              </w:rPr>
            </w:pPr>
          </w:p>
        </w:tc>
        <w:tc>
          <w:tcPr>
            <w:tcW w:w="362" w:type="pct"/>
            <w:tcBorders>
              <w:top w:val="single" w:sz="8" w:space="0" w:color="auto"/>
              <w:left w:val="single" w:sz="8" w:space="0" w:color="auto"/>
              <w:bottom w:val="single" w:sz="8" w:space="0" w:color="auto"/>
              <w:right w:val="single" w:sz="8" w:space="0" w:color="auto"/>
            </w:tcBorders>
            <w:vAlign w:val="center"/>
            <w:hideMark/>
          </w:tcPr>
          <w:p w14:paraId="1F6CAF1F" w14:textId="77777777" w:rsidR="004A489F" w:rsidRPr="00D207EA" w:rsidRDefault="004A489F">
            <w:pPr>
              <w:spacing w:before="0" w:after="0"/>
              <w:jc w:val="left"/>
              <w:rPr>
                <w:rFonts w:eastAsia="Times New Roman"/>
                <w:noProof/>
                <w:sz w:val="14"/>
                <w:szCs w:val="14"/>
                <w:lang w:eastAsia="zh-CN"/>
              </w:rPr>
            </w:pPr>
          </w:p>
        </w:tc>
      </w:tr>
      <w:tr w:rsidR="004A489F" w:rsidRPr="00D207EA" w14:paraId="6967B9FC"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02CB8CC3" w14:textId="2F3E79E1" w:rsidR="004A489F" w:rsidRPr="00D207EA" w:rsidRDefault="004A489F">
            <w:pPr>
              <w:spacing w:before="0" w:after="0"/>
              <w:jc w:val="left"/>
              <w:rPr>
                <w:rFonts w:eastAsia="Times New Roman"/>
                <w:noProof/>
                <w:color w:val="000000"/>
                <w:sz w:val="14"/>
                <w:szCs w:val="14"/>
              </w:rPr>
            </w:pPr>
            <w:r w:rsidRPr="00D207EA">
              <w:rPr>
                <w:noProof/>
                <w:color w:val="000000"/>
                <w:sz w:val="14"/>
              </w:rPr>
              <w:t>Ressources humaines</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E3BB21"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29,290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C8EB3DD"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29,290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96EBB8"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29,290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DDC1CB"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29,290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605B51"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29,290</w:t>
            </w:r>
          </w:p>
        </w:tc>
        <w:tc>
          <w:tcPr>
            <w:tcW w:w="3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9C12B6"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29,290</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4869342"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29,290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9CBF4DD"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205,030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07D8A5D"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3207F3"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205,030</w:t>
            </w:r>
          </w:p>
        </w:tc>
      </w:tr>
      <w:tr w:rsidR="004A489F" w:rsidRPr="00D207EA" w14:paraId="43851E46"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4B56E80A" w14:textId="77777777" w:rsidR="004A489F" w:rsidRPr="00D207EA" w:rsidRDefault="004A489F">
            <w:pPr>
              <w:spacing w:before="0" w:after="0"/>
              <w:jc w:val="left"/>
              <w:rPr>
                <w:rFonts w:eastAsia="Times New Roman"/>
                <w:noProof/>
                <w:color w:val="000000"/>
                <w:sz w:val="14"/>
                <w:szCs w:val="14"/>
              </w:rPr>
            </w:pPr>
            <w:r w:rsidRPr="00D207EA">
              <w:rPr>
                <w:noProof/>
                <w:color w:val="000000"/>
                <w:sz w:val="14"/>
              </w:rPr>
              <w:t>Autres dépenses de nature administrative</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010AC43"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AD5E01"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FC3A22"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4F083C"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CFBD67D"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0,000</w:t>
            </w:r>
          </w:p>
        </w:tc>
        <w:tc>
          <w:tcPr>
            <w:tcW w:w="3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4605A72"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0,000</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F7A8382"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13DFA1"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776EF51" w14:textId="77777777" w:rsidR="004A489F" w:rsidRPr="00D207EA" w:rsidRDefault="004A489F">
            <w:pPr>
              <w:spacing w:before="0" w:after="0"/>
              <w:jc w:val="right"/>
              <w:rPr>
                <w:rFonts w:eastAsia="Times New Roman"/>
                <w:noProof/>
                <w:color w:val="000000"/>
                <w:sz w:val="14"/>
                <w:szCs w:val="14"/>
              </w:rPr>
            </w:pPr>
            <w:r w:rsidRPr="00D207EA">
              <w:rPr>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C7C960"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0,000</w:t>
            </w:r>
          </w:p>
        </w:tc>
      </w:tr>
      <w:tr w:rsidR="004A489F" w:rsidRPr="00D207EA" w14:paraId="7811A6DC" w14:textId="77777777">
        <w:trPr>
          <w:trHeight w:val="315"/>
        </w:trPr>
        <w:tc>
          <w:tcPr>
            <w:tcW w:w="1380"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64E73852"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Sous-total hors RUBRIQUE 7</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5689A47"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29,290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8F34C43"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29,290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C1A890"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29,290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6C90AE"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29,290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7F71A10"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29,290</w:t>
            </w:r>
          </w:p>
        </w:tc>
        <w:tc>
          <w:tcPr>
            <w:tcW w:w="3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AF89C9"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29,290</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45EA24"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29,290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34464F"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205,030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37A3FBB"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EBCC84"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205,030</w:t>
            </w:r>
          </w:p>
        </w:tc>
      </w:tr>
      <w:tr w:rsidR="004A489F" w:rsidRPr="00D207EA" w14:paraId="0BE5AA86" w14:textId="77777777">
        <w:trPr>
          <w:trHeight w:val="315"/>
        </w:trPr>
        <w:tc>
          <w:tcPr>
            <w:tcW w:w="4276" w:type="pct"/>
            <w:gridSpan w:val="9"/>
            <w:tcBorders>
              <w:top w:val="single" w:sz="8" w:space="0" w:color="auto"/>
              <w:left w:val="single" w:sz="8" w:space="0" w:color="auto"/>
              <w:bottom w:val="single" w:sz="8" w:space="0" w:color="auto"/>
              <w:right w:val="nil"/>
            </w:tcBorders>
            <w:noWrap/>
            <w:vAlign w:val="center"/>
            <w:hideMark/>
          </w:tcPr>
          <w:p w14:paraId="583B4DFE" w14:textId="77777777" w:rsidR="004A489F" w:rsidRPr="00D207EA" w:rsidRDefault="004A489F">
            <w:pPr>
              <w:spacing w:before="0" w:after="0"/>
              <w:jc w:val="right"/>
              <w:rPr>
                <w:rFonts w:eastAsia="Times New Roman"/>
                <w:b/>
                <w:noProof/>
                <w:color w:val="000000"/>
                <w:sz w:val="14"/>
                <w:szCs w:val="14"/>
                <w:lang w:eastAsia="zh-CN"/>
              </w:rPr>
            </w:pPr>
          </w:p>
        </w:tc>
        <w:tc>
          <w:tcPr>
            <w:tcW w:w="724" w:type="pct"/>
            <w:gridSpan w:val="2"/>
            <w:tcBorders>
              <w:top w:val="single" w:sz="8" w:space="0" w:color="auto"/>
              <w:left w:val="single" w:sz="8" w:space="0" w:color="auto"/>
              <w:bottom w:val="single" w:sz="8" w:space="0" w:color="auto"/>
              <w:right w:val="nil"/>
            </w:tcBorders>
            <w:noWrap/>
            <w:vAlign w:val="bottom"/>
            <w:hideMark/>
          </w:tcPr>
          <w:p w14:paraId="762BDDB7" w14:textId="77777777" w:rsidR="004A489F" w:rsidRPr="00D207EA" w:rsidRDefault="004A489F">
            <w:pPr>
              <w:spacing w:before="0" w:after="0"/>
              <w:jc w:val="center"/>
              <w:rPr>
                <w:rFonts w:eastAsia="Times New Roman"/>
                <w:noProof/>
                <w:sz w:val="14"/>
                <w:szCs w:val="14"/>
                <w:lang w:eastAsia="zh-CN"/>
              </w:rPr>
            </w:pPr>
          </w:p>
        </w:tc>
      </w:tr>
      <w:tr w:rsidR="004A489F" w:rsidRPr="00D207EA" w14:paraId="386F349B" w14:textId="77777777">
        <w:trPr>
          <w:trHeight w:val="330"/>
        </w:trPr>
        <w:tc>
          <w:tcPr>
            <w:tcW w:w="1380" w:type="pct"/>
            <w:tcBorders>
              <w:top w:val="single" w:sz="12" w:space="0" w:color="auto"/>
              <w:left w:val="single" w:sz="12" w:space="0" w:color="auto"/>
              <w:bottom w:val="single" w:sz="12" w:space="0" w:color="auto"/>
              <w:right w:val="single" w:sz="8" w:space="0" w:color="auto"/>
            </w:tcBorders>
            <w:vAlign w:val="center"/>
            <w:hideMark/>
          </w:tcPr>
          <w:p w14:paraId="04CB7FAB" w14:textId="77777777" w:rsidR="004A489F" w:rsidRPr="00D207EA" w:rsidRDefault="004A489F">
            <w:pPr>
              <w:spacing w:before="0" w:after="0"/>
              <w:jc w:val="center"/>
              <w:rPr>
                <w:rFonts w:eastAsia="Times New Roman"/>
                <w:b/>
                <w:noProof/>
                <w:color w:val="000000"/>
                <w:sz w:val="14"/>
                <w:szCs w:val="14"/>
              </w:rPr>
            </w:pPr>
            <w:r w:rsidRPr="00D207EA">
              <w:rPr>
                <w:b/>
                <w:noProof/>
                <w:color w:val="000000"/>
                <w:sz w:val="14"/>
              </w:rPr>
              <w:t>TOTAL</w:t>
            </w:r>
          </w:p>
        </w:tc>
        <w:tc>
          <w:tcPr>
            <w:tcW w:w="354" w:type="pct"/>
            <w:tcBorders>
              <w:top w:val="single" w:sz="12" w:space="0" w:color="auto"/>
              <w:left w:val="nil"/>
              <w:bottom w:val="single" w:sz="12" w:space="0" w:color="auto"/>
              <w:right w:val="single" w:sz="8" w:space="0" w:color="auto"/>
            </w:tcBorders>
            <w:shd w:val="clear" w:color="000000" w:fill="D9D9D9"/>
            <w:vAlign w:val="center"/>
            <w:hideMark/>
          </w:tcPr>
          <w:p w14:paraId="0DED8450"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498,453</w:t>
            </w:r>
          </w:p>
        </w:tc>
        <w:tc>
          <w:tcPr>
            <w:tcW w:w="354" w:type="pct"/>
            <w:tcBorders>
              <w:top w:val="single" w:sz="12" w:space="0" w:color="auto"/>
              <w:left w:val="nil"/>
              <w:bottom w:val="single" w:sz="12" w:space="0" w:color="auto"/>
              <w:right w:val="single" w:sz="8" w:space="0" w:color="auto"/>
            </w:tcBorders>
            <w:shd w:val="clear" w:color="000000" w:fill="D9D9D9"/>
            <w:vAlign w:val="center"/>
            <w:hideMark/>
          </w:tcPr>
          <w:p w14:paraId="6BF9A596"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498,453</w:t>
            </w:r>
          </w:p>
        </w:tc>
        <w:tc>
          <w:tcPr>
            <w:tcW w:w="354" w:type="pct"/>
            <w:tcBorders>
              <w:top w:val="single" w:sz="12" w:space="0" w:color="auto"/>
              <w:left w:val="nil"/>
              <w:bottom w:val="single" w:sz="12" w:space="0" w:color="auto"/>
              <w:right w:val="single" w:sz="8" w:space="0" w:color="auto"/>
            </w:tcBorders>
            <w:shd w:val="clear" w:color="000000" w:fill="D9D9D9"/>
            <w:vAlign w:val="center"/>
            <w:hideMark/>
          </w:tcPr>
          <w:p w14:paraId="635251FE"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498,453</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682069B1"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498,453</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3E83A522"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498,453</w:t>
            </w:r>
          </w:p>
        </w:tc>
        <w:tc>
          <w:tcPr>
            <w:tcW w:w="361" w:type="pct"/>
            <w:tcBorders>
              <w:top w:val="single" w:sz="12" w:space="0" w:color="auto"/>
              <w:left w:val="nil"/>
              <w:bottom w:val="single" w:sz="12" w:space="0" w:color="auto"/>
              <w:right w:val="single" w:sz="8" w:space="0" w:color="auto"/>
            </w:tcBorders>
            <w:shd w:val="clear" w:color="000000" w:fill="D9D9D9"/>
            <w:vAlign w:val="center"/>
            <w:hideMark/>
          </w:tcPr>
          <w:p w14:paraId="5B62F087"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491,303</w:t>
            </w:r>
          </w:p>
        </w:tc>
        <w:tc>
          <w:tcPr>
            <w:tcW w:w="356" w:type="pct"/>
            <w:tcBorders>
              <w:top w:val="single" w:sz="12" w:space="0" w:color="auto"/>
              <w:left w:val="nil"/>
              <w:bottom w:val="single" w:sz="12" w:space="0" w:color="auto"/>
              <w:right w:val="single" w:sz="8" w:space="0" w:color="auto"/>
            </w:tcBorders>
            <w:shd w:val="clear" w:color="000000" w:fill="D9D9D9"/>
            <w:vAlign w:val="center"/>
            <w:hideMark/>
          </w:tcPr>
          <w:p w14:paraId="7DB24973"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491,303</w:t>
            </w:r>
          </w:p>
        </w:tc>
        <w:tc>
          <w:tcPr>
            <w:tcW w:w="392" w:type="pct"/>
            <w:tcBorders>
              <w:top w:val="single" w:sz="12" w:space="0" w:color="auto"/>
              <w:left w:val="nil"/>
              <w:bottom w:val="single" w:sz="12" w:space="0" w:color="auto"/>
              <w:right w:val="single" w:sz="8" w:space="0" w:color="auto"/>
            </w:tcBorders>
            <w:shd w:val="clear" w:color="000000" w:fill="D9D9D9"/>
            <w:vAlign w:val="center"/>
            <w:hideMark/>
          </w:tcPr>
          <w:p w14:paraId="3BB8BBE3"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3474,872</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390CB7BA"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0,000</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37F12041" w14:textId="77777777" w:rsidR="004A489F" w:rsidRPr="00D207EA" w:rsidRDefault="004A489F">
            <w:pPr>
              <w:spacing w:before="0" w:after="0"/>
              <w:jc w:val="right"/>
              <w:rPr>
                <w:rFonts w:eastAsia="Times New Roman"/>
                <w:b/>
                <w:noProof/>
                <w:color w:val="000000"/>
                <w:sz w:val="14"/>
                <w:szCs w:val="14"/>
              </w:rPr>
            </w:pPr>
            <w:r w:rsidRPr="00D207EA">
              <w:rPr>
                <w:b/>
                <w:noProof/>
                <w:color w:val="000000"/>
                <w:sz w:val="14"/>
              </w:rPr>
              <w:t>3474,872</w:t>
            </w:r>
          </w:p>
        </w:tc>
      </w:tr>
    </w:tbl>
    <w:p w14:paraId="1D41F3BB" w14:textId="77777777" w:rsidR="004A489F" w:rsidRPr="00D207EA" w:rsidRDefault="004A489F" w:rsidP="004A489F">
      <w:pPr>
        <w:pStyle w:val="Text1"/>
        <w:ind w:left="0"/>
        <w:rPr>
          <w:noProof/>
        </w:rPr>
      </w:pPr>
    </w:p>
    <w:p w14:paraId="0630031C" w14:textId="77777777" w:rsidR="004A489F" w:rsidRPr="00D207EA" w:rsidRDefault="004A489F" w:rsidP="004A489F">
      <w:pPr>
        <w:rPr>
          <w:noProof/>
          <w:sz w:val="22"/>
          <w:szCs w:val="28"/>
        </w:rPr>
      </w:pPr>
      <w:r w:rsidRPr="00D207EA">
        <w:rPr>
          <w:noProof/>
          <w:sz w:val="22"/>
        </w:rPr>
        <w:t>Les besoins en crédits pour les ressources humaines et les autres dépenses de nature administrative seront couverts par les crédits des services déjà affectés à la gestion de l’action et/ou redéployés en interne au sein de ces services, complétés le cas échéant par toute dotation additionnelle qui pourrait être allouée aux services chargés de la gestion du Fonds dans le cadre de la procédure d’allocation annuelle et compte tenu des contraintes budgétaires existantes.</w:t>
      </w:r>
    </w:p>
    <w:p w14:paraId="7AF40928" w14:textId="77777777" w:rsidR="004A489F" w:rsidRPr="00D207EA" w:rsidRDefault="004A489F" w:rsidP="004A489F">
      <w:pPr>
        <w:rPr>
          <w:noProof/>
          <w:sz w:val="22"/>
          <w:szCs w:val="28"/>
        </w:rPr>
      </w:pPr>
      <w:r w:rsidRPr="00D207EA">
        <w:rPr>
          <w:noProof/>
          <w:sz w:val="22"/>
        </w:rPr>
        <w:t>Ces estimations comprennent également les ressources humaines et les autres dépenses de nature administrative nécessaires à la mise en œuvre des objectifs énoncés dans le règlement (UE) 202X/XXX [retour et réadmission, solidarité], le règlement (UE) 202X/XXX [soutien à la politique des visas] et le règlement (UE) 202X/XXX [coopération transfrontalière en matière de lutte contre le terrorisme et la grande criminalité organisée] et à la mise en œuvre du soutien de l’Union au titre du règlement (UE) 202X/XXX [mise en œuvre du soutien de l’Union en faveur de la PAC], du règlement (UE) 202X/XXX [mise en œuvre du soutien de l’Union au développement régional], du règlement (UE) 202X/XXX [mise en œuvre du soutien de l’Union à la qualité de l’emploi, aux compétences et à l’inclusion sociale] et du règlement (UE) 202X/XXX [mise en œuvre du soutien de l’Union à la PCP/politique maritime].</w:t>
      </w:r>
    </w:p>
    <w:p w14:paraId="7F104860" w14:textId="3C33CD8C" w:rsidR="004A489F" w:rsidRPr="00D207EA" w:rsidRDefault="004A489F" w:rsidP="004A489F">
      <w:pPr>
        <w:pStyle w:val="ManualHeading3"/>
        <w:rPr>
          <w:bCs/>
          <w:noProof/>
          <w:szCs w:val="24"/>
        </w:rPr>
      </w:pPr>
      <w:bookmarkStart w:id="180" w:name="_Toc167220294"/>
      <w:bookmarkStart w:id="181" w:name="_Toc177549027"/>
      <w:r w:rsidRPr="00D207EA">
        <w:rPr>
          <w:noProof/>
        </w:rPr>
        <w:t>3.2.4.</w:t>
      </w:r>
      <w:r w:rsidRPr="00D207EA">
        <w:rPr>
          <w:noProof/>
        </w:rPr>
        <w:tab/>
        <w:t>Besoins estimés en ressources humaines</w:t>
      </w:r>
      <w:bookmarkEnd w:id="180"/>
      <w:bookmarkEnd w:id="181"/>
    </w:p>
    <w:p w14:paraId="2EB58D07" w14:textId="2A614F59" w:rsidR="004A489F" w:rsidRPr="00D207EA" w:rsidRDefault="004A489F" w:rsidP="004A489F">
      <w:pPr>
        <w:pStyle w:val="ListDash1"/>
        <w:rPr>
          <w:noProof/>
        </w:rPr>
      </w:pPr>
      <w:r w:rsidRPr="00D207EA">
        <w:rPr>
          <w:rFonts w:ascii="Wingdings" w:hAnsi="Wingdings"/>
          <w:noProof/>
        </w:rPr>
        <w:t></w:t>
      </w:r>
      <w:r w:rsidRPr="00D207EA">
        <w:rPr>
          <w:noProof/>
        </w:rPr>
        <w:tab/>
        <w:t>La proposition/l’initiative n’engendre pas l’utilisation de ressources humaines.</w:t>
      </w:r>
    </w:p>
    <w:p w14:paraId="05F00CA7" w14:textId="77777777" w:rsidR="004A489F" w:rsidRPr="00D207EA" w:rsidRDefault="004A489F" w:rsidP="004A489F">
      <w:pPr>
        <w:pStyle w:val="ListDash1"/>
        <w:rPr>
          <w:noProof/>
        </w:rPr>
      </w:pPr>
      <w:r w:rsidRPr="00D207EA">
        <w:rPr>
          <w:rFonts w:ascii="Wingdings" w:hAnsi="Wingdings"/>
          <w:noProof/>
        </w:rPr>
        <w:t></w:t>
      </w:r>
      <w:r w:rsidRPr="00D207EA">
        <w:rPr>
          <w:noProof/>
        </w:rPr>
        <w:tab/>
        <w:t>La proposition/l’initiative engendre l’utilisation de ressources humaines, comme expliqué ci-après:</w:t>
      </w:r>
    </w:p>
    <w:p w14:paraId="6522249A" w14:textId="77777777" w:rsidR="004A489F" w:rsidRPr="00D207EA" w:rsidRDefault="004A489F" w:rsidP="004A489F">
      <w:pPr>
        <w:pStyle w:val="ManualHeading3"/>
        <w:rPr>
          <w:noProof/>
        </w:rPr>
      </w:pPr>
      <w:bookmarkStart w:id="182" w:name="_Toc167220295"/>
      <w:bookmarkStart w:id="183" w:name="_Toc177549028"/>
      <w:r w:rsidRPr="00D207EA">
        <w:rPr>
          <w:noProof/>
        </w:rPr>
        <w:t>3.2.4.1.</w:t>
      </w:r>
      <w:r w:rsidRPr="00D207EA">
        <w:rPr>
          <w:noProof/>
        </w:rPr>
        <w:tab/>
        <w:t>Financement sur le budget voté</w:t>
      </w:r>
      <w:bookmarkEnd w:id="182"/>
      <w:bookmarkEnd w:id="183"/>
    </w:p>
    <w:p w14:paraId="69E32227" w14:textId="77777777" w:rsidR="004A489F" w:rsidRPr="00D207EA" w:rsidRDefault="004A489F" w:rsidP="004A489F">
      <w:pPr>
        <w:spacing w:after="60"/>
        <w:jc w:val="right"/>
        <w:rPr>
          <w:i/>
          <w:noProof/>
          <w:sz w:val="20"/>
        </w:rPr>
      </w:pPr>
      <w:r w:rsidRPr="00D207EA">
        <w:rPr>
          <w:i/>
          <w:noProof/>
          <w:sz w:val="20"/>
        </w:rPr>
        <w:t>Estimation à exprimer en équivalents temps plein (ETP)</w:t>
      </w:r>
    </w:p>
    <w:tbl>
      <w:tblPr>
        <w:tblW w:w="5000" w:type="pct"/>
        <w:tblCellMar>
          <w:top w:w="15" w:type="dxa"/>
          <w:bottom w:w="15" w:type="dxa"/>
        </w:tblCellMar>
        <w:tblLook w:val="04A0" w:firstRow="1" w:lastRow="0" w:firstColumn="1" w:lastColumn="0" w:noHBand="0" w:noVBand="1"/>
      </w:tblPr>
      <w:tblGrid>
        <w:gridCol w:w="1296"/>
        <w:gridCol w:w="1988"/>
        <w:gridCol w:w="738"/>
        <w:gridCol w:w="738"/>
        <w:gridCol w:w="738"/>
        <w:gridCol w:w="738"/>
        <w:gridCol w:w="738"/>
        <w:gridCol w:w="738"/>
        <w:gridCol w:w="738"/>
        <w:gridCol w:w="839"/>
      </w:tblGrid>
      <w:tr w:rsidR="00A92234" w:rsidRPr="00D207EA" w14:paraId="2A6F03EF" w14:textId="77777777" w:rsidTr="00F47D96">
        <w:trPr>
          <w:trHeight w:val="300"/>
        </w:trPr>
        <w:tc>
          <w:tcPr>
            <w:tcW w:w="2032" w:type="pct"/>
            <w:gridSpan w:val="2"/>
            <w:vMerge w:val="restart"/>
            <w:tcBorders>
              <w:top w:val="single" w:sz="8" w:space="0" w:color="auto"/>
              <w:left w:val="single" w:sz="8" w:space="0" w:color="auto"/>
              <w:bottom w:val="nil"/>
              <w:right w:val="nil"/>
            </w:tcBorders>
            <w:vAlign w:val="center"/>
            <w:hideMark/>
          </w:tcPr>
          <w:p w14:paraId="49A215D3" w14:textId="77777777" w:rsidR="00A92234" w:rsidRPr="00D207EA" w:rsidRDefault="00A92234" w:rsidP="00A92234">
            <w:pPr>
              <w:spacing w:before="0" w:after="0"/>
              <w:jc w:val="center"/>
              <w:rPr>
                <w:rFonts w:eastAsia="Times New Roman"/>
                <w:b/>
                <w:bCs/>
                <w:noProof/>
                <w:color w:val="000000"/>
                <w:sz w:val="18"/>
                <w:szCs w:val="18"/>
              </w:rPr>
            </w:pPr>
            <w:r w:rsidRPr="00D207EA">
              <w:rPr>
                <w:b/>
                <w:noProof/>
                <w:color w:val="000000"/>
                <w:sz w:val="18"/>
              </w:rPr>
              <w:t>CRÉDITS VOTÉS</w:t>
            </w:r>
          </w:p>
        </w:tc>
        <w:tc>
          <w:tcPr>
            <w:tcW w:w="366" w:type="pct"/>
            <w:tcBorders>
              <w:top w:val="single" w:sz="8" w:space="0" w:color="auto"/>
              <w:left w:val="nil"/>
              <w:bottom w:val="nil"/>
              <w:right w:val="single" w:sz="8" w:space="0" w:color="auto"/>
            </w:tcBorders>
            <w:vAlign w:val="center"/>
            <w:hideMark/>
          </w:tcPr>
          <w:p w14:paraId="6A2C0974" w14:textId="77777777" w:rsidR="00A92234" w:rsidRPr="00D207EA" w:rsidRDefault="00A92234" w:rsidP="00A92234">
            <w:pPr>
              <w:spacing w:before="0" w:after="0"/>
              <w:jc w:val="center"/>
              <w:rPr>
                <w:rFonts w:eastAsia="Times New Roman"/>
                <w:noProof/>
                <w:color w:val="000000"/>
                <w:sz w:val="20"/>
                <w:szCs w:val="20"/>
              </w:rPr>
            </w:pPr>
            <w:r w:rsidRPr="00D207EA">
              <w:rPr>
                <w:noProof/>
                <w:color w:val="000000"/>
                <w:sz w:val="20"/>
              </w:rPr>
              <w:t>Année</w:t>
            </w:r>
          </w:p>
        </w:tc>
        <w:tc>
          <w:tcPr>
            <w:tcW w:w="366" w:type="pct"/>
            <w:tcBorders>
              <w:top w:val="single" w:sz="8" w:space="0" w:color="auto"/>
              <w:left w:val="nil"/>
              <w:bottom w:val="nil"/>
              <w:right w:val="single" w:sz="8" w:space="0" w:color="auto"/>
            </w:tcBorders>
            <w:vAlign w:val="center"/>
            <w:hideMark/>
          </w:tcPr>
          <w:p w14:paraId="3673A41F" w14:textId="77777777" w:rsidR="00A92234" w:rsidRPr="00D207EA" w:rsidRDefault="00A92234" w:rsidP="00A92234">
            <w:pPr>
              <w:spacing w:before="0" w:after="0"/>
              <w:jc w:val="center"/>
              <w:rPr>
                <w:rFonts w:eastAsia="Times New Roman"/>
                <w:noProof/>
                <w:color w:val="000000"/>
                <w:sz w:val="20"/>
                <w:szCs w:val="20"/>
              </w:rPr>
            </w:pPr>
            <w:r w:rsidRPr="00D207EA">
              <w:rPr>
                <w:noProof/>
                <w:color w:val="000000"/>
                <w:sz w:val="20"/>
              </w:rPr>
              <w:t>Année</w:t>
            </w:r>
          </w:p>
        </w:tc>
        <w:tc>
          <w:tcPr>
            <w:tcW w:w="366" w:type="pct"/>
            <w:tcBorders>
              <w:top w:val="single" w:sz="8" w:space="0" w:color="auto"/>
              <w:left w:val="nil"/>
              <w:bottom w:val="nil"/>
              <w:right w:val="single" w:sz="8" w:space="0" w:color="auto"/>
            </w:tcBorders>
            <w:vAlign w:val="center"/>
            <w:hideMark/>
          </w:tcPr>
          <w:p w14:paraId="0D6C1234" w14:textId="77777777" w:rsidR="00A92234" w:rsidRPr="00D207EA" w:rsidRDefault="00A92234" w:rsidP="00A92234">
            <w:pPr>
              <w:spacing w:before="0" w:after="0"/>
              <w:jc w:val="center"/>
              <w:rPr>
                <w:rFonts w:eastAsia="Times New Roman"/>
                <w:noProof/>
                <w:color w:val="000000"/>
                <w:sz w:val="20"/>
                <w:szCs w:val="20"/>
              </w:rPr>
            </w:pPr>
            <w:r w:rsidRPr="00D207EA">
              <w:rPr>
                <w:noProof/>
                <w:color w:val="000000"/>
                <w:sz w:val="20"/>
              </w:rPr>
              <w:t>Année</w:t>
            </w:r>
          </w:p>
        </w:tc>
        <w:tc>
          <w:tcPr>
            <w:tcW w:w="374" w:type="pct"/>
            <w:tcBorders>
              <w:top w:val="single" w:sz="8" w:space="0" w:color="auto"/>
              <w:left w:val="nil"/>
              <w:bottom w:val="nil"/>
              <w:right w:val="single" w:sz="8" w:space="0" w:color="auto"/>
            </w:tcBorders>
            <w:vAlign w:val="center"/>
            <w:hideMark/>
          </w:tcPr>
          <w:p w14:paraId="06031FAC" w14:textId="77777777" w:rsidR="00A92234" w:rsidRPr="00D207EA" w:rsidRDefault="00A92234" w:rsidP="00A92234">
            <w:pPr>
              <w:spacing w:before="0" w:after="0"/>
              <w:jc w:val="center"/>
              <w:rPr>
                <w:rFonts w:eastAsia="Times New Roman"/>
                <w:noProof/>
                <w:color w:val="000000"/>
                <w:sz w:val="20"/>
                <w:szCs w:val="20"/>
              </w:rPr>
            </w:pPr>
            <w:r w:rsidRPr="00D207EA">
              <w:rPr>
                <w:noProof/>
                <w:color w:val="000000"/>
                <w:sz w:val="20"/>
              </w:rPr>
              <w:t>Année</w:t>
            </w:r>
          </w:p>
        </w:tc>
        <w:tc>
          <w:tcPr>
            <w:tcW w:w="374" w:type="pct"/>
            <w:tcBorders>
              <w:top w:val="single" w:sz="8" w:space="0" w:color="auto"/>
              <w:left w:val="nil"/>
              <w:bottom w:val="nil"/>
              <w:right w:val="single" w:sz="8" w:space="0" w:color="auto"/>
            </w:tcBorders>
            <w:vAlign w:val="center"/>
            <w:hideMark/>
          </w:tcPr>
          <w:p w14:paraId="40E2C79A" w14:textId="77777777" w:rsidR="00A92234" w:rsidRPr="00D207EA" w:rsidRDefault="00A92234" w:rsidP="00A92234">
            <w:pPr>
              <w:spacing w:before="0" w:after="0"/>
              <w:jc w:val="center"/>
              <w:rPr>
                <w:rFonts w:eastAsia="Times New Roman"/>
                <w:noProof/>
                <w:color w:val="000000"/>
                <w:sz w:val="20"/>
                <w:szCs w:val="20"/>
              </w:rPr>
            </w:pPr>
            <w:r w:rsidRPr="00D207EA">
              <w:rPr>
                <w:noProof/>
                <w:color w:val="000000"/>
                <w:sz w:val="20"/>
              </w:rPr>
              <w:t>Année</w:t>
            </w:r>
          </w:p>
        </w:tc>
        <w:tc>
          <w:tcPr>
            <w:tcW w:w="374" w:type="pct"/>
            <w:tcBorders>
              <w:top w:val="single" w:sz="8" w:space="0" w:color="auto"/>
              <w:left w:val="nil"/>
              <w:bottom w:val="nil"/>
              <w:right w:val="single" w:sz="8" w:space="0" w:color="auto"/>
            </w:tcBorders>
            <w:vAlign w:val="center"/>
            <w:hideMark/>
          </w:tcPr>
          <w:p w14:paraId="571028AC" w14:textId="77777777" w:rsidR="00A92234" w:rsidRPr="00D207EA" w:rsidRDefault="00A92234" w:rsidP="00A92234">
            <w:pPr>
              <w:spacing w:before="0" w:after="0"/>
              <w:jc w:val="center"/>
              <w:rPr>
                <w:rFonts w:eastAsia="Times New Roman"/>
                <w:noProof/>
                <w:color w:val="000000"/>
                <w:sz w:val="20"/>
                <w:szCs w:val="20"/>
              </w:rPr>
            </w:pPr>
            <w:r w:rsidRPr="00D207EA">
              <w:rPr>
                <w:noProof/>
                <w:color w:val="000000"/>
                <w:sz w:val="20"/>
              </w:rPr>
              <w:t>Année</w:t>
            </w:r>
          </w:p>
        </w:tc>
        <w:tc>
          <w:tcPr>
            <w:tcW w:w="374" w:type="pct"/>
            <w:tcBorders>
              <w:top w:val="single" w:sz="8" w:space="0" w:color="auto"/>
              <w:left w:val="nil"/>
              <w:bottom w:val="nil"/>
              <w:right w:val="single" w:sz="8" w:space="0" w:color="auto"/>
            </w:tcBorders>
            <w:vAlign w:val="center"/>
            <w:hideMark/>
          </w:tcPr>
          <w:p w14:paraId="21F54480" w14:textId="77777777" w:rsidR="00A92234" w:rsidRPr="00D207EA" w:rsidRDefault="00A92234" w:rsidP="00A92234">
            <w:pPr>
              <w:spacing w:before="0" w:after="0"/>
              <w:jc w:val="center"/>
              <w:rPr>
                <w:rFonts w:eastAsia="Times New Roman"/>
                <w:noProof/>
                <w:color w:val="000000"/>
                <w:sz w:val="20"/>
                <w:szCs w:val="20"/>
              </w:rPr>
            </w:pPr>
            <w:r w:rsidRPr="00D207EA">
              <w:rPr>
                <w:noProof/>
                <w:color w:val="000000"/>
                <w:sz w:val="20"/>
              </w:rPr>
              <w:t>Année</w:t>
            </w:r>
          </w:p>
        </w:tc>
        <w:tc>
          <w:tcPr>
            <w:tcW w:w="374" w:type="pct"/>
            <w:tcBorders>
              <w:top w:val="single" w:sz="8" w:space="0" w:color="auto"/>
              <w:left w:val="nil"/>
              <w:bottom w:val="nil"/>
              <w:right w:val="single" w:sz="8" w:space="0" w:color="auto"/>
            </w:tcBorders>
            <w:vAlign w:val="center"/>
            <w:hideMark/>
          </w:tcPr>
          <w:p w14:paraId="59519932" w14:textId="77777777" w:rsidR="00A92234" w:rsidRPr="00D207EA" w:rsidRDefault="00A92234" w:rsidP="00A92234">
            <w:pPr>
              <w:spacing w:before="0" w:after="0"/>
              <w:jc w:val="center"/>
              <w:rPr>
                <w:rFonts w:eastAsia="Times New Roman"/>
                <w:noProof/>
                <w:color w:val="000000"/>
                <w:sz w:val="20"/>
                <w:szCs w:val="20"/>
              </w:rPr>
            </w:pPr>
            <w:r w:rsidRPr="00D207EA">
              <w:rPr>
                <w:noProof/>
                <w:color w:val="000000"/>
                <w:sz w:val="20"/>
              </w:rPr>
              <w:t>APRÈS</w:t>
            </w:r>
          </w:p>
        </w:tc>
      </w:tr>
      <w:tr w:rsidR="00A92234" w:rsidRPr="00D207EA" w14:paraId="26DD3023" w14:textId="77777777" w:rsidTr="00F47D96">
        <w:trPr>
          <w:trHeight w:val="315"/>
        </w:trPr>
        <w:tc>
          <w:tcPr>
            <w:tcW w:w="2032" w:type="pct"/>
            <w:gridSpan w:val="2"/>
            <w:vMerge/>
            <w:tcBorders>
              <w:top w:val="single" w:sz="8" w:space="0" w:color="auto"/>
              <w:left w:val="single" w:sz="8" w:space="0" w:color="auto"/>
              <w:bottom w:val="nil"/>
              <w:right w:val="nil"/>
            </w:tcBorders>
            <w:vAlign w:val="center"/>
            <w:hideMark/>
          </w:tcPr>
          <w:p w14:paraId="7FF6A975" w14:textId="77777777" w:rsidR="00A92234" w:rsidRPr="00D207EA" w:rsidRDefault="00A92234" w:rsidP="00A92234">
            <w:pPr>
              <w:spacing w:before="0" w:after="0"/>
              <w:jc w:val="left"/>
              <w:rPr>
                <w:rFonts w:eastAsia="Times New Roman"/>
                <w:b/>
                <w:bCs/>
                <w:noProof/>
                <w:color w:val="000000"/>
                <w:sz w:val="18"/>
                <w:szCs w:val="18"/>
                <w:lang w:eastAsia="zh-CN"/>
              </w:rPr>
            </w:pPr>
          </w:p>
        </w:tc>
        <w:tc>
          <w:tcPr>
            <w:tcW w:w="366" w:type="pct"/>
            <w:tcBorders>
              <w:top w:val="nil"/>
              <w:left w:val="nil"/>
              <w:bottom w:val="single" w:sz="8" w:space="0" w:color="auto"/>
              <w:right w:val="single" w:sz="8" w:space="0" w:color="auto"/>
            </w:tcBorders>
            <w:vAlign w:val="center"/>
            <w:hideMark/>
          </w:tcPr>
          <w:p w14:paraId="34CFF234" w14:textId="77777777" w:rsidR="00A92234" w:rsidRPr="00D207EA" w:rsidRDefault="00A92234" w:rsidP="00A92234">
            <w:pPr>
              <w:spacing w:before="0" w:after="0"/>
              <w:jc w:val="center"/>
              <w:rPr>
                <w:rFonts w:eastAsia="Times New Roman"/>
                <w:b/>
                <w:bCs/>
                <w:noProof/>
                <w:color w:val="000000"/>
                <w:sz w:val="16"/>
                <w:szCs w:val="16"/>
              </w:rPr>
            </w:pPr>
            <w:r w:rsidRPr="00D207EA">
              <w:rPr>
                <w:b/>
                <w:noProof/>
                <w:color w:val="000000"/>
                <w:sz w:val="16"/>
              </w:rPr>
              <w:t>2028</w:t>
            </w:r>
          </w:p>
        </w:tc>
        <w:tc>
          <w:tcPr>
            <w:tcW w:w="366" w:type="pct"/>
            <w:tcBorders>
              <w:top w:val="nil"/>
              <w:left w:val="nil"/>
              <w:bottom w:val="single" w:sz="8" w:space="0" w:color="auto"/>
              <w:right w:val="single" w:sz="8" w:space="0" w:color="auto"/>
            </w:tcBorders>
            <w:vAlign w:val="center"/>
            <w:hideMark/>
          </w:tcPr>
          <w:p w14:paraId="288B82BE" w14:textId="77777777" w:rsidR="00A92234" w:rsidRPr="00D207EA" w:rsidRDefault="00A92234" w:rsidP="00A92234">
            <w:pPr>
              <w:spacing w:before="0" w:after="0"/>
              <w:jc w:val="center"/>
              <w:rPr>
                <w:rFonts w:eastAsia="Times New Roman"/>
                <w:b/>
                <w:bCs/>
                <w:noProof/>
                <w:color w:val="000000"/>
                <w:sz w:val="20"/>
                <w:szCs w:val="20"/>
              </w:rPr>
            </w:pPr>
            <w:r w:rsidRPr="00D207EA">
              <w:rPr>
                <w:b/>
                <w:noProof/>
                <w:color w:val="000000"/>
                <w:sz w:val="20"/>
              </w:rPr>
              <w:t>2029</w:t>
            </w:r>
          </w:p>
        </w:tc>
        <w:tc>
          <w:tcPr>
            <w:tcW w:w="366" w:type="pct"/>
            <w:tcBorders>
              <w:top w:val="nil"/>
              <w:left w:val="nil"/>
              <w:bottom w:val="single" w:sz="8" w:space="0" w:color="auto"/>
              <w:right w:val="single" w:sz="8" w:space="0" w:color="auto"/>
            </w:tcBorders>
            <w:vAlign w:val="center"/>
            <w:hideMark/>
          </w:tcPr>
          <w:p w14:paraId="0B23824D" w14:textId="77777777" w:rsidR="00A92234" w:rsidRPr="00D207EA" w:rsidRDefault="00A92234" w:rsidP="00A92234">
            <w:pPr>
              <w:spacing w:before="0" w:after="0"/>
              <w:jc w:val="center"/>
              <w:rPr>
                <w:rFonts w:eastAsia="Times New Roman"/>
                <w:b/>
                <w:bCs/>
                <w:noProof/>
                <w:color w:val="000000"/>
                <w:sz w:val="20"/>
                <w:szCs w:val="20"/>
              </w:rPr>
            </w:pPr>
            <w:r w:rsidRPr="00D207EA">
              <w:rPr>
                <w:b/>
                <w:noProof/>
                <w:color w:val="000000"/>
                <w:sz w:val="20"/>
              </w:rPr>
              <w:t>2030</w:t>
            </w:r>
          </w:p>
        </w:tc>
        <w:tc>
          <w:tcPr>
            <w:tcW w:w="374" w:type="pct"/>
            <w:tcBorders>
              <w:top w:val="nil"/>
              <w:left w:val="nil"/>
              <w:bottom w:val="single" w:sz="8" w:space="0" w:color="auto"/>
              <w:right w:val="single" w:sz="8" w:space="0" w:color="auto"/>
            </w:tcBorders>
            <w:vAlign w:val="center"/>
            <w:hideMark/>
          </w:tcPr>
          <w:p w14:paraId="6C4A7E31" w14:textId="77777777" w:rsidR="00A92234" w:rsidRPr="00D207EA" w:rsidRDefault="00A92234" w:rsidP="00A92234">
            <w:pPr>
              <w:spacing w:before="0" w:after="0"/>
              <w:jc w:val="center"/>
              <w:rPr>
                <w:rFonts w:eastAsia="Times New Roman"/>
                <w:b/>
                <w:bCs/>
                <w:noProof/>
                <w:color w:val="000000"/>
                <w:sz w:val="20"/>
                <w:szCs w:val="20"/>
              </w:rPr>
            </w:pPr>
            <w:r w:rsidRPr="00D207EA">
              <w:rPr>
                <w:b/>
                <w:noProof/>
                <w:color w:val="000000"/>
                <w:sz w:val="20"/>
              </w:rPr>
              <w:t>2031</w:t>
            </w:r>
          </w:p>
        </w:tc>
        <w:tc>
          <w:tcPr>
            <w:tcW w:w="374" w:type="pct"/>
            <w:tcBorders>
              <w:top w:val="nil"/>
              <w:left w:val="nil"/>
              <w:bottom w:val="single" w:sz="8" w:space="0" w:color="auto"/>
              <w:right w:val="single" w:sz="8" w:space="0" w:color="auto"/>
            </w:tcBorders>
            <w:vAlign w:val="center"/>
            <w:hideMark/>
          </w:tcPr>
          <w:p w14:paraId="00D7FCD0" w14:textId="77777777" w:rsidR="00A92234" w:rsidRPr="00D207EA" w:rsidRDefault="00A92234" w:rsidP="00A92234">
            <w:pPr>
              <w:spacing w:before="0" w:after="0"/>
              <w:jc w:val="center"/>
              <w:rPr>
                <w:rFonts w:eastAsia="Times New Roman"/>
                <w:b/>
                <w:bCs/>
                <w:noProof/>
                <w:color w:val="000000"/>
                <w:sz w:val="20"/>
                <w:szCs w:val="20"/>
              </w:rPr>
            </w:pPr>
            <w:r w:rsidRPr="00D207EA">
              <w:rPr>
                <w:b/>
                <w:noProof/>
                <w:color w:val="000000"/>
                <w:sz w:val="20"/>
              </w:rPr>
              <w:t>2032</w:t>
            </w:r>
          </w:p>
        </w:tc>
        <w:tc>
          <w:tcPr>
            <w:tcW w:w="374" w:type="pct"/>
            <w:tcBorders>
              <w:top w:val="nil"/>
              <w:left w:val="nil"/>
              <w:bottom w:val="single" w:sz="8" w:space="0" w:color="auto"/>
              <w:right w:val="single" w:sz="8" w:space="0" w:color="auto"/>
            </w:tcBorders>
            <w:vAlign w:val="center"/>
            <w:hideMark/>
          </w:tcPr>
          <w:p w14:paraId="790A7753" w14:textId="77777777" w:rsidR="00A92234" w:rsidRPr="00D207EA" w:rsidRDefault="00A92234" w:rsidP="00A92234">
            <w:pPr>
              <w:spacing w:before="0" w:after="0"/>
              <w:jc w:val="center"/>
              <w:rPr>
                <w:rFonts w:eastAsia="Times New Roman"/>
                <w:b/>
                <w:bCs/>
                <w:noProof/>
                <w:color w:val="000000"/>
                <w:sz w:val="20"/>
                <w:szCs w:val="20"/>
              </w:rPr>
            </w:pPr>
            <w:r w:rsidRPr="00D207EA">
              <w:rPr>
                <w:b/>
                <w:noProof/>
                <w:color w:val="000000"/>
                <w:sz w:val="20"/>
              </w:rPr>
              <w:t>2033</w:t>
            </w:r>
          </w:p>
        </w:tc>
        <w:tc>
          <w:tcPr>
            <w:tcW w:w="374" w:type="pct"/>
            <w:tcBorders>
              <w:top w:val="nil"/>
              <w:left w:val="nil"/>
              <w:bottom w:val="single" w:sz="8" w:space="0" w:color="auto"/>
              <w:right w:val="single" w:sz="8" w:space="0" w:color="auto"/>
            </w:tcBorders>
            <w:vAlign w:val="center"/>
            <w:hideMark/>
          </w:tcPr>
          <w:p w14:paraId="21909B19" w14:textId="77777777" w:rsidR="00A92234" w:rsidRPr="00D207EA" w:rsidRDefault="00A92234" w:rsidP="00A92234">
            <w:pPr>
              <w:spacing w:before="0" w:after="0"/>
              <w:jc w:val="center"/>
              <w:rPr>
                <w:rFonts w:eastAsia="Times New Roman"/>
                <w:b/>
                <w:bCs/>
                <w:noProof/>
                <w:color w:val="000000"/>
                <w:sz w:val="20"/>
                <w:szCs w:val="20"/>
              </w:rPr>
            </w:pPr>
            <w:r w:rsidRPr="00D207EA">
              <w:rPr>
                <w:b/>
                <w:noProof/>
                <w:color w:val="000000"/>
                <w:sz w:val="20"/>
              </w:rPr>
              <w:t>2034</w:t>
            </w:r>
          </w:p>
        </w:tc>
        <w:tc>
          <w:tcPr>
            <w:tcW w:w="374" w:type="pct"/>
            <w:tcBorders>
              <w:top w:val="nil"/>
              <w:left w:val="nil"/>
              <w:bottom w:val="single" w:sz="8" w:space="0" w:color="auto"/>
              <w:right w:val="single" w:sz="8" w:space="0" w:color="auto"/>
            </w:tcBorders>
            <w:vAlign w:val="center"/>
            <w:hideMark/>
          </w:tcPr>
          <w:p w14:paraId="439ADB55" w14:textId="77777777" w:rsidR="00A92234" w:rsidRPr="00D207EA" w:rsidRDefault="00A92234" w:rsidP="00A92234">
            <w:pPr>
              <w:spacing w:before="0" w:after="0"/>
              <w:jc w:val="center"/>
              <w:rPr>
                <w:rFonts w:eastAsia="Times New Roman"/>
                <w:b/>
                <w:bCs/>
                <w:noProof/>
                <w:color w:val="000000"/>
                <w:sz w:val="20"/>
                <w:szCs w:val="20"/>
              </w:rPr>
            </w:pPr>
            <w:r w:rsidRPr="00D207EA">
              <w:rPr>
                <w:b/>
                <w:noProof/>
                <w:color w:val="000000"/>
                <w:sz w:val="20"/>
              </w:rPr>
              <w:t>2034</w:t>
            </w:r>
          </w:p>
        </w:tc>
      </w:tr>
      <w:tr w:rsidR="00A92234" w:rsidRPr="00D207EA" w14:paraId="5F0E4460" w14:textId="77777777" w:rsidTr="00F47D96">
        <w:trPr>
          <w:trHeight w:val="300"/>
        </w:trPr>
        <w:tc>
          <w:tcPr>
            <w:tcW w:w="4626" w:type="pct"/>
            <w:gridSpan w:val="9"/>
            <w:tcBorders>
              <w:top w:val="single" w:sz="8" w:space="0" w:color="auto"/>
              <w:left w:val="single" w:sz="8" w:space="0" w:color="auto"/>
              <w:bottom w:val="single" w:sz="8" w:space="0" w:color="auto"/>
              <w:right w:val="nil"/>
            </w:tcBorders>
            <w:vAlign w:val="center"/>
            <w:hideMark/>
          </w:tcPr>
          <w:p w14:paraId="0E8C638B" w14:textId="77777777" w:rsidR="00A92234" w:rsidRPr="00D207EA" w:rsidRDefault="00A92234" w:rsidP="00A92234">
            <w:pPr>
              <w:spacing w:before="0" w:after="0"/>
              <w:jc w:val="left"/>
              <w:rPr>
                <w:rFonts w:ascii="Wingdings" w:eastAsia="Times New Roman" w:hAnsi="Wingdings" w:cs="Calibri"/>
                <w:b/>
                <w:bCs/>
                <w:noProof/>
                <w:color w:val="000000"/>
                <w:sz w:val="16"/>
                <w:szCs w:val="16"/>
              </w:rPr>
            </w:pPr>
            <w:r w:rsidRPr="00D207EA">
              <w:rPr>
                <w:rFonts w:ascii="Wingdings" w:hAnsi="Wingdings"/>
                <w:b/>
                <w:noProof/>
                <w:color w:val="000000"/>
                <w:sz w:val="16"/>
              </w:rPr>
              <w:t></w:t>
            </w:r>
            <w:r w:rsidRPr="00D207EA">
              <w:rPr>
                <w:b/>
                <w:noProof/>
                <w:color w:val="000000"/>
                <w:sz w:val="16"/>
              </w:rPr>
              <w:t xml:space="preserve"> Emplois du tableau des effectifs (fonctionnaires et agents temporaires)</w:t>
            </w:r>
          </w:p>
        </w:tc>
        <w:tc>
          <w:tcPr>
            <w:tcW w:w="374" w:type="pct"/>
            <w:tcBorders>
              <w:top w:val="single" w:sz="8" w:space="0" w:color="auto"/>
              <w:left w:val="nil"/>
              <w:bottom w:val="single" w:sz="8" w:space="0" w:color="auto"/>
              <w:right w:val="nil"/>
            </w:tcBorders>
            <w:vAlign w:val="center"/>
            <w:hideMark/>
          </w:tcPr>
          <w:p w14:paraId="3AD38125" w14:textId="77777777" w:rsidR="00A92234" w:rsidRPr="00D207EA" w:rsidRDefault="00A92234" w:rsidP="00A92234">
            <w:pPr>
              <w:spacing w:before="0" w:after="0"/>
              <w:jc w:val="left"/>
              <w:rPr>
                <w:rFonts w:ascii="Wingdings" w:eastAsia="Times New Roman" w:hAnsi="Wingdings" w:cs="Calibri"/>
                <w:b/>
                <w:bCs/>
                <w:noProof/>
                <w:color w:val="000000"/>
                <w:sz w:val="16"/>
                <w:szCs w:val="16"/>
                <w:lang w:eastAsia="zh-CN"/>
              </w:rPr>
            </w:pPr>
          </w:p>
        </w:tc>
      </w:tr>
      <w:tr w:rsidR="00F47D96" w:rsidRPr="00D207EA" w14:paraId="7EC76E68"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1621235" w14:textId="77777777" w:rsidR="00A92234" w:rsidRPr="00D207EA" w:rsidRDefault="00A92234" w:rsidP="00A92234">
            <w:pPr>
              <w:spacing w:before="0" w:after="0"/>
              <w:ind w:firstLineChars="100" w:firstLine="160"/>
              <w:jc w:val="left"/>
              <w:rPr>
                <w:rFonts w:eastAsia="Times New Roman"/>
                <w:noProof/>
                <w:color w:val="000000"/>
                <w:sz w:val="16"/>
                <w:szCs w:val="16"/>
              </w:rPr>
            </w:pPr>
            <w:r w:rsidRPr="00D207EA">
              <w:rPr>
                <w:noProof/>
                <w:color w:val="000000"/>
                <w:sz w:val="16"/>
              </w:rPr>
              <w:t>20 01 02 01</w:t>
            </w:r>
            <w:r w:rsidRPr="00D207EA">
              <w:rPr>
                <w:rFonts w:ascii="Arial Narrow" w:hAnsi="Arial Narrow"/>
                <w:noProof/>
                <w:color w:val="000000"/>
                <w:sz w:val="20"/>
              </w:rPr>
              <w:t xml:space="preserve"> </w:t>
            </w:r>
            <w:r w:rsidRPr="00D207EA">
              <w:rPr>
                <w:noProof/>
                <w:color w:val="000000"/>
                <w:sz w:val="16"/>
              </w:rPr>
              <w:t>(Au siège et dans les bureaux de représentation de la Commission)</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615457"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2180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2ED8CAF"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2180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3AF1CF"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65B830B"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BF059A"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E46BF28"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20560C"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2180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291CF39"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2180</w:t>
            </w:r>
          </w:p>
        </w:tc>
      </w:tr>
      <w:tr w:rsidR="00F47D96" w:rsidRPr="00D207EA" w14:paraId="74FB0B6B"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3E38E88" w14:textId="77777777" w:rsidR="00A92234" w:rsidRPr="00D207EA" w:rsidRDefault="00A92234" w:rsidP="00A92234">
            <w:pPr>
              <w:spacing w:before="0" w:after="0"/>
              <w:ind w:firstLineChars="100" w:firstLine="160"/>
              <w:jc w:val="left"/>
              <w:rPr>
                <w:rFonts w:eastAsia="Times New Roman"/>
                <w:noProof/>
                <w:color w:val="000000"/>
                <w:sz w:val="16"/>
                <w:szCs w:val="16"/>
              </w:rPr>
            </w:pPr>
            <w:r w:rsidRPr="00D207EA">
              <w:rPr>
                <w:noProof/>
                <w:color w:val="000000"/>
                <w:sz w:val="16"/>
              </w:rPr>
              <w:t>20 01 02 03 (Délégations de l’UE)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BDFCFE6"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43771E3"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18E84E"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C94E62F"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74F57A4"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9E1FBC1"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83F866"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5ADD405D"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r>
      <w:tr w:rsidR="00F47D96" w:rsidRPr="00D207EA" w14:paraId="5EAD841C"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5DF20DB1" w14:textId="77777777" w:rsidR="00A92234" w:rsidRPr="00D207EA" w:rsidRDefault="00A92234" w:rsidP="00A92234">
            <w:pPr>
              <w:spacing w:before="0" w:after="0"/>
              <w:ind w:firstLineChars="100" w:firstLine="160"/>
              <w:jc w:val="left"/>
              <w:rPr>
                <w:rFonts w:eastAsia="Times New Roman"/>
                <w:noProof/>
                <w:color w:val="000000"/>
                <w:sz w:val="16"/>
                <w:szCs w:val="16"/>
              </w:rPr>
            </w:pPr>
            <w:r w:rsidRPr="00D207EA">
              <w:rPr>
                <w:noProof/>
                <w:color w:val="000000"/>
                <w:sz w:val="16"/>
              </w:rPr>
              <w:t>01 01 01 01</w:t>
            </w:r>
            <w:r w:rsidRPr="00D207EA">
              <w:rPr>
                <w:rFonts w:ascii="Arial Narrow" w:hAnsi="Arial Narrow"/>
                <w:noProof/>
                <w:color w:val="000000"/>
                <w:sz w:val="20"/>
              </w:rPr>
              <w:t xml:space="preserve"> </w:t>
            </w:r>
            <w:r w:rsidRPr="00D207EA">
              <w:rPr>
                <w:noProof/>
                <w:color w:val="000000"/>
                <w:sz w:val="16"/>
              </w:rPr>
              <w:t xml:space="preserve"> (Recherche indirecte)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A042907"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CA6B054"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1C78EF6"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FC4445C"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77F8B30"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30B7D63"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D62DB5"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5A4646E"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r>
      <w:tr w:rsidR="00F47D96" w:rsidRPr="00D207EA" w14:paraId="60DFA4E7"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1B21032" w14:textId="77777777" w:rsidR="00A92234" w:rsidRPr="00D207EA" w:rsidRDefault="00A92234" w:rsidP="00A92234">
            <w:pPr>
              <w:spacing w:before="0" w:after="0"/>
              <w:ind w:firstLineChars="100" w:firstLine="160"/>
              <w:jc w:val="left"/>
              <w:rPr>
                <w:rFonts w:eastAsia="Times New Roman"/>
                <w:noProof/>
                <w:color w:val="000000"/>
                <w:sz w:val="16"/>
                <w:szCs w:val="16"/>
              </w:rPr>
            </w:pPr>
            <w:r w:rsidRPr="00D207EA">
              <w:rPr>
                <w:noProof/>
                <w:color w:val="000000"/>
                <w:sz w:val="16"/>
              </w:rPr>
              <w:t>01 01 01 11 (Recherche directe)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2428D3"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3F1E9C"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863F75"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23D3DDA"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27A9F93"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54899E6"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45020A"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5B6C32A4"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r>
      <w:tr w:rsidR="00F47D96" w:rsidRPr="00D207EA" w14:paraId="062A84D3"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7EC61E43" w14:textId="77777777" w:rsidR="00A92234" w:rsidRPr="00D207EA" w:rsidRDefault="00A92234" w:rsidP="00A92234">
            <w:pPr>
              <w:spacing w:before="0" w:after="0"/>
              <w:ind w:firstLineChars="100" w:firstLine="160"/>
              <w:jc w:val="left"/>
              <w:rPr>
                <w:rFonts w:eastAsia="Times New Roman"/>
                <w:noProof/>
                <w:color w:val="000000"/>
                <w:sz w:val="16"/>
                <w:szCs w:val="16"/>
              </w:rPr>
            </w:pPr>
            <w:r w:rsidRPr="00D207EA">
              <w:rPr>
                <w:noProof/>
                <w:color w:val="000000"/>
                <w:sz w:val="16"/>
              </w:rPr>
              <w:t>Autres lignes budgétaires (à préciser)</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183E335"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BB02D44"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0C54859"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752C1D"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92A2DB3"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281736"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0F596C"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72E63FCD"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r>
      <w:tr w:rsidR="00A92234" w:rsidRPr="00D207EA" w14:paraId="18D9B3EB" w14:textId="77777777" w:rsidTr="00F47D96">
        <w:trPr>
          <w:trHeight w:val="300"/>
        </w:trPr>
        <w:tc>
          <w:tcPr>
            <w:tcW w:w="4626" w:type="pct"/>
            <w:gridSpan w:val="9"/>
            <w:tcBorders>
              <w:top w:val="single" w:sz="8" w:space="0" w:color="auto"/>
              <w:left w:val="single" w:sz="8" w:space="0" w:color="auto"/>
              <w:bottom w:val="single" w:sz="8" w:space="0" w:color="auto"/>
              <w:right w:val="nil"/>
            </w:tcBorders>
            <w:vAlign w:val="center"/>
            <w:hideMark/>
          </w:tcPr>
          <w:p w14:paraId="2836551E" w14:textId="77777777" w:rsidR="00A92234" w:rsidRPr="00D207EA" w:rsidRDefault="00A92234" w:rsidP="00A92234">
            <w:pPr>
              <w:spacing w:before="0" w:after="0"/>
              <w:jc w:val="left"/>
              <w:rPr>
                <w:rFonts w:ascii="Wingdings" w:eastAsia="Times New Roman" w:hAnsi="Wingdings" w:cs="Calibri"/>
                <w:b/>
                <w:bCs/>
                <w:noProof/>
                <w:color w:val="000000"/>
                <w:sz w:val="16"/>
                <w:szCs w:val="16"/>
              </w:rPr>
            </w:pPr>
            <w:r w:rsidRPr="00D207EA">
              <w:rPr>
                <w:rFonts w:ascii="Calibri" w:hAnsi="Calibri"/>
                <w:b/>
                <w:noProof/>
                <w:color w:val="000000"/>
                <w:sz w:val="16"/>
              </w:rPr>
              <w:t>•</w:t>
            </w:r>
            <w:r w:rsidRPr="00D207EA">
              <w:rPr>
                <w:b/>
                <w:noProof/>
                <w:color w:val="000000"/>
                <w:sz w:val="16"/>
              </w:rPr>
              <w:t xml:space="preserve"> Personnel externe (en équivalents temps plein: ETP)</w:t>
            </w:r>
          </w:p>
        </w:tc>
        <w:tc>
          <w:tcPr>
            <w:tcW w:w="374" w:type="pct"/>
            <w:tcBorders>
              <w:top w:val="single" w:sz="8" w:space="0" w:color="auto"/>
              <w:left w:val="nil"/>
              <w:bottom w:val="single" w:sz="8" w:space="0" w:color="auto"/>
              <w:right w:val="nil"/>
            </w:tcBorders>
            <w:vAlign w:val="center"/>
            <w:hideMark/>
          </w:tcPr>
          <w:p w14:paraId="476C17CB" w14:textId="77777777" w:rsidR="00A92234" w:rsidRPr="00D207EA" w:rsidRDefault="00A92234" w:rsidP="00A92234">
            <w:pPr>
              <w:spacing w:before="0" w:after="0"/>
              <w:jc w:val="left"/>
              <w:rPr>
                <w:rFonts w:ascii="Wingdings" w:eastAsia="Times New Roman" w:hAnsi="Wingdings" w:cs="Calibri"/>
                <w:b/>
                <w:bCs/>
                <w:noProof/>
                <w:color w:val="000000"/>
                <w:sz w:val="16"/>
                <w:szCs w:val="16"/>
                <w:lang w:eastAsia="zh-CN"/>
              </w:rPr>
            </w:pPr>
          </w:p>
        </w:tc>
      </w:tr>
      <w:tr w:rsidR="00F47D96" w:rsidRPr="00D207EA" w14:paraId="6F7A54C2"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72D80ACC" w14:textId="77777777" w:rsidR="00A92234" w:rsidRPr="00D207EA" w:rsidRDefault="00A92234" w:rsidP="00A92234">
            <w:pPr>
              <w:spacing w:before="0" w:after="0"/>
              <w:ind w:firstLineChars="100" w:firstLine="160"/>
              <w:jc w:val="left"/>
              <w:rPr>
                <w:rFonts w:eastAsia="Times New Roman"/>
                <w:noProof/>
                <w:color w:val="000000"/>
                <w:sz w:val="16"/>
                <w:szCs w:val="16"/>
              </w:rPr>
            </w:pPr>
            <w:r w:rsidRPr="00D207EA">
              <w:rPr>
                <w:noProof/>
                <w:color w:val="000000"/>
                <w:sz w:val="16"/>
              </w:rPr>
              <w:t>20 02 01</w:t>
            </w:r>
            <w:r w:rsidRPr="00D207EA">
              <w:rPr>
                <w:rFonts w:ascii="Arial Narrow" w:hAnsi="Arial Narrow"/>
                <w:noProof/>
                <w:color w:val="000000"/>
                <w:sz w:val="20"/>
              </w:rPr>
              <w:t xml:space="preserve"> </w:t>
            </w:r>
            <w:r w:rsidRPr="00D207EA">
              <w:rPr>
                <w:noProof/>
                <w:color w:val="000000"/>
                <w:sz w:val="16"/>
              </w:rPr>
              <w:t>(AC, END de l’«enveloppe globale»)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5231870"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250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6D62EC"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250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578B03C"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0D9FA0"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B18EF2"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9C5C13E"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2932D96"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250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63488099"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250</w:t>
            </w:r>
          </w:p>
        </w:tc>
      </w:tr>
      <w:tr w:rsidR="00F47D96" w:rsidRPr="00D207EA" w14:paraId="12F72B79"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3128BE4" w14:textId="77777777" w:rsidR="00A92234" w:rsidRPr="00D207EA" w:rsidRDefault="00A92234" w:rsidP="00A92234">
            <w:pPr>
              <w:spacing w:before="0" w:after="0"/>
              <w:ind w:firstLineChars="100" w:firstLine="160"/>
              <w:jc w:val="left"/>
              <w:rPr>
                <w:rFonts w:eastAsia="Times New Roman"/>
                <w:noProof/>
                <w:color w:val="000000"/>
                <w:sz w:val="16"/>
                <w:szCs w:val="16"/>
              </w:rPr>
            </w:pPr>
            <w:r w:rsidRPr="00D207EA">
              <w:rPr>
                <w:noProof/>
                <w:color w:val="000000"/>
                <w:sz w:val="16"/>
              </w:rPr>
              <w:t>20 02 03 (AC, AL, END et JPD dans les délégations de l’UE)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98D7595"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2E4A11C"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0569B2"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B47FD3"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19887F0"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3A3C433"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CAAB357"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4BAEFB9A"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r>
      <w:tr w:rsidR="00F47D96" w:rsidRPr="00D207EA" w14:paraId="20097405" w14:textId="77777777" w:rsidTr="00F47D96">
        <w:trPr>
          <w:trHeight w:val="315"/>
        </w:trPr>
        <w:tc>
          <w:tcPr>
            <w:tcW w:w="569" w:type="pct"/>
            <w:vMerge w:val="restart"/>
            <w:tcBorders>
              <w:top w:val="single" w:sz="8" w:space="0" w:color="auto"/>
              <w:left w:val="single" w:sz="8" w:space="0" w:color="auto"/>
              <w:bottom w:val="single" w:sz="8" w:space="0" w:color="auto"/>
              <w:right w:val="single" w:sz="8" w:space="0" w:color="auto"/>
            </w:tcBorders>
            <w:vAlign w:val="center"/>
            <w:hideMark/>
          </w:tcPr>
          <w:p w14:paraId="2F4B8358"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Ligne d’appui administratif</w:t>
            </w:r>
            <w:r w:rsidRPr="00D207EA">
              <w:rPr>
                <w:noProof/>
                <w:color w:val="000000"/>
                <w:sz w:val="16"/>
              </w:rPr>
              <w:br/>
              <w:t>[XX.01.YY.YY] [2]</w:t>
            </w:r>
          </w:p>
        </w:tc>
        <w:tc>
          <w:tcPr>
            <w:tcW w:w="1463" w:type="pct"/>
            <w:tcBorders>
              <w:top w:val="single" w:sz="8" w:space="0" w:color="auto"/>
              <w:left w:val="single" w:sz="8" w:space="0" w:color="auto"/>
              <w:bottom w:val="single" w:sz="8" w:space="0" w:color="auto"/>
              <w:right w:val="single" w:sz="8" w:space="0" w:color="auto"/>
            </w:tcBorders>
            <w:vAlign w:val="center"/>
            <w:hideMark/>
          </w:tcPr>
          <w:p w14:paraId="7EFA9E42" w14:textId="77777777" w:rsidR="00A92234" w:rsidRPr="00D207EA" w:rsidRDefault="00A92234" w:rsidP="00A92234">
            <w:pPr>
              <w:spacing w:before="0" w:after="0"/>
              <w:ind w:firstLineChars="100" w:firstLine="160"/>
              <w:jc w:val="left"/>
              <w:rPr>
                <w:rFonts w:eastAsia="Times New Roman"/>
                <w:noProof/>
                <w:color w:val="000000"/>
                <w:sz w:val="16"/>
                <w:szCs w:val="16"/>
              </w:rPr>
            </w:pPr>
            <w:r w:rsidRPr="00D207EA">
              <w:rPr>
                <w:noProof/>
                <w:color w:val="000000"/>
                <w:sz w:val="16"/>
              </w:rPr>
              <w:t>- au siège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963B44"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230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6C921E"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230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D2E70D2"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230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AB2618"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230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5E13FA9"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230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54012C"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230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ABDD977"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230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504C73F6"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230</w:t>
            </w:r>
          </w:p>
        </w:tc>
      </w:tr>
      <w:tr w:rsidR="00F47D96" w:rsidRPr="00D207EA" w14:paraId="5DDEA314" w14:textId="77777777" w:rsidTr="00F47D96">
        <w:trPr>
          <w:trHeight w:val="315"/>
        </w:trPr>
        <w:tc>
          <w:tcPr>
            <w:tcW w:w="569" w:type="pct"/>
            <w:vMerge/>
            <w:tcBorders>
              <w:top w:val="single" w:sz="8" w:space="0" w:color="auto"/>
              <w:left w:val="single" w:sz="8" w:space="0" w:color="auto"/>
              <w:bottom w:val="single" w:sz="8" w:space="0" w:color="auto"/>
              <w:right w:val="single" w:sz="8" w:space="0" w:color="auto"/>
            </w:tcBorders>
            <w:vAlign w:val="center"/>
            <w:hideMark/>
          </w:tcPr>
          <w:p w14:paraId="25B49A84" w14:textId="77777777" w:rsidR="00A92234" w:rsidRPr="00D207EA" w:rsidRDefault="00A92234" w:rsidP="00A92234">
            <w:pPr>
              <w:spacing w:before="0" w:after="0"/>
              <w:jc w:val="left"/>
              <w:rPr>
                <w:rFonts w:eastAsia="Times New Roman"/>
                <w:noProof/>
                <w:color w:val="000000"/>
                <w:sz w:val="16"/>
                <w:szCs w:val="16"/>
                <w:lang w:eastAsia="zh-CN"/>
              </w:rPr>
            </w:pPr>
          </w:p>
        </w:tc>
        <w:tc>
          <w:tcPr>
            <w:tcW w:w="1463" w:type="pct"/>
            <w:tcBorders>
              <w:top w:val="single" w:sz="8" w:space="0" w:color="auto"/>
              <w:left w:val="single" w:sz="8" w:space="0" w:color="auto"/>
              <w:bottom w:val="single" w:sz="8" w:space="0" w:color="auto"/>
              <w:right w:val="single" w:sz="8" w:space="0" w:color="auto"/>
            </w:tcBorders>
            <w:vAlign w:val="center"/>
            <w:hideMark/>
          </w:tcPr>
          <w:p w14:paraId="1C98845C" w14:textId="722DDADA" w:rsidR="00A92234" w:rsidRPr="00D207EA" w:rsidRDefault="00A92234" w:rsidP="00A92234">
            <w:pPr>
              <w:spacing w:before="0" w:after="0"/>
              <w:ind w:firstLineChars="100" w:firstLine="160"/>
              <w:jc w:val="left"/>
              <w:rPr>
                <w:rFonts w:eastAsia="Times New Roman"/>
                <w:noProof/>
                <w:color w:val="000000"/>
                <w:sz w:val="16"/>
                <w:szCs w:val="16"/>
              </w:rPr>
            </w:pPr>
            <w:r w:rsidRPr="00D207EA">
              <w:rPr>
                <w:noProof/>
                <w:color w:val="000000"/>
                <w:sz w:val="16"/>
              </w:rPr>
              <w:t>- dans les délégations de l’UE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1A7F10"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D8940C8"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872CCC"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DCE5690"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FDBC4F5"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1F9B2F"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0912C0C"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6C539742"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r>
      <w:tr w:rsidR="00F47D96" w:rsidRPr="00D207EA" w14:paraId="1D329157"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12329E1" w14:textId="77777777" w:rsidR="00A92234" w:rsidRPr="00D207EA" w:rsidRDefault="00A92234" w:rsidP="00A92234">
            <w:pPr>
              <w:spacing w:before="0" w:after="0"/>
              <w:ind w:firstLineChars="100" w:firstLine="160"/>
              <w:jc w:val="left"/>
              <w:rPr>
                <w:rFonts w:eastAsia="Times New Roman"/>
                <w:noProof/>
                <w:color w:val="000000"/>
                <w:sz w:val="16"/>
                <w:szCs w:val="16"/>
              </w:rPr>
            </w:pPr>
            <w:r w:rsidRPr="00D207EA">
              <w:rPr>
                <w:noProof/>
                <w:color w:val="000000"/>
                <w:sz w:val="16"/>
              </w:rPr>
              <w:t>01 01 01 02</w:t>
            </w:r>
            <w:r w:rsidRPr="00D207EA">
              <w:rPr>
                <w:rFonts w:ascii="Arial Narrow" w:hAnsi="Arial Narrow"/>
                <w:noProof/>
                <w:color w:val="000000"/>
                <w:sz w:val="20"/>
              </w:rPr>
              <w:t xml:space="preserve"> </w:t>
            </w:r>
            <w:r w:rsidRPr="00D207EA">
              <w:rPr>
                <w:noProof/>
                <w:color w:val="000000"/>
                <w:sz w:val="16"/>
              </w:rPr>
              <w:t>(AC, END - Recherche indirecte)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0A80FD"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7036B77"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93E69F3"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73988B"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B003B4"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E8B1038"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7FA09B0"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5E527A81"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r>
      <w:tr w:rsidR="00F47D96" w:rsidRPr="00D207EA" w14:paraId="5F38703B"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37FE6E5A" w14:textId="77777777" w:rsidR="00A92234" w:rsidRPr="00D207EA" w:rsidRDefault="00A92234" w:rsidP="00A92234">
            <w:pPr>
              <w:spacing w:before="0" w:after="0"/>
              <w:ind w:firstLineChars="100" w:firstLine="160"/>
              <w:jc w:val="left"/>
              <w:rPr>
                <w:rFonts w:eastAsia="Times New Roman"/>
                <w:noProof/>
                <w:color w:val="000000"/>
                <w:sz w:val="16"/>
                <w:szCs w:val="16"/>
              </w:rPr>
            </w:pPr>
            <w:r w:rsidRPr="00D207EA">
              <w:rPr>
                <w:noProof/>
                <w:color w:val="000000"/>
                <w:sz w:val="16"/>
              </w:rPr>
              <w:t>01 01 01 12 (AC, END - Recherche directe)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DC51EE"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D3FEC21"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529191"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A750DF"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7D67C1E"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A643D2E"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8BBC9F"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5CFC800"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r>
      <w:tr w:rsidR="00F47D96" w:rsidRPr="00D207EA" w14:paraId="5A94EC93"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1336652C" w14:textId="77777777" w:rsidR="00A92234" w:rsidRPr="00D207EA" w:rsidRDefault="00A92234" w:rsidP="00A92234">
            <w:pPr>
              <w:spacing w:before="0" w:after="0"/>
              <w:ind w:firstLineChars="100" w:firstLine="160"/>
              <w:jc w:val="left"/>
              <w:rPr>
                <w:rFonts w:eastAsia="Times New Roman"/>
                <w:noProof/>
                <w:color w:val="000000"/>
                <w:sz w:val="16"/>
                <w:szCs w:val="16"/>
              </w:rPr>
            </w:pPr>
            <w:r w:rsidRPr="00D207EA">
              <w:rPr>
                <w:noProof/>
                <w:color w:val="000000"/>
                <w:sz w:val="16"/>
              </w:rPr>
              <w:t>Autres lignes budgétaires (à préciser) - Rubrique 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D40561"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8DF1D26"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6E1C83"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548A208"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7D01F2"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C0701E"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99E226"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385AEF0"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r>
      <w:tr w:rsidR="00F47D96" w:rsidRPr="00D207EA" w14:paraId="1F69EDE9"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1E44B6DF" w14:textId="77777777" w:rsidR="00A92234" w:rsidRPr="00D207EA" w:rsidRDefault="00A92234" w:rsidP="00A92234">
            <w:pPr>
              <w:spacing w:before="0" w:after="0"/>
              <w:ind w:firstLineChars="100" w:firstLine="160"/>
              <w:jc w:val="left"/>
              <w:rPr>
                <w:rFonts w:eastAsia="Times New Roman"/>
                <w:noProof/>
                <w:color w:val="000000"/>
                <w:sz w:val="16"/>
                <w:szCs w:val="16"/>
              </w:rPr>
            </w:pPr>
            <w:r w:rsidRPr="00D207EA">
              <w:rPr>
                <w:noProof/>
                <w:color w:val="000000"/>
                <w:sz w:val="16"/>
              </w:rPr>
              <w:t>Autres lignes budgétaires (à préciser) - Hors rubrique 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2838F7"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1E3F2A"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69E328"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33C5882"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1C717C"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3A57FE"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44EA315"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7D3477B" w14:textId="77777777" w:rsidR="00A92234" w:rsidRPr="00D207EA" w:rsidRDefault="00A92234" w:rsidP="00A92234">
            <w:pPr>
              <w:spacing w:before="0" w:after="0"/>
              <w:jc w:val="center"/>
              <w:rPr>
                <w:rFonts w:eastAsia="Times New Roman"/>
                <w:noProof/>
                <w:color w:val="000000"/>
                <w:sz w:val="16"/>
                <w:szCs w:val="16"/>
              </w:rPr>
            </w:pPr>
            <w:r w:rsidRPr="00D207EA">
              <w:rPr>
                <w:noProof/>
                <w:color w:val="000000"/>
                <w:sz w:val="16"/>
              </w:rPr>
              <w:t>0</w:t>
            </w:r>
          </w:p>
        </w:tc>
      </w:tr>
      <w:tr w:rsidR="00F47D96" w:rsidRPr="00D207EA" w14:paraId="4F19C9A5"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3DD8CE46" w14:textId="77777777" w:rsidR="00A92234" w:rsidRPr="00D207EA" w:rsidRDefault="00A92234" w:rsidP="00A92234">
            <w:pPr>
              <w:spacing w:before="0" w:after="0"/>
              <w:ind w:firstLineChars="100" w:firstLine="160"/>
              <w:jc w:val="left"/>
              <w:rPr>
                <w:rFonts w:eastAsia="Times New Roman"/>
                <w:b/>
                <w:bCs/>
                <w:noProof/>
                <w:color w:val="000000"/>
                <w:sz w:val="16"/>
                <w:szCs w:val="16"/>
              </w:rPr>
            </w:pPr>
            <w:r w:rsidRPr="00D207EA">
              <w:rPr>
                <w:b/>
                <w:noProof/>
                <w:color w:val="000000"/>
                <w:sz w:val="16"/>
              </w:rPr>
              <w:t>TOTAL</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16E29F9" w14:textId="77777777" w:rsidR="00A92234" w:rsidRPr="00D207EA" w:rsidRDefault="00A92234" w:rsidP="00A92234">
            <w:pPr>
              <w:spacing w:before="0" w:after="0"/>
              <w:jc w:val="center"/>
              <w:rPr>
                <w:rFonts w:eastAsia="Times New Roman"/>
                <w:b/>
                <w:bCs/>
                <w:noProof/>
                <w:color w:val="000000"/>
                <w:sz w:val="16"/>
                <w:szCs w:val="16"/>
              </w:rPr>
            </w:pPr>
            <w:r w:rsidRPr="00D207EA">
              <w:rPr>
                <w:b/>
                <w:noProof/>
                <w:color w:val="000000"/>
                <w:sz w:val="16"/>
              </w:rPr>
              <w:t>2660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4D076E" w14:textId="77777777" w:rsidR="00A92234" w:rsidRPr="00D207EA" w:rsidRDefault="00A92234" w:rsidP="00A92234">
            <w:pPr>
              <w:spacing w:before="0" w:after="0"/>
              <w:jc w:val="center"/>
              <w:rPr>
                <w:rFonts w:eastAsia="Times New Roman"/>
                <w:b/>
                <w:bCs/>
                <w:noProof/>
                <w:color w:val="000000"/>
                <w:sz w:val="16"/>
                <w:szCs w:val="16"/>
              </w:rPr>
            </w:pPr>
            <w:r w:rsidRPr="00D207EA">
              <w:rPr>
                <w:b/>
                <w:noProof/>
                <w:color w:val="000000"/>
                <w:sz w:val="16"/>
              </w:rPr>
              <w:t>2660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822D5DC" w14:textId="77777777" w:rsidR="00A92234" w:rsidRPr="00D207EA" w:rsidRDefault="00A92234" w:rsidP="00A92234">
            <w:pPr>
              <w:spacing w:before="0" w:after="0"/>
              <w:jc w:val="center"/>
              <w:rPr>
                <w:rFonts w:eastAsia="Times New Roman"/>
                <w:b/>
                <w:bCs/>
                <w:noProof/>
                <w:color w:val="000000"/>
                <w:sz w:val="16"/>
                <w:szCs w:val="16"/>
              </w:rPr>
            </w:pPr>
            <w:r w:rsidRPr="00D207EA">
              <w:rPr>
                <w:b/>
                <w:noProof/>
                <w:color w:val="000000"/>
                <w:sz w:val="16"/>
              </w:rPr>
              <w:t>2660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733D07" w14:textId="77777777" w:rsidR="00A92234" w:rsidRPr="00D207EA" w:rsidRDefault="00A92234" w:rsidP="00A92234">
            <w:pPr>
              <w:spacing w:before="0" w:after="0"/>
              <w:jc w:val="center"/>
              <w:rPr>
                <w:rFonts w:eastAsia="Times New Roman"/>
                <w:b/>
                <w:bCs/>
                <w:noProof/>
                <w:color w:val="000000"/>
                <w:sz w:val="16"/>
                <w:szCs w:val="16"/>
              </w:rPr>
            </w:pPr>
            <w:r w:rsidRPr="00D207EA">
              <w:rPr>
                <w:b/>
                <w:noProof/>
                <w:color w:val="000000"/>
                <w:sz w:val="16"/>
              </w:rPr>
              <w:t>2660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F902CA" w14:textId="77777777" w:rsidR="00A92234" w:rsidRPr="00D207EA" w:rsidRDefault="00A92234" w:rsidP="00A92234">
            <w:pPr>
              <w:spacing w:before="0" w:after="0"/>
              <w:jc w:val="center"/>
              <w:rPr>
                <w:rFonts w:eastAsia="Times New Roman"/>
                <w:b/>
                <w:bCs/>
                <w:noProof/>
                <w:color w:val="000000"/>
                <w:sz w:val="16"/>
                <w:szCs w:val="16"/>
              </w:rPr>
            </w:pPr>
            <w:r w:rsidRPr="00D207EA">
              <w:rPr>
                <w:b/>
                <w:noProof/>
                <w:color w:val="000000"/>
                <w:sz w:val="16"/>
              </w:rPr>
              <w:t>2660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1ED0A00" w14:textId="77777777" w:rsidR="00A92234" w:rsidRPr="00D207EA" w:rsidRDefault="00A92234" w:rsidP="00A92234">
            <w:pPr>
              <w:spacing w:before="0" w:after="0"/>
              <w:jc w:val="center"/>
              <w:rPr>
                <w:rFonts w:eastAsia="Times New Roman"/>
                <w:b/>
                <w:bCs/>
                <w:noProof/>
                <w:color w:val="000000"/>
                <w:sz w:val="16"/>
                <w:szCs w:val="16"/>
              </w:rPr>
            </w:pPr>
            <w:r w:rsidRPr="00D207EA">
              <w:rPr>
                <w:b/>
                <w:noProof/>
                <w:color w:val="000000"/>
                <w:sz w:val="16"/>
              </w:rPr>
              <w:t>2660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DA57D56" w14:textId="77777777" w:rsidR="00A92234" w:rsidRPr="00D207EA" w:rsidRDefault="00A92234" w:rsidP="00A92234">
            <w:pPr>
              <w:spacing w:before="0" w:after="0"/>
              <w:jc w:val="center"/>
              <w:rPr>
                <w:rFonts w:eastAsia="Times New Roman"/>
                <w:b/>
                <w:bCs/>
                <w:noProof/>
                <w:color w:val="000000"/>
                <w:sz w:val="16"/>
                <w:szCs w:val="16"/>
              </w:rPr>
            </w:pPr>
            <w:r w:rsidRPr="00D207EA">
              <w:rPr>
                <w:b/>
                <w:noProof/>
                <w:color w:val="000000"/>
                <w:sz w:val="16"/>
              </w:rPr>
              <w:t>2660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00C63632" w14:textId="77777777" w:rsidR="00A92234" w:rsidRPr="00D207EA" w:rsidRDefault="00A92234" w:rsidP="00A92234">
            <w:pPr>
              <w:spacing w:before="0" w:after="0"/>
              <w:jc w:val="center"/>
              <w:rPr>
                <w:rFonts w:eastAsia="Times New Roman"/>
                <w:b/>
                <w:bCs/>
                <w:noProof/>
                <w:color w:val="000000"/>
                <w:sz w:val="16"/>
                <w:szCs w:val="16"/>
              </w:rPr>
            </w:pPr>
            <w:r w:rsidRPr="00D207EA">
              <w:rPr>
                <w:b/>
                <w:noProof/>
                <w:color w:val="000000"/>
                <w:sz w:val="16"/>
              </w:rPr>
              <w:t>2660</w:t>
            </w:r>
          </w:p>
        </w:tc>
      </w:tr>
    </w:tbl>
    <w:p w14:paraId="2B59A299" w14:textId="77777777" w:rsidR="00466745" w:rsidRPr="00D207EA" w:rsidRDefault="00466745" w:rsidP="004A489F">
      <w:pPr>
        <w:spacing w:after="60"/>
        <w:jc w:val="right"/>
        <w:rPr>
          <w:i/>
          <w:noProof/>
          <w:sz w:val="20"/>
        </w:rPr>
      </w:pPr>
    </w:p>
    <w:p w14:paraId="28BF9CDA" w14:textId="77777777" w:rsidR="004A489F" w:rsidRPr="00D207EA" w:rsidRDefault="004A489F" w:rsidP="004A489F">
      <w:pPr>
        <w:pStyle w:val="ManualHeading3"/>
        <w:rPr>
          <w:noProof/>
        </w:rPr>
      </w:pPr>
      <w:bookmarkStart w:id="184" w:name="_Toc167220296"/>
      <w:bookmarkStart w:id="185" w:name="_Toc177549029"/>
      <w:bookmarkStart w:id="186" w:name="_Hlk156979231"/>
      <w:r w:rsidRPr="00D207EA">
        <w:rPr>
          <w:noProof/>
        </w:rPr>
        <w:t>3.2.4.2.</w:t>
      </w:r>
      <w:r w:rsidRPr="00D207EA">
        <w:rPr>
          <w:noProof/>
        </w:rPr>
        <w:tab/>
        <w:t>Financement par des recettes affectées externes</w:t>
      </w:r>
      <w:bookmarkEnd w:id="184"/>
      <w:bookmarkEnd w:id="185"/>
    </w:p>
    <w:tbl>
      <w:tblPr>
        <w:tblW w:w="5000" w:type="pct"/>
        <w:tblCellMar>
          <w:top w:w="15" w:type="dxa"/>
          <w:bottom w:w="15" w:type="dxa"/>
        </w:tblCellMar>
        <w:tblLook w:val="04A0" w:firstRow="1" w:lastRow="0" w:firstColumn="1" w:lastColumn="0" w:noHBand="0" w:noVBand="1"/>
      </w:tblPr>
      <w:tblGrid>
        <w:gridCol w:w="1296"/>
        <w:gridCol w:w="1988"/>
        <w:gridCol w:w="738"/>
        <w:gridCol w:w="738"/>
        <w:gridCol w:w="738"/>
        <w:gridCol w:w="738"/>
        <w:gridCol w:w="738"/>
        <w:gridCol w:w="738"/>
        <w:gridCol w:w="738"/>
        <w:gridCol w:w="839"/>
      </w:tblGrid>
      <w:tr w:rsidR="00B20C02" w:rsidRPr="00D207EA" w14:paraId="34FD8600" w14:textId="77777777" w:rsidTr="005C6A60">
        <w:trPr>
          <w:trHeight w:val="300"/>
        </w:trPr>
        <w:tc>
          <w:tcPr>
            <w:tcW w:w="2032" w:type="pct"/>
            <w:gridSpan w:val="2"/>
            <w:vMerge w:val="restart"/>
            <w:tcBorders>
              <w:top w:val="single" w:sz="8" w:space="0" w:color="auto"/>
              <w:left w:val="single" w:sz="8" w:space="0" w:color="auto"/>
              <w:bottom w:val="nil"/>
              <w:right w:val="nil"/>
            </w:tcBorders>
            <w:vAlign w:val="center"/>
            <w:hideMark/>
          </w:tcPr>
          <w:p w14:paraId="59F125CB" w14:textId="77777777" w:rsidR="00B20C02" w:rsidRPr="00D207EA" w:rsidRDefault="00B20C02" w:rsidP="00B20C02">
            <w:pPr>
              <w:spacing w:before="0" w:after="0"/>
              <w:jc w:val="center"/>
              <w:rPr>
                <w:rFonts w:eastAsia="Times New Roman"/>
                <w:b/>
                <w:bCs/>
                <w:noProof/>
                <w:color w:val="000000"/>
                <w:sz w:val="18"/>
                <w:szCs w:val="18"/>
              </w:rPr>
            </w:pPr>
            <w:bookmarkStart w:id="187" w:name="_Toc167220297"/>
            <w:bookmarkStart w:id="188" w:name="_Toc177549030"/>
            <w:r w:rsidRPr="00D207EA">
              <w:rPr>
                <w:b/>
                <w:noProof/>
                <w:color w:val="000000"/>
                <w:sz w:val="18"/>
              </w:rPr>
              <w:t>RECETTES AFFECTÉES EXTERNES</w:t>
            </w:r>
          </w:p>
        </w:tc>
        <w:tc>
          <w:tcPr>
            <w:tcW w:w="366" w:type="pct"/>
            <w:tcBorders>
              <w:top w:val="single" w:sz="8" w:space="0" w:color="auto"/>
              <w:left w:val="nil"/>
              <w:bottom w:val="nil"/>
              <w:right w:val="single" w:sz="8" w:space="0" w:color="auto"/>
            </w:tcBorders>
            <w:vAlign w:val="center"/>
            <w:hideMark/>
          </w:tcPr>
          <w:p w14:paraId="1343CB58" w14:textId="77777777" w:rsidR="00B20C02" w:rsidRPr="00D207EA" w:rsidRDefault="00B20C02" w:rsidP="00B20C02">
            <w:pPr>
              <w:spacing w:before="0" w:after="0"/>
              <w:jc w:val="center"/>
              <w:rPr>
                <w:rFonts w:eastAsia="Times New Roman"/>
                <w:noProof/>
                <w:color w:val="000000"/>
                <w:sz w:val="20"/>
                <w:szCs w:val="20"/>
              </w:rPr>
            </w:pPr>
            <w:r w:rsidRPr="00D207EA">
              <w:rPr>
                <w:noProof/>
                <w:color w:val="000000"/>
                <w:sz w:val="20"/>
              </w:rPr>
              <w:t>Année</w:t>
            </w:r>
          </w:p>
        </w:tc>
        <w:tc>
          <w:tcPr>
            <w:tcW w:w="366" w:type="pct"/>
            <w:tcBorders>
              <w:top w:val="single" w:sz="8" w:space="0" w:color="auto"/>
              <w:left w:val="nil"/>
              <w:bottom w:val="nil"/>
              <w:right w:val="single" w:sz="8" w:space="0" w:color="auto"/>
            </w:tcBorders>
            <w:vAlign w:val="center"/>
            <w:hideMark/>
          </w:tcPr>
          <w:p w14:paraId="2ADCA658" w14:textId="77777777" w:rsidR="00B20C02" w:rsidRPr="00D207EA" w:rsidRDefault="00B20C02" w:rsidP="00B20C02">
            <w:pPr>
              <w:spacing w:before="0" w:after="0"/>
              <w:jc w:val="center"/>
              <w:rPr>
                <w:rFonts w:eastAsia="Times New Roman"/>
                <w:noProof/>
                <w:color w:val="000000"/>
                <w:sz w:val="20"/>
                <w:szCs w:val="20"/>
              </w:rPr>
            </w:pPr>
            <w:r w:rsidRPr="00D207EA">
              <w:rPr>
                <w:noProof/>
                <w:color w:val="000000"/>
                <w:sz w:val="20"/>
              </w:rPr>
              <w:t>Année</w:t>
            </w:r>
          </w:p>
        </w:tc>
        <w:tc>
          <w:tcPr>
            <w:tcW w:w="366" w:type="pct"/>
            <w:tcBorders>
              <w:top w:val="single" w:sz="8" w:space="0" w:color="auto"/>
              <w:left w:val="nil"/>
              <w:bottom w:val="nil"/>
              <w:right w:val="single" w:sz="8" w:space="0" w:color="auto"/>
            </w:tcBorders>
            <w:vAlign w:val="center"/>
            <w:hideMark/>
          </w:tcPr>
          <w:p w14:paraId="6DE63A5C" w14:textId="77777777" w:rsidR="00B20C02" w:rsidRPr="00D207EA" w:rsidRDefault="00B20C02" w:rsidP="00B20C02">
            <w:pPr>
              <w:spacing w:before="0" w:after="0"/>
              <w:jc w:val="center"/>
              <w:rPr>
                <w:rFonts w:eastAsia="Times New Roman"/>
                <w:noProof/>
                <w:color w:val="000000"/>
                <w:sz w:val="20"/>
                <w:szCs w:val="20"/>
              </w:rPr>
            </w:pPr>
            <w:r w:rsidRPr="00D207EA">
              <w:rPr>
                <w:noProof/>
                <w:color w:val="000000"/>
                <w:sz w:val="20"/>
              </w:rPr>
              <w:t>Année</w:t>
            </w:r>
          </w:p>
        </w:tc>
        <w:tc>
          <w:tcPr>
            <w:tcW w:w="374" w:type="pct"/>
            <w:tcBorders>
              <w:top w:val="single" w:sz="8" w:space="0" w:color="auto"/>
              <w:left w:val="nil"/>
              <w:bottom w:val="nil"/>
              <w:right w:val="single" w:sz="8" w:space="0" w:color="auto"/>
            </w:tcBorders>
            <w:vAlign w:val="center"/>
            <w:hideMark/>
          </w:tcPr>
          <w:p w14:paraId="3459C4B2" w14:textId="77777777" w:rsidR="00B20C02" w:rsidRPr="00D207EA" w:rsidRDefault="00B20C02" w:rsidP="00B20C02">
            <w:pPr>
              <w:spacing w:before="0" w:after="0"/>
              <w:jc w:val="center"/>
              <w:rPr>
                <w:rFonts w:eastAsia="Times New Roman"/>
                <w:noProof/>
                <w:color w:val="000000"/>
                <w:sz w:val="20"/>
                <w:szCs w:val="20"/>
              </w:rPr>
            </w:pPr>
            <w:r w:rsidRPr="00D207EA">
              <w:rPr>
                <w:noProof/>
                <w:color w:val="000000"/>
                <w:sz w:val="20"/>
              </w:rPr>
              <w:t>Année</w:t>
            </w:r>
          </w:p>
        </w:tc>
        <w:tc>
          <w:tcPr>
            <w:tcW w:w="374" w:type="pct"/>
            <w:tcBorders>
              <w:top w:val="single" w:sz="8" w:space="0" w:color="auto"/>
              <w:left w:val="nil"/>
              <w:bottom w:val="nil"/>
              <w:right w:val="single" w:sz="8" w:space="0" w:color="auto"/>
            </w:tcBorders>
            <w:vAlign w:val="center"/>
            <w:hideMark/>
          </w:tcPr>
          <w:p w14:paraId="72DBC271" w14:textId="77777777" w:rsidR="00B20C02" w:rsidRPr="00D207EA" w:rsidRDefault="00B20C02" w:rsidP="00B20C02">
            <w:pPr>
              <w:spacing w:before="0" w:after="0"/>
              <w:jc w:val="center"/>
              <w:rPr>
                <w:rFonts w:eastAsia="Times New Roman"/>
                <w:noProof/>
                <w:color w:val="000000"/>
                <w:sz w:val="20"/>
                <w:szCs w:val="20"/>
              </w:rPr>
            </w:pPr>
            <w:r w:rsidRPr="00D207EA">
              <w:rPr>
                <w:noProof/>
                <w:color w:val="000000"/>
                <w:sz w:val="20"/>
              </w:rPr>
              <w:t>Année</w:t>
            </w:r>
          </w:p>
        </w:tc>
        <w:tc>
          <w:tcPr>
            <w:tcW w:w="374" w:type="pct"/>
            <w:tcBorders>
              <w:top w:val="single" w:sz="8" w:space="0" w:color="auto"/>
              <w:left w:val="nil"/>
              <w:bottom w:val="nil"/>
              <w:right w:val="single" w:sz="8" w:space="0" w:color="auto"/>
            </w:tcBorders>
            <w:vAlign w:val="center"/>
            <w:hideMark/>
          </w:tcPr>
          <w:p w14:paraId="73BF6AD3" w14:textId="77777777" w:rsidR="00B20C02" w:rsidRPr="00D207EA" w:rsidRDefault="00B20C02" w:rsidP="00B20C02">
            <w:pPr>
              <w:spacing w:before="0" w:after="0"/>
              <w:jc w:val="center"/>
              <w:rPr>
                <w:rFonts w:eastAsia="Times New Roman"/>
                <w:noProof/>
                <w:color w:val="000000"/>
                <w:sz w:val="20"/>
                <w:szCs w:val="20"/>
              </w:rPr>
            </w:pPr>
            <w:r w:rsidRPr="00D207EA">
              <w:rPr>
                <w:noProof/>
                <w:color w:val="000000"/>
                <w:sz w:val="20"/>
              </w:rPr>
              <w:t>Année</w:t>
            </w:r>
          </w:p>
        </w:tc>
        <w:tc>
          <w:tcPr>
            <w:tcW w:w="374" w:type="pct"/>
            <w:tcBorders>
              <w:top w:val="single" w:sz="8" w:space="0" w:color="auto"/>
              <w:left w:val="nil"/>
              <w:bottom w:val="nil"/>
              <w:right w:val="single" w:sz="8" w:space="0" w:color="auto"/>
            </w:tcBorders>
            <w:vAlign w:val="center"/>
            <w:hideMark/>
          </w:tcPr>
          <w:p w14:paraId="11721193" w14:textId="77777777" w:rsidR="00B20C02" w:rsidRPr="00D207EA" w:rsidRDefault="00B20C02" w:rsidP="00B20C02">
            <w:pPr>
              <w:spacing w:before="0" w:after="0"/>
              <w:jc w:val="center"/>
              <w:rPr>
                <w:rFonts w:eastAsia="Times New Roman"/>
                <w:noProof/>
                <w:color w:val="000000"/>
                <w:sz w:val="20"/>
                <w:szCs w:val="20"/>
              </w:rPr>
            </w:pPr>
            <w:r w:rsidRPr="00D207EA">
              <w:rPr>
                <w:noProof/>
                <w:color w:val="000000"/>
                <w:sz w:val="20"/>
              </w:rPr>
              <w:t>Année</w:t>
            </w:r>
          </w:p>
        </w:tc>
        <w:tc>
          <w:tcPr>
            <w:tcW w:w="374" w:type="pct"/>
            <w:tcBorders>
              <w:top w:val="single" w:sz="8" w:space="0" w:color="auto"/>
              <w:left w:val="nil"/>
              <w:bottom w:val="nil"/>
              <w:right w:val="single" w:sz="8" w:space="0" w:color="auto"/>
            </w:tcBorders>
            <w:vAlign w:val="center"/>
            <w:hideMark/>
          </w:tcPr>
          <w:p w14:paraId="6018DDB0" w14:textId="77777777" w:rsidR="00B20C02" w:rsidRPr="00D207EA" w:rsidRDefault="00B20C02" w:rsidP="00B20C02">
            <w:pPr>
              <w:spacing w:before="0" w:after="0"/>
              <w:jc w:val="center"/>
              <w:rPr>
                <w:rFonts w:eastAsia="Times New Roman"/>
                <w:noProof/>
                <w:color w:val="000000"/>
                <w:sz w:val="20"/>
                <w:szCs w:val="20"/>
              </w:rPr>
            </w:pPr>
            <w:r w:rsidRPr="00D207EA">
              <w:rPr>
                <w:noProof/>
                <w:color w:val="000000"/>
                <w:sz w:val="20"/>
              </w:rPr>
              <w:t>APRÈS</w:t>
            </w:r>
          </w:p>
        </w:tc>
      </w:tr>
      <w:tr w:rsidR="00B20C02" w:rsidRPr="00D207EA" w14:paraId="3888C6B9" w14:textId="77777777" w:rsidTr="005C6A60">
        <w:trPr>
          <w:trHeight w:val="315"/>
        </w:trPr>
        <w:tc>
          <w:tcPr>
            <w:tcW w:w="2032" w:type="pct"/>
            <w:gridSpan w:val="2"/>
            <w:vMerge/>
            <w:tcBorders>
              <w:top w:val="single" w:sz="8" w:space="0" w:color="auto"/>
              <w:left w:val="single" w:sz="8" w:space="0" w:color="auto"/>
              <w:bottom w:val="nil"/>
              <w:right w:val="nil"/>
            </w:tcBorders>
            <w:vAlign w:val="center"/>
            <w:hideMark/>
          </w:tcPr>
          <w:p w14:paraId="7D0A7867" w14:textId="77777777" w:rsidR="00B20C02" w:rsidRPr="00D207EA" w:rsidRDefault="00B20C02" w:rsidP="00B20C02">
            <w:pPr>
              <w:spacing w:before="0" w:after="0"/>
              <w:jc w:val="left"/>
              <w:rPr>
                <w:rFonts w:eastAsia="Times New Roman"/>
                <w:b/>
                <w:bCs/>
                <w:noProof/>
                <w:color w:val="000000"/>
                <w:sz w:val="18"/>
                <w:szCs w:val="18"/>
                <w:lang w:eastAsia="zh-CN"/>
              </w:rPr>
            </w:pPr>
          </w:p>
        </w:tc>
        <w:tc>
          <w:tcPr>
            <w:tcW w:w="366" w:type="pct"/>
            <w:tcBorders>
              <w:top w:val="nil"/>
              <w:left w:val="nil"/>
              <w:bottom w:val="single" w:sz="8" w:space="0" w:color="auto"/>
              <w:right w:val="single" w:sz="8" w:space="0" w:color="auto"/>
            </w:tcBorders>
            <w:vAlign w:val="center"/>
            <w:hideMark/>
          </w:tcPr>
          <w:p w14:paraId="15B9EF6C" w14:textId="77777777" w:rsidR="00B20C02" w:rsidRPr="00D207EA" w:rsidRDefault="00B20C02" w:rsidP="00B20C02">
            <w:pPr>
              <w:spacing w:before="0" w:after="0"/>
              <w:jc w:val="center"/>
              <w:rPr>
                <w:rFonts w:eastAsia="Times New Roman"/>
                <w:b/>
                <w:bCs/>
                <w:noProof/>
                <w:color w:val="000000"/>
                <w:sz w:val="16"/>
                <w:szCs w:val="16"/>
              </w:rPr>
            </w:pPr>
            <w:r w:rsidRPr="00D207EA">
              <w:rPr>
                <w:b/>
                <w:noProof/>
                <w:color w:val="000000"/>
                <w:sz w:val="16"/>
              </w:rPr>
              <w:t>2028</w:t>
            </w:r>
          </w:p>
        </w:tc>
        <w:tc>
          <w:tcPr>
            <w:tcW w:w="366" w:type="pct"/>
            <w:tcBorders>
              <w:top w:val="nil"/>
              <w:left w:val="nil"/>
              <w:bottom w:val="single" w:sz="8" w:space="0" w:color="auto"/>
              <w:right w:val="single" w:sz="8" w:space="0" w:color="auto"/>
            </w:tcBorders>
            <w:vAlign w:val="center"/>
            <w:hideMark/>
          </w:tcPr>
          <w:p w14:paraId="1922BA35" w14:textId="77777777" w:rsidR="00B20C02" w:rsidRPr="00D207EA" w:rsidRDefault="00B20C02" w:rsidP="00B20C02">
            <w:pPr>
              <w:spacing w:before="0" w:after="0"/>
              <w:jc w:val="center"/>
              <w:rPr>
                <w:rFonts w:eastAsia="Times New Roman"/>
                <w:b/>
                <w:bCs/>
                <w:noProof/>
                <w:color w:val="000000"/>
                <w:sz w:val="20"/>
                <w:szCs w:val="20"/>
              </w:rPr>
            </w:pPr>
            <w:r w:rsidRPr="00D207EA">
              <w:rPr>
                <w:b/>
                <w:noProof/>
                <w:color w:val="000000"/>
                <w:sz w:val="20"/>
              </w:rPr>
              <w:t>2029</w:t>
            </w:r>
          </w:p>
        </w:tc>
        <w:tc>
          <w:tcPr>
            <w:tcW w:w="366" w:type="pct"/>
            <w:tcBorders>
              <w:top w:val="nil"/>
              <w:left w:val="nil"/>
              <w:bottom w:val="single" w:sz="8" w:space="0" w:color="auto"/>
              <w:right w:val="single" w:sz="8" w:space="0" w:color="auto"/>
            </w:tcBorders>
            <w:vAlign w:val="center"/>
            <w:hideMark/>
          </w:tcPr>
          <w:p w14:paraId="644E5107" w14:textId="77777777" w:rsidR="00B20C02" w:rsidRPr="00D207EA" w:rsidRDefault="00B20C02" w:rsidP="00B20C02">
            <w:pPr>
              <w:spacing w:before="0" w:after="0"/>
              <w:jc w:val="center"/>
              <w:rPr>
                <w:rFonts w:eastAsia="Times New Roman"/>
                <w:b/>
                <w:bCs/>
                <w:noProof/>
                <w:color w:val="000000"/>
                <w:sz w:val="20"/>
                <w:szCs w:val="20"/>
              </w:rPr>
            </w:pPr>
            <w:r w:rsidRPr="00D207EA">
              <w:rPr>
                <w:b/>
                <w:noProof/>
                <w:color w:val="000000"/>
                <w:sz w:val="20"/>
              </w:rPr>
              <w:t>2030</w:t>
            </w:r>
          </w:p>
        </w:tc>
        <w:tc>
          <w:tcPr>
            <w:tcW w:w="374" w:type="pct"/>
            <w:tcBorders>
              <w:top w:val="nil"/>
              <w:left w:val="nil"/>
              <w:bottom w:val="single" w:sz="8" w:space="0" w:color="auto"/>
              <w:right w:val="single" w:sz="8" w:space="0" w:color="auto"/>
            </w:tcBorders>
            <w:vAlign w:val="center"/>
            <w:hideMark/>
          </w:tcPr>
          <w:p w14:paraId="2B876837" w14:textId="77777777" w:rsidR="00B20C02" w:rsidRPr="00D207EA" w:rsidRDefault="00B20C02" w:rsidP="00B20C02">
            <w:pPr>
              <w:spacing w:before="0" w:after="0"/>
              <w:jc w:val="center"/>
              <w:rPr>
                <w:rFonts w:eastAsia="Times New Roman"/>
                <w:b/>
                <w:bCs/>
                <w:noProof/>
                <w:color w:val="000000"/>
                <w:sz w:val="20"/>
                <w:szCs w:val="20"/>
              </w:rPr>
            </w:pPr>
            <w:r w:rsidRPr="00D207EA">
              <w:rPr>
                <w:b/>
                <w:noProof/>
                <w:color w:val="000000"/>
                <w:sz w:val="20"/>
              </w:rPr>
              <w:t>2031</w:t>
            </w:r>
          </w:p>
        </w:tc>
        <w:tc>
          <w:tcPr>
            <w:tcW w:w="374" w:type="pct"/>
            <w:tcBorders>
              <w:top w:val="nil"/>
              <w:left w:val="nil"/>
              <w:bottom w:val="single" w:sz="8" w:space="0" w:color="auto"/>
              <w:right w:val="single" w:sz="8" w:space="0" w:color="auto"/>
            </w:tcBorders>
            <w:vAlign w:val="center"/>
            <w:hideMark/>
          </w:tcPr>
          <w:p w14:paraId="04B5C453" w14:textId="77777777" w:rsidR="00B20C02" w:rsidRPr="00D207EA" w:rsidRDefault="00B20C02" w:rsidP="00B20C02">
            <w:pPr>
              <w:spacing w:before="0" w:after="0"/>
              <w:jc w:val="center"/>
              <w:rPr>
                <w:rFonts w:eastAsia="Times New Roman"/>
                <w:b/>
                <w:bCs/>
                <w:noProof/>
                <w:color w:val="000000"/>
                <w:sz w:val="20"/>
                <w:szCs w:val="20"/>
              </w:rPr>
            </w:pPr>
            <w:r w:rsidRPr="00D207EA">
              <w:rPr>
                <w:b/>
                <w:noProof/>
                <w:color w:val="000000"/>
                <w:sz w:val="20"/>
              </w:rPr>
              <w:t>2032</w:t>
            </w:r>
          </w:p>
        </w:tc>
        <w:tc>
          <w:tcPr>
            <w:tcW w:w="374" w:type="pct"/>
            <w:tcBorders>
              <w:top w:val="nil"/>
              <w:left w:val="nil"/>
              <w:bottom w:val="single" w:sz="8" w:space="0" w:color="auto"/>
              <w:right w:val="single" w:sz="8" w:space="0" w:color="auto"/>
            </w:tcBorders>
            <w:vAlign w:val="center"/>
            <w:hideMark/>
          </w:tcPr>
          <w:p w14:paraId="4C395C6C" w14:textId="77777777" w:rsidR="00B20C02" w:rsidRPr="00D207EA" w:rsidRDefault="00B20C02" w:rsidP="00B20C02">
            <w:pPr>
              <w:spacing w:before="0" w:after="0"/>
              <w:jc w:val="center"/>
              <w:rPr>
                <w:rFonts w:eastAsia="Times New Roman"/>
                <w:b/>
                <w:bCs/>
                <w:noProof/>
                <w:color w:val="000000"/>
                <w:sz w:val="20"/>
                <w:szCs w:val="20"/>
              </w:rPr>
            </w:pPr>
            <w:r w:rsidRPr="00D207EA">
              <w:rPr>
                <w:b/>
                <w:noProof/>
                <w:color w:val="000000"/>
                <w:sz w:val="20"/>
              </w:rPr>
              <w:t>2033</w:t>
            </w:r>
          </w:p>
        </w:tc>
        <w:tc>
          <w:tcPr>
            <w:tcW w:w="374" w:type="pct"/>
            <w:tcBorders>
              <w:top w:val="nil"/>
              <w:left w:val="nil"/>
              <w:bottom w:val="single" w:sz="8" w:space="0" w:color="auto"/>
              <w:right w:val="single" w:sz="8" w:space="0" w:color="auto"/>
            </w:tcBorders>
            <w:vAlign w:val="center"/>
            <w:hideMark/>
          </w:tcPr>
          <w:p w14:paraId="4F9B84E2" w14:textId="77777777" w:rsidR="00B20C02" w:rsidRPr="00D207EA" w:rsidRDefault="00B20C02" w:rsidP="00B20C02">
            <w:pPr>
              <w:spacing w:before="0" w:after="0"/>
              <w:jc w:val="center"/>
              <w:rPr>
                <w:rFonts w:eastAsia="Times New Roman"/>
                <w:b/>
                <w:bCs/>
                <w:noProof/>
                <w:color w:val="000000"/>
                <w:sz w:val="20"/>
                <w:szCs w:val="20"/>
              </w:rPr>
            </w:pPr>
            <w:r w:rsidRPr="00D207EA">
              <w:rPr>
                <w:b/>
                <w:noProof/>
                <w:color w:val="000000"/>
                <w:sz w:val="20"/>
              </w:rPr>
              <w:t>2034</w:t>
            </w:r>
          </w:p>
        </w:tc>
        <w:tc>
          <w:tcPr>
            <w:tcW w:w="374" w:type="pct"/>
            <w:tcBorders>
              <w:top w:val="nil"/>
              <w:left w:val="nil"/>
              <w:bottom w:val="single" w:sz="8" w:space="0" w:color="auto"/>
              <w:right w:val="single" w:sz="8" w:space="0" w:color="auto"/>
            </w:tcBorders>
            <w:vAlign w:val="center"/>
            <w:hideMark/>
          </w:tcPr>
          <w:p w14:paraId="1C45B04A" w14:textId="77777777" w:rsidR="00B20C02" w:rsidRPr="00D207EA" w:rsidRDefault="00B20C02" w:rsidP="00B20C02">
            <w:pPr>
              <w:spacing w:before="0" w:after="0"/>
              <w:jc w:val="center"/>
              <w:rPr>
                <w:rFonts w:eastAsia="Times New Roman"/>
                <w:b/>
                <w:bCs/>
                <w:noProof/>
                <w:color w:val="000000"/>
                <w:sz w:val="20"/>
                <w:szCs w:val="20"/>
              </w:rPr>
            </w:pPr>
            <w:r w:rsidRPr="00D207EA">
              <w:rPr>
                <w:b/>
                <w:noProof/>
                <w:color w:val="000000"/>
                <w:sz w:val="20"/>
              </w:rPr>
              <w:t>2034</w:t>
            </w:r>
          </w:p>
        </w:tc>
      </w:tr>
      <w:tr w:rsidR="00B20C02" w:rsidRPr="00D207EA" w14:paraId="4C747101" w14:textId="77777777" w:rsidTr="005C6A60">
        <w:trPr>
          <w:trHeight w:val="300"/>
        </w:trPr>
        <w:tc>
          <w:tcPr>
            <w:tcW w:w="4626" w:type="pct"/>
            <w:gridSpan w:val="9"/>
            <w:tcBorders>
              <w:top w:val="single" w:sz="8" w:space="0" w:color="auto"/>
              <w:left w:val="single" w:sz="8" w:space="0" w:color="auto"/>
              <w:bottom w:val="single" w:sz="8" w:space="0" w:color="auto"/>
              <w:right w:val="nil"/>
            </w:tcBorders>
            <w:vAlign w:val="center"/>
            <w:hideMark/>
          </w:tcPr>
          <w:p w14:paraId="723C77C1" w14:textId="77777777" w:rsidR="00B20C02" w:rsidRPr="00D207EA" w:rsidRDefault="00B20C02" w:rsidP="00B20C02">
            <w:pPr>
              <w:spacing w:before="0" w:after="0"/>
              <w:jc w:val="left"/>
              <w:rPr>
                <w:rFonts w:ascii="Wingdings" w:eastAsia="Times New Roman" w:hAnsi="Wingdings" w:cs="Calibri"/>
                <w:b/>
                <w:bCs/>
                <w:noProof/>
                <w:color w:val="000000"/>
                <w:sz w:val="16"/>
                <w:szCs w:val="16"/>
              </w:rPr>
            </w:pPr>
            <w:r w:rsidRPr="00D207EA">
              <w:rPr>
                <w:rFonts w:ascii="Wingdings" w:hAnsi="Wingdings"/>
                <w:b/>
                <w:noProof/>
                <w:color w:val="000000"/>
                <w:sz w:val="16"/>
              </w:rPr>
              <w:t></w:t>
            </w:r>
            <w:r w:rsidRPr="00D207EA">
              <w:rPr>
                <w:b/>
                <w:noProof/>
                <w:color w:val="000000"/>
                <w:sz w:val="16"/>
              </w:rPr>
              <w:t xml:space="preserve"> Emplois du tableau des effectifs (fonctionnaires et agents temporaires)</w:t>
            </w:r>
          </w:p>
        </w:tc>
        <w:tc>
          <w:tcPr>
            <w:tcW w:w="374" w:type="pct"/>
            <w:tcBorders>
              <w:top w:val="single" w:sz="8" w:space="0" w:color="auto"/>
              <w:left w:val="nil"/>
              <w:bottom w:val="single" w:sz="8" w:space="0" w:color="auto"/>
              <w:right w:val="nil"/>
            </w:tcBorders>
            <w:vAlign w:val="center"/>
            <w:hideMark/>
          </w:tcPr>
          <w:p w14:paraId="14CB0B12" w14:textId="77777777" w:rsidR="00B20C02" w:rsidRPr="00D207EA" w:rsidRDefault="00B20C02" w:rsidP="00B20C02">
            <w:pPr>
              <w:spacing w:before="0" w:after="0"/>
              <w:jc w:val="left"/>
              <w:rPr>
                <w:rFonts w:ascii="Wingdings" w:eastAsia="Times New Roman" w:hAnsi="Wingdings" w:cs="Calibri"/>
                <w:b/>
                <w:bCs/>
                <w:noProof/>
                <w:color w:val="000000"/>
                <w:sz w:val="16"/>
                <w:szCs w:val="16"/>
                <w:lang w:eastAsia="zh-CN"/>
              </w:rPr>
            </w:pPr>
          </w:p>
        </w:tc>
      </w:tr>
      <w:tr w:rsidR="00B20C02" w:rsidRPr="00D207EA" w14:paraId="0ABB2677"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2A20076F" w14:textId="77777777" w:rsidR="00B20C02" w:rsidRPr="00D207EA" w:rsidRDefault="00B20C02" w:rsidP="00B20C02">
            <w:pPr>
              <w:spacing w:before="0" w:after="0"/>
              <w:ind w:firstLineChars="100" w:firstLine="160"/>
              <w:jc w:val="left"/>
              <w:rPr>
                <w:rFonts w:eastAsia="Times New Roman"/>
                <w:noProof/>
                <w:color w:val="000000"/>
                <w:sz w:val="16"/>
                <w:szCs w:val="16"/>
              </w:rPr>
            </w:pPr>
            <w:r w:rsidRPr="00D207EA">
              <w:rPr>
                <w:noProof/>
                <w:color w:val="000000"/>
                <w:sz w:val="16"/>
              </w:rPr>
              <w:t>20 01 02 01</w:t>
            </w:r>
            <w:r w:rsidRPr="00D207EA">
              <w:rPr>
                <w:rFonts w:ascii="Arial Narrow" w:hAnsi="Arial Narrow"/>
                <w:noProof/>
                <w:color w:val="000000"/>
                <w:sz w:val="20"/>
              </w:rPr>
              <w:t xml:space="preserve"> </w:t>
            </w:r>
            <w:r w:rsidRPr="00D207EA">
              <w:rPr>
                <w:noProof/>
                <w:color w:val="000000"/>
                <w:sz w:val="16"/>
              </w:rPr>
              <w:t>(Au siège et dans les bureaux de représentation de la Commission)</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C9FF86"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5C751F"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05FE02"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BEE3ABE"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503E59"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A74C66F"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ED4B99"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0679D3B3"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r>
      <w:tr w:rsidR="00B20C02" w:rsidRPr="00D207EA" w14:paraId="3C81397B"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8BF4BB1" w14:textId="77777777" w:rsidR="00B20C02" w:rsidRPr="00D207EA" w:rsidRDefault="00B20C02" w:rsidP="00B20C02">
            <w:pPr>
              <w:spacing w:before="0" w:after="0"/>
              <w:ind w:firstLineChars="100" w:firstLine="160"/>
              <w:jc w:val="left"/>
              <w:rPr>
                <w:rFonts w:eastAsia="Times New Roman"/>
                <w:noProof/>
                <w:color w:val="000000"/>
                <w:sz w:val="16"/>
                <w:szCs w:val="16"/>
              </w:rPr>
            </w:pPr>
            <w:r w:rsidRPr="00D207EA">
              <w:rPr>
                <w:noProof/>
                <w:color w:val="000000"/>
                <w:sz w:val="16"/>
              </w:rPr>
              <w:t>20 01 02 03 (Délégations de l’UE)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DC7A26F"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EAF7410"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C04477A"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B36FFF7"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8068F1A"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ACD99F"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25884C"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42EA95CA"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r>
      <w:tr w:rsidR="00B20C02" w:rsidRPr="00D207EA" w14:paraId="3ED37550"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486E805" w14:textId="77777777" w:rsidR="00B20C02" w:rsidRPr="00D207EA" w:rsidRDefault="00B20C02" w:rsidP="00B20C02">
            <w:pPr>
              <w:spacing w:before="0" w:after="0"/>
              <w:ind w:firstLineChars="100" w:firstLine="160"/>
              <w:jc w:val="left"/>
              <w:rPr>
                <w:rFonts w:eastAsia="Times New Roman"/>
                <w:noProof/>
                <w:color w:val="000000"/>
                <w:sz w:val="16"/>
                <w:szCs w:val="16"/>
              </w:rPr>
            </w:pPr>
            <w:r w:rsidRPr="00D207EA">
              <w:rPr>
                <w:noProof/>
                <w:color w:val="000000"/>
                <w:sz w:val="16"/>
              </w:rPr>
              <w:t>01 01 01 01</w:t>
            </w:r>
            <w:r w:rsidRPr="00D207EA">
              <w:rPr>
                <w:rFonts w:ascii="Arial Narrow" w:hAnsi="Arial Narrow"/>
                <w:noProof/>
                <w:color w:val="000000"/>
                <w:sz w:val="20"/>
              </w:rPr>
              <w:t xml:space="preserve"> </w:t>
            </w:r>
            <w:r w:rsidRPr="00D207EA">
              <w:rPr>
                <w:noProof/>
                <w:color w:val="000000"/>
                <w:sz w:val="16"/>
              </w:rPr>
              <w:t xml:space="preserve"> (Recherche indirecte)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67FD479"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06D276"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DC4F506"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7F8C044"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CF4EFC9"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B9FA7E4"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F8C6AC"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00EA7D3E"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r>
      <w:tr w:rsidR="00B20C02" w:rsidRPr="00D207EA" w14:paraId="42F24914"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514843F9" w14:textId="77777777" w:rsidR="00B20C02" w:rsidRPr="00D207EA" w:rsidRDefault="00B20C02" w:rsidP="00B20C02">
            <w:pPr>
              <w:spacing w:before="0" w:after="0"/>
              <w:ind w:firstLineChars="100" w:firstLine="160"/>
              <w:jc w:val="left"/>
              <w:rPr>
                <w:rFonts w:eastAsia="Times New Roman"/>
                <w:noProof/>
                <w:color w:val="000000"/>
                <w:sz w:val="16"/>
                <w:szCs w:val="16"/>
              </w:rPr>
            </w:pPr>
            <w:r w:rsidRPr="00D207EA">
              <w:rPr>
                <w:noProof/>
                <w:color w:val="000000"/>
                <w:sz w:val="16"/>
              </w:rPr>
              <w:t>01 01 01 11 (Recherche directe)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C647874"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56DE18B"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725E73"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9E2A28"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C42C34"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3E0A168"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B9CD671"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ADB87B7"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r>
      <w:tr w:rsidR="00B20C02" w:rsidRPr="00D207EA" w14:paraId="63D73CCB"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63EA56AF" w14:textId="77777777" w:rsidR="00B20C02" w:rsidRPr="00D207EA" w:rsidRDefault="00B20C02" w:rsidP="00B20C02">
            <w:pPr>
              <w:spacing w:before="0" w:after="0"/>
              <w:ind w:firstLineChars="100" w:firstLine="160"/>
              <w:jc w:val="left"/>
              <w:rPr>
                <w:rFonts w:eastAsia="Times New Roman"/>
                <w:noProof/>
                <w:color w:val="000000"/>
                <w:sz w:val="16"/>
                <w:szCs w:val="16"/>
              </w:rPr>
            </w:pPr>
            <w:r w:rsidRPr="00D207EA">
              <w:rPr>
                <w:noProof/>
                <w:color w:val="000000"/>
                <w:sz w:val="16"/>
              </w:rPr>
              <w:t>Autres lignes budgétaires (à préciser)</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00C7049"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83C6BE5"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04260D"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734B636"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C3F0843"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2CD998"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8A45B3C"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44CDD6C"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r>
      <w:tr w:rsidR="00B20C02" w:rsidRPr="00D207EA" w14:paraId="6280B462" w14:textId="77777777" w:rsidTr="005C6A60">
        <w:trPr>
          <w:trHeight w:val="300"/>
        </w:trPr>
        <w:tc>
          <w:tcPr>
            <w:tcW w:w="4626" w:type="pct"/>
            <w:gridSpan w:val="9"/>
            <w:tcBorders>
              <w:top w:val="single" w:sz="8" w:space="0" w:color="auto"/>
              <w:left w:val="single" w:sz="8" w:space="0" w:color="auto"/>
              <w:bottom w:val="single" w:sz="8" w:space="0" w:color="auto"/>
              <w:right w:val="nil"/>
            </w:tcBorders>
            <w:vAlign w:val="center"/>
            <w:hideMark/>
          </w:tcPr>
          <w:p w14:paraId="5344194D" w14:textId="77777777" w:rsidR="00B20C02" w:rsidRPr="00D207EA" w:rsidRDefault="00B20C02" w:rsidP="00B20C02">
            <w:pPr>
              <w:spacing w:before="0" w:after="0"/>
              <w:jc w:val="left"/>
              <w:rPr>
                <w:rFonts w:ascii="Wingdings" w:eastAsia="Times New Roman" w:hAnsi="Wingdings" w:cs="Calibri"/>
                <w:b/>
                <w:bCs/>
                <w:noProof/>
                <w:color w:val="000000"/>
                <w:sz w:val="16"/>
                <w:szCs w:val="16"/>
              </w:rPr>
            </w:pPr>
            <w:r w:rsidRPr="00D207EA">
              <w:rPr>
                <w:rFonts w:ascii="Calibri" w:hAnsi="Calibri"/>
                <w:b/>
                <w:noProof/>
                <w:color w:val="000000"/>
                <w:sz w:val="16"/>
              </w:rPr>
              <w:t>•</w:t>
            </w:r>
            <w:r w:rsidRPr="00D207EA">
              <w:rPr>
                <w:b/>
                <w:noProof/>
                <w:color w:val="000000"/>
                <w:sz w:val="16"/>
              </w:rPr>
              <w:t xml:space="preserve"> Personnel externe (en équivalents temps plein: ETP)[1]</w:t>
            </w:r>
          </w:p>
        </w:tc>
        <w:tc>
          <w:tcPr>
            <w:tcW w:w="374" w:type="pct"/>
            <w:tcBorders>
              <w:top w:val="single" w:sz="8" w:space="0" w:color="auto"/>
              <w:left w:val="nil"/>
              <w:bottom w:val="single" w:sz="8" w:space="0" w:color="auto"/>
              <w:right w:val="nil"/>
            </w:tcBorders>
            <w:vAlign w:val="center"/>
            <w:hideMark/>
          </w:tcPr>
          <w:p w14:paraId="768B8BD7" w14:textId="77777777" w:rsidR="00B20C02" w:rsidRPr="00D207EA" w:rsidRDefault="00B20C02" w:rsidP="00B20C02">
            <w:pPr>
              <w:spacing w:before="0" w:after="0"/>
              <w:jc w:val="left"/>
              <w:rPr>
                <w:rFonts w:ascii="Wingdings" w:eastAsia="Times New Roman" w:hAnsi="Wingdings" w:cs="Calibri"/>
                <w:b/>
                <w:bCs/>
                <w:noProof/>
                <w:color w:val="000000"/>
                <w:sz w:val="16"/>
                <w:szCs w:val="16"/>
                <w:lang w:eastAsia="zh-CN"/>
              </w:rPr>
            </w:pPr>
          </w:p>
        </w:tc>
      </w:tr>
      <w:tr w:rsidR="00B20C02" w:rsidRPr="00D207EA" w14:paraId="5EA341D8"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7E950869" w14:textId="77777777" w:rsidR="00B20C02" w:rsidRPr="00D207EA" w:rsidRDefault="00B20C02" w:rsidP="00B20C02">
            <w:pPr>
              <w:spacing w:before="0" w:after="0"/>
              <w:ind w:firstLineChars="100" w:firstLine="160"/>
              <w:jc w:val="left"/>
              <w:rPr>
                <w:rFonts w:eastAsia="Times New Roman"/>
                <w:noProof/>
                <w:color w:val="000000"/>
                <w:sz w:val="16"/>
                <w:szCs w:val="16"/>
              </w:rPr>
            </w:pPr>
            <w:r w:rsidRPr="00D207EA">
              <w:rPr>
                <w:noProof/>
                <w:color w:val="000000"/>
                <w:sz w:val="16"/>
              </w:rPr>
              <w:t>20 02 01</w:t>
            </w:r>
            <w:r w:rsidRPr="00D207EA">
              <w:rPr>
                <w:rFonts w:ascii="Arial Narrow" w:hAnsi="Arial Narrow"/>
                <w:noProof/>
                <w:color w:val="000000"/>
                <w:sz w:val="20"/>
              </w:rPr>
              <w:t xml:space="preserve"> </w:t>
            </w:r>
            <w:r w:rsidRPr="00D207EA">
              <w:rPr>
                <w:noProof/>
                <w:color w:val="000000"/>
                <w:sz w:val="16"/>
              </w:rPr>
              <w:t>(AC, END de l’«enveloppe globale»)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70AB2B"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635063"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C0FAF8B"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0CE4F93"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CF7957"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36EEEA0"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1C538CF"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6211805"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r>
      <w:tr w:rsidR="00B20C02" w:rsidRPr="00D207EA" w14:paraId="5BBD8F99"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3821E6FE" w14:textId="77777777" w:rsidR="00B20C02" w:rsidRPr="00D207EA" w:rsidRDefault="00B20C02" w:rsidP="00B20C02">
            <w:pPr>
              <w:spacing w:before="0" w:after="0"/>
              <w:ind w:firstLineChars="100" w:firstLine="160"/>
              <w:jc w:val="left"/>
              <w:rPr>
                <w:rFonts w:eastAsia="Times New Roman"/>
                <w:noProof/>
                <w:color w:val="000000"/>
                <w:sz w:val="16"/>
                <w:szCs w:val="16"/>
              </w:rPr>
            </w:pPr>
            <w:r w:rsidRPr="00D207EA">
              <w:rPr>
                <w:noProof/>
                <w:color w:val="000000"/>
                <w:sz w:val="16"/>
              </w:rPr>
              <w:t>20 02 03 (AC, AL, END et JPD dans les délégations de l’UE)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A76ADB"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CBAF919"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BF30DFE"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6CC846"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64C2122"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1A01148"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4C3E1C7"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79B97B56"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r>
      <w:tr w:rsidR="00B20C02" w:rsidRPr="00D207EA" w14:paraId="63418771" w14:textId="77777777" w:rsidTr="005C6A60">
        <w:trPr>
          <w:trHeight w:val="315"/>
        </w:trPr>
        <w:tc>
          <w:tcPr>
            <w:tcW w:w="569" w:type="pct"/>
            <w:vMerge w:val="restart"/>
            <w:tcBorders>
              <w:top w:val="single" w:sz="8" w:space="0" w:color="auto"/>
              <w:left w:val="single" w:sz="8" w:space="0" w:color="auto"/>
              <w:bottom w:val="single" w:sz="8" w:space="0" w:color="auto"/>
              <w:right w:val="single" w:sz="8" w:space="0" w:color="auto"/>
            </w:tcBorders>
            <w:vAlign w:val="center"/>
            <w:hideMark/>
          </w:tcPr>
          <w:p w14:paraId="123AB614"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Ligne d’appui administratif</w:t>
            </w:r>
            <w:r w:rsidRPr="00D207EA">
              <w:rPr>
                <w:noProof/>
                <w:color w:val="000000"/>
                <w:sz w:val="16"/>
              </w:rPr>
              <w:br/>
              <w:t>[XX.01.YY.YY] [2]</w:t>
            </w:r>
          </w:p>
        </w:tc>
        <w:tc>
          <w:tcPr>
            <w:tcW w:w="1463" w:type="pct"/>
            <w:tcBorders>
              <w:top w:val="single" w:sz="8" w:space="0" w:color="auto"/>
              <w:left w:val="single" w:sz="8" w:space="0" w:color="auto"/>
              <w:bottom w:val="single" w:sz="8" w:space="0" w:color="auto"/>
              <w:right w:val="single" w:sz="8" w:space="0" w:color="auto"/>
            </w:tcBorders>
            <w:vAlign w:val="center"/>
            <w:hideMark/>
          </w:tcPr>
          <w:p w14:paraId="7167DA68" w14:textId="77777777" w:rsidR="00B20C02" w:rsidRPr="00D207EA" w:rsidRDefault="00B20C02" w:rsidP="00B20C02">
            <w:pPr>
              <w:spacing w:before="0" w:after="0"/>
              <w:ind w:firstLineChars="100" w:firstLine="160"/>
              <w:jc w:val="left"/>
              <w:rPr>
                <w:rFonts w:eastAsia="Times New Roman"/>
                <w:noProof/>
                <w:color w:val="000000"/>
                <w:sz w:val="16"/>
                <w:szCs w:val="16"/>
              </w:rPr>
            </w:pPr>
            <w:r w:rsidRPr="00D207EA">
              <w:rPr>
                <w:noProof/>
                <w:color w:val="000000"/>
                <w:sz w:val="16"/>
              </w:rPr>
              <w:t>- au siège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832AA03"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57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AB11407"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57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65A0957"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57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251C4F"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57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5BBC40A"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57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F5C7617"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92B54FB"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E67E824"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r>
      <w:tr w:rsidR="00B20C02" w:rsidRPr="00D207EA" w14:paraId="17FD0D8A" w14:textId="77777777" w:rsidTr="005C6A60">
        <w:trPr>
          <w:trHeight w:val="315"/>
        </w:trPr>
        <w:tc>
          <w:tcPr>
            <w:tcW w:w="569" w:type="pct"/>
            <w:vMerge/>
            <w:tcBorders>
              <w:top w:val="single" w:sz="8" w:space="0" w:color="auto"/>
              <w:left w:val="single" w:sz="8" w:space="0" w:color="auto"/>
              <w:bottom w:val="single" w:sz="8" w:space="0" w:color="auto"/>
              <w:right w:val="single" w:sz="8" w:space="0" w:color="auto"/>
            </w:tcBorders>
            <w:vAlign w:val="center"/>
            <w:hideMark/>
          </w:tcPr>
          <w:p w14:paraId="63F5D623" w14:textId="77777777" w:rsidR="00B20C02" w:rsidRPr="00D207EA" w:rsidRDefault="00B20C02" w:rsidP="00B20C02">
            <w:pPr>
              <w:spacing w:before="0" w:after="0"/>
              <w:jc w:val="left"/>
              <w:rPr>
                <w:rFonts w:eastAsia="Times New Roman"/>
                <w:noProof/>
                <w:color w:val="000000"/>
                <w:sz w:val="16"/>
                <w:szCs w:val="16"/>
                <w:lang w:eastAsia="zh-CN"/>
              </w:rPr>
            </w:pPr>
          </w:p>
        </w:tc>
        <w:tc>
          <w:tcPr>
            <w:tcW w:w="1463" w:type="pct"/>
            <w:tcBorders>
              <w:top w:val="single" w:sz="8" w:space="0" w:color="auto"/>
              <w:left w:val="single" w:sz="8" w:space="0" w:color="auto"/>
              <w:bottom w:val="single" w:sz="8" w:space="0" w:color="auto"/>
              <w:right w:val="single" w:sz="8" w:space="0" w:color="auto"/>
            </w:tcBorders>
            <w:vAlign w:val="center"/>
            <w:hideMark/>
          </w:tcPr>
          <w:p w14:paraId="6924DF9E" w14:textId="6431CF02" w:rsidR="00B20C02" w:rsidRPr="00D207EA" w:rsidRDefault="00B20C02" w:rsidP="00B20C02">
            <w:pPr>
              <w:spacing w:before="0" w:after="0"/>
              <w:ind w:firstLineChars="100" w:firstLine="160"/>
              <w:jc w:val="left"/>
              <w:rPr>
                <w:rFonts w:eastAsia="Times New Roman"/>
                <w:noProof/>
                <w:color w:val="000000"/>
                <w:sz w:val="16"/>
                <w:szCs w:val="16"/>
              </w:rPr>
            </w:pPr>
            <w:r w:rsidRPr="00D207EA">
              <w:rPr>
                <w:noProof/>
                <w:color w:val="000000"/>
                <w:sz w:val="16"/>
              </w:rPr>
              <w:t>- dans les délégations de l’UE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6A3A79C"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F61E524"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9A044E9"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4806646"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CE07E25"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542ECE"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79454C0"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70842143"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r>
      <w:tr w:rsidR="00B20C02" w:rsidRPr="00D207EA" w14:paraId="239C9139"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61FD26E5" w14:textId="77777777" w:rsidR="00B20C02" w:rsidRPr="00D207EA" w:rsidRDefault="00B20C02" w:rsidP="00B20C02">
            <w:pPr>
              <w:spacing w:before="0" w:after="0"/>
              <w:ind w:firstLineChars="100" w:firstLine="160"/>
              <w:jc w:val="left"/>
              <w:rPr>
                <w:rFonts w:eastAsia="Times New Roman"/>
                <w:noProof/>
                <w:color w:val="000000"/>
                <w:sz w:val="16"/>
                <w:szCs w:val="16"/>
              </w:rPr>
            </w:pPr>
            <w:r w:rsidRPr="00D207EA">
              <w:rPr>
                <w:noProof/>
                <w:color w:val="000000"/>
                <w:sz w:val="16"/>
              </w:rPr>
              <w:t>01 01 01 02</w:t>
            </w:r>
            <w:r w:rsidRPr="00D207EA">
              <w:rPr>
                <w:rFonts w:ascii="Arial Narrow" w:hAnsi="Arial Narrow"/>
                <w:noProof/>
                <w:color w:val="000000"/>
                <w:sz w:val="20"/>
              </w:rPr>
              <w:t xml:space="preserve"> </w:t>
            </w:r>
            <w:r w:rsidRPr="00D207EA">
              <w:rPr>
                <w:noProof/>
                <w:color w:val="000000"/>
                <w:sz w:val="16"/>
              </w:rPr>
              <w:t>(AC, END - Recherche indirecte)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7CA0F22"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DB3736E"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6001E6"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635C492"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C30416"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807AF6"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FA0755"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38F82B29"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r>
      <w:tr w:rsidR="00B20C02" w:rsidRPr="00D207EA" w14:paraId="1ABA60EC"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87BFC91" w14:textId="77777777" w:rsidR="00B20C02" w:rsidRPr="00D207EA" w:rsidRDefault="00B20C02" w:rsidP="00B20C02">
            <w:pPr>
              <w:spacing w:before="0" w:after="0"/>
              <w:ind w:firstLineChars="100" w:firstLine="160"/>
              <w:jc w:val="left"/>
              <w:rPr>
                <w:rFonts w:eastAsia="Times New Roman"/>
                <w:noProof/>
                <w:color w:val="000000"/>
                <w:sz w:val="16"/>
                <w:szCs w:val="16"/>
              </w:rPr>
            </w:pPr>
            <w:r w:rsidRPr="00D207EA">
              <w:rPr>
                <w:noProof/>
                <w:color w:val="000000"/>
                <w:sz w:val="16"/>
              </w:rPr>
              <w:t>01 01 01 12 (AC, END - Recherche directe)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7951DBE"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A2DE6A"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93B3A90"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04266AE"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69D5CF"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3C53AC"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62AF6C"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AF09615"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r>
      <w:tr w:rsidR="00B20C02" w:rsidRPr="00D207EA" w14:paraId="36549BC2" w14:textId="77777777" w:rsidTr="005C6A60">
        <w:trPr>
          <w:trHeight w:val="300"/>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7B250789" w14:textId="77777777" w:rsidR="00B20C02" w:rsidRPr="00D207EA" w:rsidRDefault="00B20C02" w:rsidP="00B20C02">
            <w:pPr>
              <w:spacing w:before="0" w:after="0"/>
              <w:ind w:firstLineChars="100" w:firstLine="160"/>
              <w:jc w:val="left"/>
              <w:rPr>
                <w:rFonts w:eastAsia="Times New Roman"/>
                <w:noProof/>
                <w:color w:val="000000"/>
                <w:sz w:val="16"/>
                <w:szCs w:val="16"/>
              </w:rPr>
            </w:pPr>
            <w:r w:rsidRPr="00D207EA">
              <w:rPr>
                <w:noProof/>
                <w:color w:val="000000"/>
                <w:sz w:val="16"/>
              </w:rPr>
              <w:t>Autres lignes budgétaires (à préciser) - Rubrique 4</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69F0FC0"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F2C11B1"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8AF7E14"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F84A9BF"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70CE1D"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A0248C"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BA6EBFE"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4DB86702"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r>
      <w:tr w:rsidR="00B20C02" w:rsidRPr="00D207EA" w14:paraId="22DDCE75" w14:textId="77777777" w:rsidTr="005C6A60">
        <w:trPr>
          <w:trHeight w:val="300"/>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66E827C2" w14:textId="77777777" w:rsidR="00B20C02" w:rsidRPr="00D207EA" w:rsidRDefault="00B20C02" w:rsidP="00B20C02">
            <w:pPr>
              <w:spacing w:before="0" w:after="0"/>
              <w:ind w:firstLineChars="100" w:firstLine="160"/>
              <w:jc w:val="left"/>
              <w:rPr>
                <w:rFonts w:eastAsia="Times New Roman"/>
                <w:noProof/>
                <w:color w:val="000000"/>
                <w:sz w:val="16"/>
                <w:szCs w:val="16"/>
              </w:rPr>
            </w:pPr>
            <w:r w:rsidRPr="00D207EA">
              <w:rPr>
                <w:noProof/>
                <w:color w:val="000000"/>
                <w:sz w:val="16"/>
              </w:rPr>
              <w:t>Autres lignes budgétaires (à préciser) - Hors rubrique 4</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34A25D9"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9AF701"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A02E743"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C6EBF97"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FB90448"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7E624E2"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321CD11"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2C4CC49" w14:textId="77777777" w:rsidR="00B20C02" w:rsidRPr="00D207EA" w:rsidRDefault="00B20C02" w:rsidP="00B20C02">
            <w:pPr>
              <w:spacing w:before="0" w:after="0"/>
              <w:jc w:val="center"/>
              <w:rPr>
                <w:rFonts w:eastAsia="Times New Roman"/>
                <w:noProof/>
                <w:color w:val="000000"/>
                <w:sz w:val="16"/>
                <w:szCs w:val="16"/>
              </w:rPr>
            </w:pPr>
            <w:r w:rsidRPr="00D207EA">
              <w:rPr>
                <w:noProof/>
                <w:color w:val="000000"/>
                <w:sz w:val="16"/>
              </w:rPr>
              <w:t>0</w:t>
            </w:r>
          </w:p>
        </w:tc>
      </w:tr>
      <w:tr w:rsidR="00B20C02" w:rsidRPr="00D207EA" w14:paraId="6B3A9B80"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3246325A" w14:textId="77777777" w:rsidR="00B20C02" w:rsidRPr="00D207EA" w:rsidRDefault="00B20C02" w:rsidP="00B20C02">
            <w:pPr>
              <w:spacing w:before="0" w:after="0"/>
              <w:ind w:firstLineChars="100" w:firstLine="160"/>
              <w:jc w:val="left"/>
              <w:rPr>
                <w:rFonts w:eastAsia="Times New Roman"/>
                <w:b/>
                <w:bCs/>
                <w:noProof/>
                <w:color w:val="000000"/>
                <w:sz w:val="16"/>
                <w:szCs w:val="16"/>
              </w:rPr>
            </w:pPr>
            <w:r w:rsidRPr="00D207EA">
              <w:rPr>
                <w:b/>
                <w:noProof/>
                <w:color w:val="000000"/>
                <w:sz w:val="16"/>
              </w:rPr>
              <w:t>TOTAL</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0663FD" w14:textId="77777777" w:rsidR="00B20C02" w:rsidRPr="00D207EA" w:rsidRDefault="00B20C02" w:rsidP="00B20C02">
            <w:pPr>
              <w:spacing w:before="0" w:after="0"/>
              <w:jc w:val="center"/>
              <w:rPr>
                <w:rFonts w:eastAsia="Times New Roman"/>
                <w:b/>
                <w:bCs/>
                <w:noProof/>
                <w:color w:val="000000"/>
                <w:sz w:val="16"/>
                <w:szCs w:val="16"/>
              </w:rPr>
            </w:pPr>
            <w:r w:rsidRPr="00D207EA">
              <w:rPr>
                <w:b/>
                <w:noProof/>
                <w:color w:val="000000"/>
                <w:sz w:val="16"/>
              </w:rPr>
              <w:t>57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36AAB6" w14:textId="77777777" w:rsidR="00B20C02" w:rsidRPr="00D207EA" w:rsidRDefault="00B20C02" w:rsidP="00B20C02">
            <w:pPr>
              <w:spacing w:before="0" w:after="0"/>
              <w:jc w:val="center"/>
              <w:rPr>
                <w:rFonts w:eastAsia="Times New Roman"/>
                <w:b/>
                <w:bCs/>
                <w:noProof/>
                <w:color w:val="000000"/>
                <w:sz w:val="16"/>
                <w:szCs w:val="16"/>
              </w:rPr>
            </w:pPr>
            <w:r w:rsidRPr="00D207EA">
              <w:rPr>
                <w:b/>
                <w:noProof/>
                <w:color w:val="000000"/>
                <w:sz w:val="16"/>
              </w:rPr>
              <w:t>57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400519" w14:textId="77777777" w:rsidR="00B20C02" w:rsidRPr="00D207EA" w:rsidRDefault="00B20C02" w:rsidP="00B20C02">
            <w:pPr>
              <w:spacing w:before="0" w:after="0"/>
              <w:jc w:val="center"/>
              <w:rPr>
                <w:rFonts w:eastAsia="Times New Roman"/>
                <w:b/>
                <w:bCs/>
                <w:noProof/>
                <w:color w:val="000000"/>
                <w:sz w:val="16"/>
                <w:szCs w:val="16"/>
              </w:rPr>
            </w:pPr>
            <w:r w:rsidRPr="00D207EA">
              <w:rPr>
                <w:b/>
                <w:noProof/>
                <w:color w:val="000000"/>
                <w:sz w:val="16"/>
              </w:rPr>
              <w:t>57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106905" w14:textId="77777777" w:rsidR="00B20C02" w:rsidRPr="00D207EA" w:rsidRDefault="00B20C02" w:rsidP="00B20C02">
            <w:pPr>
              <w:spacing w:before="0" w:after="0"/>
              <w:jc w:val="center"/>
              <w:rPr>
                <w:rFonts w:eastAsia="Times New Roman"/>
                <w:b/>
                <w:bCs/>
                <w:noProof/>
                <w:color w:val="000000"/>
                <w:sz w:val="16"/>
                <w:szCs w:val="16"/>
              </w:rPr>
            </w:pPr>
            <w:r w:rsidRPr="00D207EA">
              <w:rPr>
                <w:b/>
                <w:noProof/>
                <w:color w:val="000000"/>
                <w:sz w:val="16"/>
              </w:rPr>
              <w:t>57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99D5F4" w14:textId="77777777" w:rsidR="00B20C02" w:rsidRPr="00D207EA" w:rsidRDefault="00B20C02" w:rsidP="00B20C02">
            <w:pPr>
              <w:spacing w:before="0" w:after="0"/>
              <w:jc w:val="center"/>
              <w:rPr>
                <w:rFonts w:eastAsia="Times New Roman"/>
                <w:b/>
                <w:bCs/>
                <w:noProof/>
                <w:color w:val="000000"/>
                <w:sz w:val="16"/>
                <w:szCs w:val="16"/>
              </w:rPr>
            </w:pPr>
            <w:r w:rsidRPr="00D207EA">
              <w:rPr>
                <w:b/>
                <w:noProof/>
                <w:color w:val="000000"/>
                <w:sz w:val="16"/>
              </w:rPr>
              <w:t>57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1B1FC7C" w14:textId="77777777" w:rsidR="00B20C02" w:rsidRPr="00D207EA" w:rsidRDefault="00B20C02" w:rsidP="00B20C02">
            <w:pPr>
              <w:spacing w:before="0" w:after="0"/>
              <w:jc w:val="center"/>
              <w:rPr>
                <w:rFonts w:eastAsia="Times New Roman"/>
                <w:b/>
                <w:bCs/>
                <w:noProof/>
                <w:color w:val="000000"/>
                <w:sz w:val="16"/>
                <w:szCs w:val="16"/>
              </w:rPr>
            </w:pPr>
            <w:r w:rsidRPr="00D207EA">
              <w:rPr>
                <w:b/>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42FEAD9" w14:textId="77777777" w:rsidR="00B20C02" w:rsidRPr="00D207EA" w:rsidRDefault="00B20C02" w:rsidP="00B20C02">
            <w:pPr>
              <w:spacing w:before="0" w:after="0"/>
              <w:jc w:val="center"/>
              <w:rPr>
                <w:rFonts w:eastAsia="Times New Roman"/>
                <w:b/>
                <w:bCs/>
                <w:noProof/>
                <w:color w:val="000000"/>
                <w:sz w:val="16"/>
                <w:szCs w:val="16"/>
              </w:rPr>
            </w:pPr>
            <w:r w:rsidRPr="00D207EA">
              <w:rPr>
                <w:b/>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6D5183CF" w14:textId="77777777" w:rsidR="00B20C02" w:rsidRPr="00D207EA" w:rsidRDefault="00B20C02" w:rsidP="00B20C02">
            <w:pPr>
              <w:spacing w:before="0" w:after="0"/>
              <w:jc w:val="center"/>
              <w:rPr>
                <w:rFonts w:eastAsia="Times New Roman"/>
                <w:b/>
                <w:bCs/>
                <w:noProof/>
                <w:color w:val="000000"/>
                <w:sz w:val="16"/>
                <w:szCs w:val="16"/>
              </w:rPr>
            </w:pPr>
            <w:r w:rsidRPr="00D207EA">
              <w:rPr>
                <w:b/>
                <w:noProof/>
                <w:color w:val="000000"/>
                <w:sz w:val="16"/>
              </w:rPr>
              <w:t>0</w:t>
            </w:r>
          </w:p>
        </w:tc>
      </w:tr>
    </w:tbl>
    <w:p w14:paraId="426C6EB8" w14:textId="77777777" w:rsidR="004A489F" w:rsidRPr="00D207EA" w:rsidRDefault="004A489F" w:rsidP="004A489F">
      <w:pPr>
        <w:pStyle w:val="ManualHeading3"/>
        <w:rPr>
          <w:noProof/>
        </w:rPr>
      </w:pPr>
      <w:r w:rsidRPr="00D207EA">
        <w:rPr>
          <w:noProof/>
        </w:rPr>
        <w:t>3.2.4.3.</w:t>
      </w:r>
      <w:r w:rsidRPr="00D207EA">
        <w:rPr>
          <w:noProof/>
        </w:rPr>
        <w:tab/>
        <w:t>Total des besoins en ressources humaines</w:t>
      </w:r>
      <w:bookmarkEnd w:id="187"/>
      <w:bookmarkEnd w:id="188"/>
    </w:p>
    <w:tbl>
      <w:tblPr>
        <w:tblW w:w="5000" w:type="pct"/>
        <w:tblCellMar>
          <w:top w:w="15" w:type="dxa"/>
          <w:bottom w:w="15" w:type="dxa"/>
        </w:tblCellMar>
        <w:tblLook w:val="04A0" w:firstRow="1" w:lastRow="0" w:firstColumn="1" w:lastColumn="0" w:noHBand="0" w:noVBand="1"/>
      </w:tblPr>
      <w:tblGrid>
        <w:gridCol w:w="1296"/>
        <w:gridCol w:w="1988"/>
        <w:gridCol w:w="738"/>
        <w:gridCol w:w="738"/>
        <w:gridCol w:w="738"/>
        <w:gridCol w:w="738"/>
        <w:gridCol w:w="738"/>
        <w:gridCol w:w="738"/>
        <w:gridCol w:w="738"/>
        <w:gridCol w:w="839"/>
      </w:tblGrid>
      <w:tr w:rsidR="00DE2F09" w:rsidRPr="00D207EA" w14:paraId="6912F8E9" w14:textId="77777777" w:rsidTr="001646F7">
        <w:trPr>
          <w:trHeight w:val="480"/>
        </w:trPr>
        <w:tc>
          <w:tcPr>
            <w:tcW w:w="2032" w:type="pct"/>
            <w:gridSpan w:val="2"/>
            <w:vMerge w:val="restart"/>
            <w:tcBorders>
              <w:top w:val="single" w:sz="8" w:space="0" w:color="auto"/>
              <w:left w:val="single" w:sz="8" w:space="0" w:color="auto"/>
              <w:bottom w:val="nil"/>
              <w:right w:val="nil"/>
            </w:tcBorders>
            <w:vAlign w:val="center"/>
            <w:hideMark/>
          </w:tcPr>
          <w:p w14:paraId="54E04E00" w14:textId="77777777" w:rsidR="00DE2F09" w:rsidRPr="00D207EA" w:rsidRDefault="00DE2F09" w:rsidP="00DE2F09">
            <w:pPr>
              <w:spacing w:before="0" w:after="0"/>
              <w:jc w:val="center"/>
              <w:rPr>
                <w:rFonts w:eastAsia="Times New Roman"/>
                <w:b/>
                <w:bCs/>
                <w:noProof/>
                <w:color w:val="000000"/>
                <w:sz w:val="18"/>
                <w:szCs w:val="18"/>
              </w:rPr>
            </w:pPr>
            <w:bookmarkStart w:id="189" w:name="_Hlk167692843"/>
            <w:bookmarkEnd w:id="186"/>
            <w:r w:rsidRPr="00D207EA">
              <w:rPr>
                <w:b/>
                <w:noProof/>
                <w:color w:val="000000"/>
                <w:sz w:val="18"/>
              </w:rPr>
              <w:t>TOTAL</w:t>
            </w:r>
            <w:r w:rsidRPr="00D207EA">
              <w:rPr>
                <w:b/>
                <w:noProof/>
                <w:color w:val="000000"/>
                <w:sz w:val="18"/>
              </w:rPr>
              <w:br/>
              <w:t xml:space="preserve">CRÉDITS VOTÉS </w:t>
            </w:r>
            <w:r w:rsidRPr="00D207EA">
              <w:rPr>
                <w:b/>
                <w:noProof/>
                <w:color w:val="000000"/>
                <w:sz w:val="18"/>
              </w:rPr>
              <w:br/>
              <w:t>+</w:t>
            </w:r>
            <w:r w:rsidRPr="00D207EA">
              <w:rPr>
                <w:b/>
                <w:noProof/>
                <w:color w:val="000000"/>
                <w:sz w:val="18"/>
              </w:rPr>
              <w:br/>
              <w:t>RECETTES AFFECTÉES EXTERNES</w:t>
            </w:r>
          </w:p>
        </w:tc>
        <w:tc>
          <w:tcPr>
            <w:tcW w:w="366" w:type="pct"/>
            <w:tcBorders>
              <w:top w:val="single" w:sz="8" w:space="0" w:color="auto"/>
              <w:left w:val="nil"/>
              <w:bottom w:val="nil"/>
              <w:right w:val="single" w:sz="8" w:space="0" w:color="auto"/>
            </w:tcBorders>
            <w:vAlign w:val="center"/>
            <w:hideMark/>
          </w:tcPr>
          <w:p w14:paraId="3C1D48F1" w14:textId="77777777" w:rsidR="00DE2F09" w:rsidRPr="00D207EA" w:rsidRDefault="00DE2F09" w:rsidP="00DE2F09">
            <w:pPr>
              <w:spacing w:before="0" w:after="0"/>
              <w:jc w:val="center"/>
              <w:rPr>
                <w:rFonts w:eastAsia="Times New Roman"/>
                <w:noProof/>
                <w:color w:val="000000"/>
                <w:sz w:val="20"/>
                <w:szCs w:val="20"/>
              </w:rPr>
            </w:pPr>
            <w:r w:rsidRPr="00D207EA">
              <w:rPr>
                <w:noProof/>
                <w:color w:val="000000"/>
                <w:sz w:val="20"/>
              </w:rPr>
              <w:t>Année</w:t>
            </w:r>
          </w:p>
        </w:tc>
        <w:tc>
          <w:tcPr>
            <w:tcW w:w="366" w:type="pct"/>
            <w:tcBorders>
              <w:top w:val="single" w:sz="8" w:space="0" w:color="auto"/>
              <w:left w:val="nil"/>
              <w:bottom w:val="nil"/>
              <w:right w:val="single" w:sz="8" w:space="0" w:color="auto"/>
            </w:tcBorders>
            <w:vAlign w:val="center"/>
            <w:hideMark/>
          </w:tcPr>
          <w:p w14:paraId="4A841174" w14:textId="77777777" w:rsidR="00DE2F09" w:rsidRPr="00D207EA" w:rsidRDefault="00DE2F09" w:rsidP="00DE2F09">
            <w:pPr>
              <w:spacing w:before="0" w:after="0"/>
              <w:jc w:val="center"/>
              <w:rPr>
                <w:rFonts w:eastAsia="Times New Roman"/>
                <w:noProof/>
                <w:color w:val="000000"/>
                <w:sz w:val="20"/>
                <w:szCs w:val="20"/>
              </w:rPr>
            </w:pPr>
            <w:r w:rsidRPr="00D207EA">
              <w:rPr>
                <w:noProof/>
                <w:color w:val="000000"/>
                <w:sz w:val="20"/>
              </w:rPr>
              <w:t>Année</w:t>
            </w:r>
          </w:p>
        </w:tc>
        <w:tc>
          <w:tcPr>
            <w:tcW w:w="366" w:type="pct"/>
            <w:tcBorders>
              <w:top w:val="single" w:sz="8" w:space="0" w:color="auto"/>
              <w:left w:val="nil"/>
              <w:bottom w:val="nil"/>
              <w:right w:val="single" w:sz="8" w:space="0" w:color="auto"/>
            </w:tcBorders>
            <w:vAlign w:val="center"/>
            <w:hideMark/>
          </w:tcPr>
          <w:p w14:paraId="479E690E" w14:textId="77777777" w:rsidR="00DE2F09" w:rsidRPr="00D207EA" w:rsidRDefault="00DE2F09" w:rsidP="00DE2F09">
            <w:pPr>
              <w:spacing w:before="0" w:after="0"/>
              <w:jc w:val="center"/>
              <w:rPr>
                <w:rFonts w:eastAsia="Times New Roman"/>
                <w:noProof/>
                <w:color w:val="000000"/>
                <w:sz w:val="20"/>
                <w:szCs w:val="20"/>
              </w:rPr>
            </w:pPr>
            <w:r w:rsidRPr="00D207EA">
              <w:rPr>
                <w:noProof/>
                <w:color w:val="000000"/>
                <w:sz w:val="20"/>
              </w:rPr>
              <w:t>Année</w:t>
            </w:r>
          </w:p>
        </w:tc>
        <w:tc>
          <w:tcPr>
            <w:tcW w:w="374" w:type="pct"/>
            <w:tcBorders>
              <w:top w:val="single" w:sz="8" w:space="0" w:color="auto"/>
              <w:left w:val="nil"/>
              <w:bottom w:val="nil"/>
              <w:right w:val="single" w:sz="8" w:space="0" w:color="auto"/>
            </w:tcBorders>
            <w:vAlign w:val="center"/>
            <w:hideMark/>
          </w:tcPr>
          <w:p w14:paraId="233116BA" w14:textId="77777777" w:rsidR="00DE2F09" w:rsidRPr="00D207EA" w:rsidRDefault="00DE2F09" w:rsidP="00DE2F09">
            <w:pPr>
              <w:spacing w:before="0" w:after="0"/>
              <w:jc w:val="center"/>
              <w:rPr>
                <w:rFonts w:eastAsia="Times New Roman"/>
                <w:noProof/>
                <w:color w:val="000000"/>
                <w:sz w:val="20"/>
                <w:szCs w:val="20"/>
              </w:rPr>
            </w:pPr>
            <w:r w:rsidRPr="00D207EA">
              <w:rPr>
                <w:noProof/>
                <w:color w:val="000000"/>
                <w:sz w:val="20"/>
              </w:rPr>
              <w:t>Année</w:t>
            </w:r>
          </w:p>
        </w:tc>
        <w:tc>
          <w:tcPr>
            <w:tcW w:w="374" w:type="pct"/>
            <w:tcBorders>
              <w:top w:val="single" w:sz="8" w:space="0" w:color="auto"/>
              <w:left w:val="nil"/>
              <w:bottom w:val="nil"/>
              <w:right w:val="single" w:sz="8" w:space="0" w:color="auto"/>
            </w:tcBorders>
            <w:vAlign w:val="center"/>
            <w:hideMark/>
          </w:tcPr>
          <w:p w14:paraId="2D41B2D7" w14:textId="77777777" w:rsidR="00DE2F09" w:rsidRPr="00D207EA" w:rsidRDefault="00DE2F09" w:rsidP="00DE2F09">
            <w:pPr>
              <w:spacing w:before="0" w:after="0"/>
              <w:jc w:val="center"/>
              <w:rPr>
                <w:rFonts w:eastAsia="Times New Roman"/>
                <w:noProof/>
                <w:color w:val="000000"/>
                <w:sz w:val="20"/>
                <w:szCs w:val="20"/>
              </w:rPr>
            </w:pPr>
            <w:r w:rsidRPr="00D207EA">
              <w:rPr>
                <w:noProof/>
                <w:color w:val="000000"/>
                <w:sz w:val="20"/>
              </w:rPr>
              <w:t>Année</w:t>
            </w:r>
          </w:p>
        </w:tc>
        <w:tc>
          <w:tcPr>
            <w:tcW w:w="374" w:type="pct"/>
            <w:tcBorders>
              <w:top w:val="single" w:sz="8" w:space="0" w:color="auto"/>
              <w:left w:val="nil"/>
              <w:bottom w:val="nil"/>
              <w:right w:val="single" w:sz="8" w:space="0" w:color="auto"/>
            </w:tcBorders>
            <w:vAlign w:val="center"/>
            <w:hideMark/>
          </w:tcPr>
          <w:p w14:paraId="4C76B0B4" w14:textId="77777777" w:rsidR="00DE2F09" w:rsidRPr="00D207EA" w:rsidRDefault="00DE2F09" w:rsidP="00DE2F09">
            <w:pPr>
              <w:spacing w:before="0" w:after="0"/>
              <w:jc w:val="center"/>
              <w:rPr>
                <w:rFonts w:eastAsia="Times New Roman"/>
                <w:noProof/>
                <w:color w:val="000000"/>
                <w:sz w:val="20"/>
                <w:szCs w:val="20"/>
              </w:rPr>
            </w:pPr>
            <w:r w:rsidRPr="00D207EA">
              <w:rPr>
                <w:noProof/>
                <w:color w:val="000000"/>
                <w:sz w:val="20"/>
              </w:rPr>
              <w:t>Année</w:t>
            </w:r>
          </w:p>
        </w:tc>
        <w:tc>
          <w:tcPr>
            <w:tcW w:w="374" w:type="pct"/>
            <w:tcBorders>
              <w:top w:val="single" w:sz="8" w:space="0" w:color="auto"/>
              <w:left w:val="nil"/>
              <w:bottom w:val="nil"/>
              <w:right w:val="single" w:sz="8" w:space="0" w:color="auto"/>
            </w:tcBorders>
            <w:vAlign w:val="center"/>
            <w:hideMark/>
          </w:tcPr>
          <w:p w14:paraId="0065D7FD" w14:textId="77777777" w:rsidR="00DE2F09" w:rsidRPr="00D207EA" w:rsidRDefault="00DE2F09" w:rsidP="00DE2F09">
            <w:pPr>
              <w:spacing w:before="0" w:after="0"/>
              <w:jc w:val="center"/>
              <w:rPr>
                <w:rFonts w:eastAsia="Times New Roman"/>
                <w:noProof/>
                <w:color w:val="000000"/>
                <w:sz w:val="20"/>
                <w:szCs w:val="20"/>
              </w:rPr>
            </w:pPr>
            <w:r w:rsidRPr="00D207EA">
              <w:rPr>
                <w:noProof/>
                <w:color w:val="000000"/>
                <w:sz w:val="20"/>
              </w:rPr>
              <w:t>Année</w:t>
            </w:r>
          </w:p>
        </w:tc>
        <w:tc>
          <w:tcPr>
            <w:tcW w:w="374" w:type="pct"/>
            <w:tcBorders>
              <w:top w:val="single" w:sz="8" w:space="0" w:color="auto"/>
              <w:left w:val="nil"/>
              <w:bottom w:val="nil"/>
              <w:right w:val="single" w:sz="8" w:space="0" w:color="auto"/>
            </w:tcBorders>
            <w:vAlign w:val="center"/>
            <w:hideMark/>
          </w:tcPr>
          <w:p w14:paraId="5E1BBC48" w14:textId="77777777" w:rsidR="00DE2F09" w:rsidRPr="00D207EA" w:rsidRDefault="00DE2F09" w:rsidP="00DE2F09">
            <w:pPr>
              <w:spacing w:before="0" w:after="0"/>
              <w:jc w:val="center"/>
              <w:rPr>
                <w:rFonts w:eastAsia="Times New Roman"/>
                <w:noProof/>
                <w:color w:val="000000"/>
                <w:sz w:val="20"/>
                <w:szCs w:val="20"/>
              </w:rPr>
            </w:pPr>
            <w:r w:rsidRPr="00D207EA">
              <w:rPr>
                <w:noProof/>
                <w:color w:val="000000"/>
                <w:sz w:val="20"/>
              </w:rPr>
              <w:t>APRÈS</w:t>
            </w:r>
          </w:p>
        </w:tc>
      </w:tr>
      <w:tr w:rsidR="00DE2F09" w:rsidRPr="00D207EA" w14:paraId="5BF759CE" w14:textId="77777777" w:rsidTr="001646F7">
        <w:trPr>
          <w:trHeight w:val="480"/>
        </w:trPr>
        <w:tc>
          <w:tcPr>
            <w:tcW w:w="2032" w:type="pct"/>
            <w:gridSpan w:val="2"/>
            <w:vMerge/>
            <w:tcBorders>
              <w:top w:val="single" w:sz="8" w:space="0" w:color="auto"/>
              <w:left w:val="single" w:sz="8" w:space="0" w:color="auto"/>
              <w:bottom w:val="nil"/>
              <w:right w:val="nil"/>
            </w:tcBorders>
            <w:vAlign w:val="center"/>
            <w:hideMark/>
          </w:tcPr>
          <w:p w14:paraId="17E3FA4F" w14:textId="77777777" w:rsidR="00DE2F09" w:rsidRPr="00D207EA" w:rsidRDefault="00DE2F09" w:rsidP="00DE2F09">
            <w:pPr>
              <w:spacing w:before="0" w:after="0"/>
              <w:jc w:val="left"/>
              <w:rPr>
                <w:rFonts w:eastAsia="Times New Roman"/>
                <w:b/>
                <w:bCs/>
                <w:noProof/>
                <w:color w:val="000000"/>
                <w:sz w:val="18"/>
                <w:szCs w:val="18"/>
                <w:lang w:eastAsia="zh-CN"/>
              </w:rPr>
            </w:pPr>
          </w:p>
        </w:tc>
        <w:tc>
          <w:tcPr>
            <w:tcW w:w="366" w:type="pct"/>
            <w:tcBorders>
              <w:top w:val="nil"/>
              <w:left w:val="nil"/>
              <w:bottom w:val="single" w:sz="8" w:space="0" w:color="auto"/>
              <w:right w:val="single" w:sz="8" w:space="0" w:color="auto"/>
            </w:tcBorders>
            <w:vAlign w:val="center"/>
            <w:hideMark/>
          </w:tcPr>
          <w:p w14:paraId="20065F40" w14:textId="77777777" w:rsidR="00DE2F09" w:rsidRPr="00D207EA" w:rsidRDefault="00DE2F09" w:rsidP="00DE2F09">
            <w:pPr>
              <w:spacing w:before="0" w:after="0"/>
              <w:jc w:val="center"/>
              <w:rPr>
                <w:rFonts w:eastAsia="Times New Roman"/>
                <w:b/>
                <w:bCs/>
                <w:noProof/>
                <w:color w:val="000000"/>
                <w:sz w:val="16"/>
                <w:szCs w:val="16"/>
              </w:rPr>
            </w:pPr>
            <w:r w:rsidRPr="00D207EA">
              <w:rPr>
                <w:b/>
                <w:noProof/>
                <w:color w:val="000000"/>
                <w:sz w:val="16"/>
              </w:rPr>
              <w:t>2028</w:t>
            </w:r>
          </w:p>
        </w:tc>
        <w:tc>
          <w:tcPr>
            <w:tcW w:w="366" w:type="pct"/>
            <w:tcBorders>
              <w:top w:val="nil"/>
              <w:left w:val="nil"/>
              <w:bottom w:val="single" w:sz="8" w:space="0" w:color="auto"/>
              <w:right w:val="single" w:sz="8" w:space="0" w:color="auto"/>
            </w:tcBorders>
            <w:vAlign w:val="center"/>
            <w:hideMark/>
          </w:tcPr>
          <w:p w14:paraId="2F80D6B8" w14:textId="77777777" w:rsidR="00DE2F09" w:rsidRPr="00D207EA" w:rsidRDefault="00DE2F09" w:rsidP="00DE2F09">
            <w:pPr>
              <w:spacing w:before="0" w:after="0"/>
              <w:jc w:val="center"/>
              <w:rPr>
                <w:rFonts w:eastAsia="Times New Roman"/>
                <w:b/>
                <w:bCs/>
                <w:noProof/>
                <w:color w:val="000000"/>
                <w:sz w:val="20"/>
                <w:szCs w:val="20"/>
              </w:rPr>
            </w:pPr>
            <w:r w:rsidRPr="00D207EA">
              <w:rPr>
                <w:b/>
                <w:noProof/>
                <w:color w:val="000000"/>
                <w:sz w:val="20"/>
              </w:rPr>
              <w:t>2029</w:t>
            </w:r>
          </w:p>
        </w:tc>
        <w:tc>
          <w:tcPr>
            <w:tcW w:w="366" w:type="pct"/>
            <w:tcBorders>
              <w:top w:val="nil"/>
              <w:left w:val="nil"/>
              <w:bottom w:val="single" w:sz="8" w:space="0" w:color="auto"/>
              <w:right w:val="single" w:sz="8" w:space="0" w:color="auto"/>
            </w:tcBorders>
            <w:vAlign w:val="center"/>
            <w:hideMark/>
          </w:tcPr>
          <w:p w14:paraId="7CBA1AB8" w14:textId="77777777" w:rsidR="00DE2F09" w:rsidRPr="00D207EA" w:rsidRDefault="00DE2F09" w:rsidP="00DE2F09">
            <w:pPr>
              <w:spacing w:before="0" w:after="0"/>
              <w:jc w:val="center"/>
              <w:rPr>
                <w:rFonts w:eastAsia="Times New Roman"/>
                <w:b/>
                <w:bCs/>
                <w:noProof/>
                <w:color w:val="000000"/>
                <w:sz w:val="20"/>
                <w:szCs w:val="20"/>
              </w:rPr>
            </w:pPr>
            <w:r w:rsidRPr="00D207EA">
              <w:rPr>
                <w:b/>
                <w:noProof/>
                <w:color w:val="000000"/>
                <w:sz w:val="20"/>
              </w:rPr>
              <w:t>2030</w:t>
            </w:r>
          </w:p>
        </w:tc>
        <w:tc>
          <w:tcPr>
            <w:tcW w:w="374" w:type="pct"/>
            <w:tcBorders>
              <w:top w:val="nil"/>
              <w:left w:val="nil"/>
              <w:bottom w:val="single" w:sz="8" w:space="0" w:color="auto"/>
              <w:right w:val="single" w:sz="8" w:space="0" w:color="auto"/>
            </w:tcBorders>
            <w:vAlign w:val="center"/>
            <w:hideMark/>
          </w:tcPr>
          <w:p w14:paraId="0AA008CC" w14:textId="77777777" w:rsidR="00DE2F09" w:rsidRPr="00D207EA" w:rsidRDefault="00DE2F09" w:rsidP="00DE2F09">
            <w:pPr>
              <w:spacing w:before="0" w:after="0"/>
              <w:jc w:val="center"/>
              <w:rPr>
                <w:rFonts w:eastAsia="Times New Roman"/>
                <w:b/>
                <w:bCs/>
                <w:noProof/>
                <w:color w:val="000000"/>
                <w:sz w:val="20"/>
                <w:szCs w:val="20"/>
              </w:rPr>
            </w:pPr>
            <w:r w:rsidRPr="00D207EA">
              <w:rPr>
                <w:b/>
                <w:noProof/>
                <w:color w:val="000000"/>
                <w:sz w:val="20"/>
              </w:rPr>
              <w:t>2031</w:t>
            </w:r>
          </w:p>
        </w:tc>
        <w:tc>
          <w:tcPr>
            <w:tcW w:w="374" w:type="pct"/>
            <w:tcBorders>
              <w:top w:val="nil"/>
              <w:left w:val="nil"/>
              <w:bottom w:val="single" w:sz="8" w:space="0" w:color="auto"/>
              <w:right w:val="single" w:sz="8" w:space="0" w:color="auto"/>
            </w:tcBorders>
            <w:vAlign w:val="center"/>
            <w:hideMark/>
          </w:tcPr>
          <w:p w14:paraId="387E28A4" w14:textId="77777777" w:rsidR="00DE2F09" w:rsidRPr="00D207EA" w:rsidRDefault="00DE2F09" w:rsidP="00DE2F09">
            <w:pPr>
              <w:spacing w:before="0" w:after="0"/>
              <w:jc w:val="center"/>
              <w:rPr>
                <w:rFonts w:eastAsia="Times New Roman"/>
                <w:b/>
                <w:bCs/>
                <w:noProof/>
                <w:color w:val="000000"/>
                <w:sz w:val="20"/>
                <w:szCs w:val="20"/>
              </w:rPr>
            </w:pPr>
            <w:r w:rsidRPr="00D207EA">
              <w:rPr>
                <w:b/>
                <w:noProof/>
                <w:color w:val="000000"/>
                <w:sz w:val="20"/>
              </w:rPr>
              <w:t>2032</w:t>
            </w:r>
          </w:p>
        </w:tc>
        <w:tc>
          <w:tcPr>
            <w:tcW w:w="374" w:type="pct"/>
            <w:tcBorders>
              <w:top w:val="nil"/>
              <w:left w:val="nil"/>
              <w:bottom w:val="single" w:sz="8" w:space="0" w:color="auto"/>
              <w:right w:val="single" w:sz="8" w:space="0" w:color="auto"/>
            </w:tcBorders>
            <w:vAlign w:val="center"/>
            <w:hideMark/>
          </w:tcPr>
          <w:p w14:paraId="5AE9EDB3" w14:textId="77777777" w:rsidR="00DE2F09" w:rsidRPr="00D207EA" w:rsidRDefault="00DE2F09" w:rsidP="00DE2F09">
            <w:pPr>
              <w:spacing w:before="0" w:after="0"/>
              <w:jc w:val="center"/>
              <w:rPr>
                <w:rFonts w:eastAsia="Times New Roman"/>
                <w:b/>
                <w:bCs/>
                <w:noProof/>
                <w:color w:val="000000"/>
                <w:sz w:val="20"/>
                <w:szCs w:val="20"/>
              </w:rPr>
            </w:pPr>
            <w:r w:rsidRPr="00D207EA">
              <w:rPr>
                <w:b/>
                <w:noProof/>
                <w:color w:val="000000"/>
                <w:sz w:val="20"/>
              </w:rPr>
              <w:t>2033</w:t>
            </w:r>
          </w:p>
        </w:tc>
        <w:tc>
          <w:tcPr>
            <w:tcW w:w="374" w:type="pct"/>
            <w:tcBorders>
              <w:top w:val="nil"/>
              <w:left w:val="nil"/>
              <w:bottom w:val="single" w:sz="8" w:space="0" w:color="auto"/>
              <w:right w:val="single" w:sz="8" w:space="0" w:color="auto"/>
            </w:tcBorders>
            <w:vAlign w:val="center"/>
            <w:hideMark/>
          </w:tcPr>
          <w:p w14:paraId="5B50C8DD" w14:textId="77777777" w:rsidR="00DE2F09" w:rsidRPr="00D207EA" w:rsidRDefault="00DE2F09" w:rsidP="00DE2F09">
            <w:pPr>
              <w:spacing w:before="0" w:after="0"/>
              <w:jc w:val="center"/>
              <w:rPr>
                <w:rFonts w:eastAsia="Times New Roman"/>
                <w:b/>
                <w:bCs/>
                <w:noProof/>
                <w:color w:val="000000"/>
                <w:sz w:val="20"/>
                <w:szCs w:val="20"/>
              </w:rPr>
            </w:pPr>
            <w:r w:rsidRPr="00D207EA">
              <w:rPr>
                <w:b/>
                <w:noProof/>
                <w:color w:val="000000"/>
                <w:sz w:val="20"/>
              </w:rPr>
              <w:t>2034</w:t>
            </w:r>
          </w:p>
        </w:tc>
        <w:tc>
          <w:tcPr>
            <w:tcW w:w="374" w:type="pct"/>
            <w:tcBorders>
              <w:top w:val="nil"/>
              <w:left w:val="nil"/>
              <w:bottom w:val="single" w:sz="8" w:space="0" w:color="auto"/>
              <w:right w:val="single" w:sz="8" w:space="0" w:color="auto"/>
            </w:tcBorders>
            <w:vAlign w:val="center"/>
            <w:hideMark/>
          </w:tcPr>
          <w:p w14:paraId="4536A226" w14:textId="77777777" w:rsidR="00DE2F09" w:rsidRPr="00D207EA" w:rsidRDefault="00DE2F09" w:rsidP="00DE2F09">
            <w:pPr>
              <w:spacing w:before="0" w:after="0"/>
              <w:jc w:val="center"/>
              <w:rPr>
                <w:rFonts w:eastAsia="Times New Roman"/>
                <w:b/>
                <w:bCs/>
                <w:noProof/>
                <w:color w:val="000000"/>
                <w:sz w:val="20"/>
                <w:szCs w:val="20"/>
              </w:rPr>
            </w:pPr>
            <w:r w:rsidRPr="00D207EA">
              <w:rPr>
                <w:b/>
                <w:noProof/>
                <w:color w:val="000000"/>
                <w:sz w:val="20"/>
              </w:rPr>
              <w:t>2034</w:t>
            </w:r>
          </w:p>
        </w:tc>
      </w:tr>
      <w:tr w:rsidR="00DE2F09" w:rsidRPr="00D207EA" w14:paraId="63509FC9" w14:textId="77777777" w:rsidTr="001646F7">
        <w:trPr>
          <w:trHeight w:val="300"/>
        </w:trPr>
        <w:tc>
          <w:tcPr>
            <w:tcW w:w="4626" w:type="pct"/>
            <w:gridSpan w:val="9"/>
            <w:tcBorders>
              <w:top w:val="single" w:sz="8" w:space="0" w:color="auto"/>
              <w:left w:val="single" w:sz="8" w:space="0" w:color="auto"/>
              <w:bottom w:val="single" w:sz="8" w:space="0" w:color="auto"/>
              <w:right w:val="nil"/>
            </w:tcBorders>
            <w:vAlign w:val="center"/>
            <w:hideMark/>
          </w:tcPr>
          <w:p w14:paraId="3B3D110C" w14:textId="77777777" w:rsidR="00DE2F09" w:rsidRPr="00D207EA" w:rsidRDefault="00DE2F09" w:rsidP="00DE2F09">
            <w:pPr>
              <w:spacing w:before="0" w:after="0"/>
              <w:jc w:val="left"/>
              <w:rPr>
                <w:rFonts w:ascii="Wingdings" w:eastAsia="Times New Roman" w:hAnsi="Wingdings" w:cs="Calibri"/>
                <w:b/>
                <w:bCs/>
                <w:noProof/>
                <w:color w:val="000000"/>
                <w:sz w:val="16"/>
                <w:szCs w:val="16"/>
              </w:rPr>
            </w:pPr>
            <w:r w:rsidRPr="00D207EA">
              <w:rPr>
                <w:rFonts w:ascii="Wingdings" w:hAnsi="Wingdings"/>
                <w:b/>
                <w:noProof/>
                <w:color w:val="000000"/>
                <w:sz w:val="16"/>
              </w:rPr>
              <w:t></w:t>
            </w:r>
            <w:r w:rsidRPr="00D207EA">
              <w:rPr>
                <w:b/>
                <w:noProof/>
                <w:color w:val="000000"/>
                <w:sz w:val="16"/>
              </w:rPr>
              <w:t xml:space="preserve"> Emplois du tableau des effectifs (fonctionnaires et agents temporaires)</w:t>
            </w:r>
          </w:p>
        </w:tc>
        <w:tc>
          <w:tcPr>
            <w:tcW w:w="374" w:type="pct"/>
            <w:tcBorders>
              <w:top w:val="single" w:sz="8" w:space="0" w:color="auto"/>
              <w:left w:val="nil"/>
              <w:bottom w:val="single" w:sz="8" w:space="0" w:color="auto"/>
              <w:right w:val="nil"/>
            </w:tcBorders>
            <w:vAlign w:val="center"/>
            <w:hideMark/>
          </w:tcPr>
          <w:p w14:paraId="30C3D1B3" w14:textId="77777777" w:rsidR="00DE2F09" w:rsidRPr="00D207EA" w:rsidRDefault="00DE2F09" w:rsidP="00DE2F09">
            <w:pPr>
              <w:spacing w:before="0" w:after="0"/>
              <w:jc w:val="left"/>
              <w:rPr>
                <w:rFonts w:ascii="Wingdings" w:eastAsia="Times New Roman" w:hAnsi="Wingdings" w:cs="Calibri"/>
                <w:b/>
                <w:bCs/>
                <w:noProof/>
                <w:color w:val="000000"/>
                <w:sz w:val="16"/>
                <w:szCs w:val="16"/>
                <w:lang w:eastAsia="zh-CN"/>
              </w:rPr>
            </w:pPr>
          </w:p>
        </w:tc>
      </w:tr>
      <w:tr w:rsidR="001646F7" w:rsidRPr="00D207EA" w14:paraId="04E39B71"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270EC11B" w14:textId="77777777" w:rsidR="00DE2F09" w:rsidRPr="00D207EA" w:rsidRDefault="00DE2F09" w:rsidP="00DE2F09">
            <w:pPr>
              <w:spacing w:before="0" w:after="0"/>
              <w:ind w:firstLineChars="100" w:firstLine="160"/>
              <w:jc w:val="left"/>
              <w:rPr>
                <w:rFonts w:eastAsia="Times New Roman"/>
                <w:noProof/>
                <w:color w:val="000000"/>
                <w:sz w:val="16"/>
                <w:szCs w:val="16"/>
              </w:rPr>
            </w:pPr>
            <w:r w:rsidRPr="00D207EA">
              <w:rPr>
                <w:noProof/>
                <w:color w:val="000000"/>
                <w:sz w:val="16"/>
              </w:rPr>
              <w:t>20 01 02 01</w:t>
            </w:r>
            <w:r w:rsidRPr="00D207EA">
              <w:rPr>
                <w:rFonts w:ascii="Arial Narrow" w:hAnsi="Arial Narrow"/>
                <w:noProof/>
                <w:color w:val="000000"/>
                <w:sz w:val="20"/>
              </w:rPr>
              <w:t xml:space="preserve"> </w:t>
            </w:r>
            <w:r w:rsidRPr="00D207EA">
              <w:rPr>
                <w:noProof/>
                <w:color w:val="000000"/>
                <w:sz w:val="16"/>
              </w:rPr>
              <w:t>(Au siège et dans les bureaux de représentation de la Commission)</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C12EF8A"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2180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7C6CF4"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2180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6CB52B"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6EF515"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BD04E4"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77165A2"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454EAA4"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2180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58BA79E8"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2180</w:t>
            </w:r>
          </w:p>
        </w:tc>
      </w:tr>
      <w:tr w:rsidR="001646F7" w:rsidRPr="00D207EA" w14:paraId="654CA74E"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2ACEEF94" w14:textId="77777777" w:rsidR="00DE2F09" w:rsidRPr="00D207EA" w:rsidRDefault="00DE2F09" w:rsidP="00DE2F09">
            <w:pPr>
              <w:spacing w:before="0" w:after="0"/>
              <w:ind w:firstLineChars="100" w:firstLine="160"/>
              <w:jc w:val="left"/>
              <w:rPr>
                <w:rFonts w:eastAsia="Times New Roman"/>
                <w:noProof/>
                <w:color w:val="000000"/>
                <w:sz w:val="16"/>
                <w:szCs w:val="16"/>
              </w:rPr>
            </w:pPr>
            <w:r w:rsidRPr="00D207EA">
              <w:rPr>
                <w:noProof/>
                <w:color w:val="000000"/>
                <w:sz w:val="16"/>
              </w:rPr>
              <w:t>20 01 02 03 (Délégations de l’UE)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C9DD13"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3319B6"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96E45F6"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67EEF52"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AFE76C"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4DCA6B"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C5B167A"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4D7A3B95"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r>
      <w:tr w:rsidR="001646F7" w:rsidRPr="00D207EA" w14:paraId="07635250"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8BB55EB" w14:textId="77777777" w:rsidR="00DE2F09" w:rsidRPr="00D207EA" w:rsidRDefault="00DE2F09" w:rsidP="00DE2F09">
            <w:pPr>
              <w:spacing w:before="0" w:after="0"/>
              <w:ind w:firstLineChars="100" w:firstLine="160"/>
              <w:jc w:val="left"/>
              <w:rPr>
                <w:rFonts w:eastAsia="Times New Roman"/>
                <w:noProof/>
                <w:color w:val="000000"/>
                <w:sz w:val="16"/>
                <w:szCs w:val="16"/>
              </w:rPr>
            </w:pPr>
            <w:r w:rsidRPr="00D207EA">
              <w:rPr>
                <w:noProof/>
                <w:color w:val="000000"/>
                <w:sz w:val="16"/>
              </w:rPr>
              <w:t>01 01 01 01</w:t>
            </w:r>
            <w:r w:rsidRPr="00D207EA">
              <w:rPr>
                <w:rFonts w:ascii="Arial Narrow" w:hAnsi="Arial Narrow"/>
                <w:noProof/>
                <w:color w:val="000000"/>
                <w:sz w:val="20"/>
              </w:rPr>
              <w:t xml:space="preserve"> </w:t>
            </w:r>
            <w:r w:rsidRPr="00D207EA">
              <w:rPr>
                <w:noProof/>
                <w:color w:val="000000"/>
                <w:sz w:val="16"/>
              </w:rPr>
              <w:t xml:space="preserve"> (Recherche indirecte)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DBF881"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D9486C"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4BC5617"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3F77C4"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E251A6"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633707"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42ECB3"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D7F4ABF"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r>
      <w:tr w:rsidR="001646F7" w:rsidRPr="00D207EA" w14:paraId="57A455FA"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08598123" w14:textId="77777777" w:rsidR="00DE2F09" w:rsidRPr="00D207EA" w:rsidRDefault="00DE2F09" w:rsidP="00DE2F09">
            <w:pPr>
              <w:spacing w:before="0" w:after="0"/>
              <w:ind w:firstLineChars="100" w:firstLine="160"/>
              <w:jc w:val="left"/>
              <w:rPr>
                <w:rFonts w:eastAsia="Times New Roman"/>
                <w:noProof/>
                <w:color w:val="000000"/>
                <w:sz w:val="16"/>
                <w:szCs w:val="16"/>
              </w:rPr>
            </w:pPr>
            <w:r w:rsidRPr="00D207EA">
              <w:rPr>
                <w:noProof/>
                <w:color w:val="000000"/>
                <w:sz w:val="16"/>
              </w:rPr>
              <w:t>01 01 01 11 (Recherche directe)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CBBC66C"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B80B9A"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1A20238"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F3BC7C8"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36C084A"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86F2E0"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2035BE"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4BAA6F9"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r>
      <w:tr w:rsidR="001646F7" w:rsidRPr="00D207EA" w14:paraId="0C8B8933"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56834883" w14:textId="77777777" w:rsidR="00DE2F09" w:rsidRPr="00D207EA" w:rsidRDefault="00DE2F09" w:rsidP="00DE2F09">
            <w:pPr>
              <w:spacing w:before="0" w:after="0"/>
              <w:ind w:firstLineChars="100" w:firstLine="160"/>
              <w:jc w:val="left"/>
              <w:rPr>
                <w:rFonts w:eastAsia="Times New Roman"/>
                <w:noProof/>
                <w:color w:val="000000"/>
                <w:sz w:val="16"/>
                <w:szCs w:val="16"/>
              </w:rPr>
            </w:pPr>
            <w:r w:rsidRPr="00D207EA">
              <w:rPr>
                <w:noProof/>
                <w:color w:val="000000"/>
                <w:sz w:val="16"/>
              </w:rPr>
              <w:t>Autres lignes budgétaires (à préciser)</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581AAA0"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A7B7837"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BFC9BF"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AB7037"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8FCC0ED"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38220DC"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2336CD1"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49E2600C"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r>
      <w:tr w:rsidR="00DE2F09" w:rsidRPr="00D207EA" w14:paraId="19B43AB6" w14:textId="77777777" w:rsidTr="001646F7">
        <w:trPr>
          <w:trHeight w:val="300"/>
        </w:trPr>
        <w:tc>
          <w:tcPr>
            <w:tcW w:w="4626" w:type="pct"/>
            <w:gridSpan w:val="9"/>
            <w:tcBorders>
              <w:top w:val="single" w:sz="8" w:space="0" w:color="auto"/>
              <w:left w:val="single" w:sz="8" w:space="0" w:color="auto"/>
              <w:bottom w:val="single" w:sz="8" w:space="0" w:color="auto"/>
              <w:right w:val="nil"/>
            </w:tcBorders>
            <w:vAlign w:val="center"/>
            <w:hideMark/>
          </w:tcPr>
          <w:p w14:paraId="601B1F06" w14:textId="77777777" w:rsidR="00DE2F09" w:rsidRPr="00D207EA" w:rsidRDefault="00DE2F09" w:rsidP="00DE2F09">
            <w:pPr>
              <w:spacing w:before="0" w:after="0"/>
              <w:jc w:val="left"/>
              <w:rPr>
                <w:rFonts w:ascii="Wingdings" w:eastAsia="Times New Roman" w:hAnsi="Wingdings" w:cs="Calibri"/>
                <w:b/>
                <w:bCs/>
                <w:noProof/>
                <w:color w:val="000000"/>
                <w:sz w:val="16"/>
                <w:szCs w:val="16"/>
              </w:rPr>
            </w:pPr>
            <w:r w:rsidRPr="00D207EA">
              <w:rPr>
                <w:rFonts w:ascii="Calibri" w:hAnsi="Calibri"/>
                <w:b/>
                <w:noProof/>
                <w:color w:val="000000"/>
                <w:sz w:val="16"/>
              </w:rPr>
              <w:t>•</w:t>
            </w:r>
            <w:r w:rsidRPr="00D207EA">
              <w:rPr>
                <w:b/>
                <w:noProof/>
                <w:color w:val="000000"/>
                <w:sz w:val="16"/>
              </w:rPr>
              <w:t xml:space="preserve"> Personnel externe (en équivalents temps plein: ETP)</w:t>
            </w:r>
          </w:p>
        </w:tc>
        <w:tc>
          <w:tcPr>
            <w:tcW w:w="374" w:type="pct"/>
            <w:tcBorders>
              <w:top w:val="single" w:sz="8" w:space="0" w:color="auto"/>
              <w:left w:val="nil"/>
              <w:bottom w:val="single" w:sz="8" w:space="0" w:color="auto"/>
              <w:right w:val="nil"/>
            </w:tcBorders>
            <w:vAlign w:val="center"/>
            <w:hideMark/>
          </w:tcPr>
          <w:p w14:paraId="0B821D8C" w14:textId="77777777" w:rsidR="00DE2F09" w:rsidRPr="00D207EA" w:rsidRDefault="00DE2F09" w:rsidP="00DE2F09">
            <w:pPr>
              <w:spacing w:before="0" w:after="0"/>
              <w:jc w:val="left"/>
              <w:rPr>
                <w:rFonts w:ascii="Wingdings" w:eastAsia="Times New Roman" w:hAnsi="Wingdings" w:cs="Calibri"/>
                <w:b/>
                <w:bCs/>
                <w:noProof/>
                <w:color w:val="000000"/>
                <w:sz w:val="16"/>
                <w:szCs w:val="16"/>
                <w:lang w:eastAsia="zh-CN"/>
              </w:rPr>
            </w:pPr>
          </w:p>
        </w:tc>
      </w:tr>
      <w:tr w:rsidR="001646F7" w:rsidRPr="00D207EA" w14:paraId="37CC1BC2"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323D0A18" w14:textId="77777777" w:rsidR="00DE2F09" w:rsidRPr="00D207EA" w:rsidRDefault="00DE2F09" w:rsidP="00DE2F09">
            <w:pPr>
              <w:spacing w:before="0" w:after="0"/>
              <w:ind w:firstLineChars="100" w:firstLine="160"/>
              <w:jc w:val="left"/>
              <w:rPr>
                <w:rFonts w:eastAsia="Times New Roman"/>
                <w:noProof/>
                <w:color w:val="000000"/>
                <w:sz w:val="16"/>
                <w:szCs w:val="16"/>
              </w:rPr>
            </w:pPr>
            <w:r w:rsidRPr="00D207EA">
              <w:rPr>
                <w:noProof/>
                <w:color w:val="000000"/>
                <w:sz w:val="16"/>
              </w:rPr>
              <w:t>20 02 01</w:t>
            </w:r>
            <w:r w:rsidRPr="00D207EA">
              <w:rPr>
                <w:rFonts w:ascii="Arial Narrow" w:hAnsi="Arial Narrow"/>
                <w:noProof/>
                <w:color w:val="000000"/>
                <w:sz w:val="20"/>
              </w:rPr>
              <w:t xml:space="preserve"> </w:t>
            </w:r>
            <w:r w:rsidRPr="00D207EA">
              <w:rPr>
                <w:noProof/>
                <w:color w:val="000000"/>
                <w:sz w:val="16"/>
              </w:rPr>
              <w:t>(AC, END de l’«enveloppe globale»)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B91A7A"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250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A399967"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250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EBEF183"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441A6A"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5B616AC"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59086DF"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492F04F"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250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419AB44"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250</w:t>
            </w:r>
          </w:p>
        </w:tc>
      </w:tr>
      <w:tr w:rsidR="001646F7" w:rsidRPr="00D207EA" w14:paraId="68BB9CEB"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2C51A2F7" w14:textId="77777777" w:rsidR="00DE2F09" w:rsidRPr="00D207EA" w:rsidRDefault="00DE2F09" w:rsidP="00DE2F09">
            <w:pPr>
              <w:spacing w:before="0" w:after="0"/>
              <w:ind w:firstLineChars="100" w:firstLine="160"/>
              <w:jc w:val="left"/>
              <w:rPr>
                <w:rFonts w:eastAsia="Times New Roman"/>
                <w:noProof/>
                <w:color w:val="000000"/>
                <w:sz w:val="16"/>
                <w:szCs w:val="16"/>
              </w:rPr>
            </w:pPr>
            <w:r w:rsidRPr="00D207EA">
              <w:rPr>
                <w:noProof/>
                <w:color w:val="000000"/>
                <w:sz w:val="16"/>
              </w:rPr>
              <w:t>20 02 03 (AC, AL, END et JPD dans les délégations de l’UE)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E5AE21"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055FE01"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FE5A49"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DA67E7"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2D0EA66"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3BD3109"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0EE1EA"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31FD97F7"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r>
      <w:tr w:rsidR="001646F7" w:rsidRPr="00D207EA" w14:paraId="584A199D" w14:textId="77777777" w:rsidTr="001646F7">
        <w:trPr>
          <w:trHeight w:val="315"/>
        </w:trPr>
        <w:tc>
          <w:tcPr>
            <w:tcW w:w="569" w:type="pct"/>
            <w:vMerge w:val="restart"/>
            <w:tcBorders>
              <w:top w:val="single" w:sz="8" w:space="0" w:color="auto"/>
              <w:left w:val="single" w:sz="8" w:space="0" w:color="auto"/>
              <w:bottom w:val="single" w:sz="8" w:space="0" w:color="auto"/>
              <w:right w:val="single" w:sz="8" w:space="0" w:color="auto"/>
            </w:tcBorders>
            <w:vAlign w:val="center"/>
            <w:hideMark/>
          </w:tcPr>
          <w:p w14:paraId="007FDA70"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Ligne d’appui administratif</w:t>
            </w:r>
            <w:r w:rsidRPr="00D207EA">
              <w:rPr>
                <w:noProof/>
                <w:color w:val="000000"/>
                <w:sz w:val="16"/>
              </w:rPr>
              <w:br/>
              <w:t>[XX.01.YY.YY] [2]</w:t>
            </w:r>
          </w:p>
        </w:tc>
        <w:tc>
          <w:tcPr>
            <w:tcW w:w="1463" w:type="pct"/>
            <w:tcBorders>
              <w:top w:val="single" w:sz="8" w:space="0" w:color="auto"/>
              <w:left w:val="single" w:sz="8" w:space="0" w:color="auto"/>
              <w:bottom w:val="single" w:sz="8" w:space="0" w:color="auto"/>
              <w:right w:val="single" w:sz="8" w:space="0" w:color="auto"/>
            </w:tcBorders>
            <w:vAlign w:val="center"/>
            <w:hideMark/>
          </w:tcPr>
          <w:p w14:paraId="43EB9FDA" w14:textId="77777777" w:rsidR="00DE2F09" w:rsidRPr="00D207EA" w:rsidRDefault="00DE2F09" w:rsidP="00DE2F09">
            <w:pPr>
              <w:spacing w:before="0" w:after="0"/>
              <w:ind w:firstLineChars="100" w:firstLine="160"/>
              <w:jc w:val="left"/>
              <w:rPr>
                <w:rFonts w:eastAsia="Times New Roman"/>
                <w:noProof/>
                <w:color w:val="000000"/>
                <w:sz w:val="16"/>
                <w:szCs w:val="16"/>
              </w:rPr>
            </w:pPr>
            <w:r w:rsidRPr="00D207EA">
              <w:rPr>
                <w:noProof/>
                <w:color w:val="000000"/>
                <w:sz w:val="16"/>
              </w:rPr>
              <w:t>- au siège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1604BA2"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287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6425833"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287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A3E67E7"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287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724FEC8"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287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4F0DC8"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287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0D0844D"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230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706539"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230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04E82117"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230</w:t>
            </w:r>
          </w:p>
        </w:tc>
      </w:tr>
      <w:tr w:rsidR="001646F7" w:rsidRPr="00D207EA" w14:paraId="183F891D" w14:textId="77777777" w:rsidTr="001646F7">
        <w:trPr>
          <w:trHeight w:val="315"/>
        </w:trPr>
        <w:tc>
          <w:tcPr>
            <w:tcW w:w="569" w:type="pct"/>
            <w:vMerge/>
            <w:tcBorders>
              <w:top w:val="single" w:sz="8" w:space="0" w:color="auto"/>
              <w:left w:val="single" w:sz="8" w:space="0" w:color="auto"/>
              <w:bottom w:val="single" w:sz="8" w:space="0" w:color="auto"/>
              <w:right w:val="single" w:sz="8" w:space="0" w:color="auto"/>
            </w:tcBorders>
            <w:vAlign w:val="center"/>
            <w:hideMark/>
          </w:tcPr>
          <w:p w14:paraId="2DC586F6" w14:textId="77777777" w:rsidR="00DE2F09" w:rsidRPr="00D207EA" w:rsidRDefault="00DE2F09" w:rsidP="00DE2F09">
            <w:pPr>
              <w:spacing w:before="0" w:after="0"/>
              <w:jc w:val="left"/>
              <w:rPr>
                <w:rFonts w:eastAsia="Times New Roman"/>
                <w:noProof/>
                <w:color w:val="000000"/>
                <w:sz w:val="16"/>
                <w:szCs w:val="16"/>
                <w:lang w:eastAsia="zh-CN"/>
              </w:rPr>
            </w:pPr>
          </w:p>
        </w:tc>
        <w:tc>
          <w:tcPr>
            <w:tcW w:w="1463" w:type="pct"/>
            <w:tcBorders>
              <w:top w:val="single" w:sz="8" w:space="0" w:color="auto"/>
              <w:left w:val="single" w:sz="8" w:space="0" w:color="auto"/>
              <w:bottom w:val="single" w:sz="8" w:space="0" w:color="auto"/>
              <w:right w:val="single" w:sz="8" w:space="0" w:color="auto"/>
            </w:tcBorders>
            <w:vAlign w:val="center"/>
            <w:hideMark/>
          </w:tcPr>
          <w:p w14:paraId="0DD74690" w14:textId="65DF7CA1" w:rsidR="00DE2F09" w:rsidRPr="00D207EA" w:rsidRDefault="00DE2F09" w:rsidP="00DE2F09">
            <w:pPr>
              <w:spacing w:before="0" w:after="0"/>
              <w:ind w:firstLineChars="100" w:firstLine="160"/>
              <w:jc w:val="left"/>
              <w:rPr>
                <w:rFonts w:eastAsia="Times New Roman"/>
                <w:noProof/>
                <w:color w:val="000000"/>
                <w:sz w:val="16"/>
                <w:szCs w:val="16"/>
              </w:rPr>
            </w:pPr>
            <w:r w:rsidRPr="00D207EA">
              <w:rPr>
                <w:noProof/>
                <w:color w:val="000000"/>
                <w:sz w:val="16"/>
              </w:rPr>
              <w:t>- dans les délégations de l’UE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6BAC8D3"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6B6F735"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4367AB5"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90E2C0D"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BCAE56"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478FB40"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04B9035"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0DE7FF73"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r>
      <w:tr w:rsidR="001646F7" w:rsidRPr="00D207EA" w14:paraId="0E0FD2BB"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587BE910" w14:textId="77777777" w:rsidR="00DE2F09" w:rsidRPr="00D207EA" w:rsidRDefault="00DE2F09" w:rsidP="00DE2F09">
            <w:pPr>
              <w:spacing w:before="0" w:after="0"/>
              <w:ind w:firstLineChars="100" w:firstLine="160"/>
              <w:jc w:val="left"/>
              <w:rPr>
                <w:rFonts w:eastAsia="Times New Roman"/>
                <w:noProof/>
                <w:color w:val="000000"/>
                <w:sz w:val="16"/>
                <w:szCs w:val="16"/>
              </w:rPr>
            </w:pPr>
            <w:r w:rsidRPr="00D207EA">
              <w:rPr>
                <w:noProof/>
                <w:color w:val="000000"/>
                <w:sz w:val="16"/>
              </w:rPr>
              <w:t>01 01 01 02</w:t>
            </w:r>
            <w:r w:rsidRPr="00D207EA">
              <w:rPr>
                <w:rFonts w:ascii="Arial Narrow" w:hAnsi="Arial Narrow"/>
                <w:noProof/>
                <w:color w:val="000000"/>
                <w:sz w:val="20"/>
              </w:rPr>
              <w:t xml:space="preserve"> </w:t>
            </w:r>
            <w:r w:rsidRPr="00D207EA">
              <w:rPr>
                <w:noProof/>
                <w:color w:val="000000"/>
                <w:sz w:val="16"/>
              </w:rPr>
              <w:t>(AC, END - Recherche indirecte)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4A8E840"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E2A621"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0C39BF"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81034AB"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0C16D9F"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7973D03"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00C642B"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66BBBC9"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r>
      <w:tr w:rsidR="001646F7" w:rsidRPr="00D207EA" w14:paraId="707B8C84"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10141911" w14:textId="77777777" w:rsidR="00DE2F09" w:rsidRPr="00D207EA" w:rsidRDefault="00DE2F09" w:rsidP="00DE2F09">
            <w:pPr>
              <w:spacing w:before="0" w:after="0"/>
              <w:ind w:firstLineChars="100" w:firstLine="160"/>
              <w:jc w:val="left"/>
              <w:rPr>
                <w:rFonts w:eastAsia="Times New Roman"/>
                <w:noProof/>
                <w:color w:val="000000"/>
                <w:sz w:val="16"/>
                <w:szCs w:val="16"/>
              </w:rPr>
            </w:pPr>
            <w:r w:rsidRPr="00D207EA">
              <w:rPr>
                <w:noProof/>
                <w:color w:val="000000"/>
                <w:sz w:val="16"/>
              </w:rPr>
              <w:t>01 01 01 12 (AC, END - Recherche directe)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E125F70"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E449B7"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DECDF67"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34337CD"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4C094F5"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B1F3A8A"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15C189"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65AE72EB"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r>
      <w:tr w:rsidR="001646F7" w:rsidRPr="00D207EA" w14:paraId="724B9C67" w14:textId="77777777" w:rsidTr="001646F7">
        <w:trPr>
          <w:trHeight w:val="300"/>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ECA9A6A" w14:textId="77777777" w:rsidR="00DE2F09" w:rsidRPr="00D207EA" w:rsidRDefault="00DE2F09" w:rsidP="00DE2F09">
            <w:pPr>
              <w:spacing w:before="0" w:after="0"/>
              <w:ind w:firstLineChars="100" w:firstLine="160"/>
              <w:jc w:val="left"/>
              <w:rPr>
                <w:rFonts w:eastAsia="Times New Roman"/>
                <w:noProof/>
                <w:color w:val="000000"/>
                <w:sz w:val="16"/>
                <w:szCs w:val="16"/>
              </w:rPr>
            </w:pPr>
            <w:r w:rsidRPr="00D207EA">
              <w:rPr>
                <w:noProof/>
                <w:color w:val="000000"/>
                <w:sz w:val="16"/>
              </w:rPr>
              <w:t>Autres lignes budgétaires (à préciser) - Rubrique 4</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92B517"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03A125E"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EDF5FEA"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6F5D96"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662B92"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3A23F0D"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259CCB6"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3A0F26AD"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r>
      <w:tr w:rsidR="001646F7" w:rsidRPr="00D207EA" w14:paraId="724C0C74" w14:textId="77777777" w:rsidTr="001646F7">
        <w:trPr>
          <w:trHeight w:val="300"/>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59BC084A" w14:textId="77777777" w:rsidR="00DE2F09" w:rsidRPr="00D207EA" w:rsidRDefault="00DE2F09" w:rsidP="00DE2F09">
            <w:pPr>
              <w:spacing w:before="0" w:after="0"/>
              <w:ind w:firstLineChars="100" w:firstLine="160"/>
              <w:jc w:val="left"/>
              <w:rPr>
                <w:rFonts w:eastAsia="Times New Roman"/>
                <w:noProof/>
                <w:color w:val="000000"/>
                <w:sz w:val="16"/>
                <w:szCs w:val="16"/>
              </w:rPr>
            </w:pPr>
            <w:r w:rsidRPr="00D207EA">
              <w:rPr>
                <w:noProof/>
                <w:color w:val="000000"/>
                <w:sz w:val="16"/>
              </w:rPr>
              <w:t>Autres lignes budgétaires (à préciser) - Hors rubrique 4</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96D5E1"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E97C7CB"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D89348"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971783"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96DB4B6"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0BA85D5"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ACFC71"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D5D6081" w14:textId="77777777" w:rsidR="00DE2F09" w:rsidRPr="00D207EA" w:rsidRDefault="00DE2F09" w:rsidP="00DE2F09">
            <w:pPr>
              <w:spacing w:before="0" w:after="0"/>
              <w:jc w:val="center"/>
              <w:rPr>
                <w:rFonts w:eastAsia="Times New Roman"/>
                <w:noProof/>
                <w:color w:val="000000"/>
                <w:sz w:val="16"/>
                <w:szCs w:val="16"/>
              </w:rPr>
            </w:pPr>
            <w:r w:rsidRPr="00D207EA">
              <w:rPr>
                <w:noProof/>
                <w:color w:val="000000"/>
                <w:sz w:val="16"/>
              </w:rPr>
              <w:t>0</w:t>
            </w:r>
          </w:p>
        </w:tc>
      </w:tr>
      <w:tr w:rsidR="001646F7" w:rsidRPr="00D207EA" w14:paraId="3EA5C07B"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6A86A4F1" w14:textId="77777777" w:rsidR="00DE2F09" w:rsidRPr="00D207EA" w:rsidRDefault="00DE2F09" w:rsidP="00DE2F09">
            <w:pPr>
              <w:spacing w:before="0" w:after="0"/>
              <w:ind w:firstLineChars="100" w:firstLine="160"/>
              <w:jc w:val="left"/>
              <w:rPr>
                <w:rFonts w:eastAsia="Times New Roman"/>
                <w:b/>
                <w:bCs/>
                <w:noProof/>
                <w:color w:val="000000"/>
                <w:sz w:val="16"/>
                <w:szCs w:val="16"/>
              </w:rPr>
            </w:pPr>
            <w:r w:rsidRPr="00D207EA">
              <w:rPr>
                <w:b/>
                <w:noProof/>
                <w:color w:val="000000"/>
                <w:sz w:val="16"/>
              </w:rPr>
              <w:t>TOTAL</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72937B" w14:textId="77777777" w:rsidR="00DE2F09" w:rsidRPr="00D207EA" w:rsidRDefault="00DE2F09" w:rsidP="00DE2F09">
            <w:pPr>
              <w:spacing w:before="0" w:after="0"/>
              <w:jc w:val="center"/>
              <w:rPr>
                <w:rFonts w:eastAsia="Times New Roman"/>
                <w:b/>
                <w:bCs/>
                <w:noProof/>
                <w:color w:val="000000"/>
                <w:sz w:val="16"/>
                <w:szCs w:val="16"/>
              </w:rPr>
            </w:pPr>
            <w:r w:rsidRPr="00D207EA">
              <w:rPr>
                <w:b/>
                <w:noProof/>
                <w:color w:val="000000"/>
                <w:sz w:val="16"/>
              </w:rPr>
              <w:t>2717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90BF09" w14:textId="77777777" w:rsidR="00DE2F09" w:rsidRPr="00D207EA" w:rsidRDefault="00DE2F09" w:rsidP="00DE2F09">
            <w:pPr>
              <w:spacing w:before="0" w:after="0"/>
              <w:jc w:val="center"/>
              <w:rPr>
                <w:rFonts w:eastAsia="Times New Roman"/>
                <w:b/>
                <w:bCs/>
                <w:noProof/>
                <w:color w:val="000000"/>
                <w:sz w:val="16"/>
                <w:szCs w:val="16"/>
              </w:rPr>
            </w:pPr>
            <w:r w:rsidRPr="00D207EA">
              <w:rPr>
                <w:b/>
                <w:noProof/>
                <w:color w:val="000000"/>
                <w:sz w:val="16"/>
              </w:rPr>
              <w:t>2717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3FD7E95" w14:textId="77777777" w:rsidR="00DE2F09" w:rsidRPr="00D207EA" w:rsidRDefault="00DE2F09" w:rsidP="00DE2F09">
            <w:pPr>
              <w:spacing w:before="0" w:after="0"/>
              <w:jc w:val="center"/>
              <w:rPr>
                <w:rFonts w:eastAsia="Times New Roman"/>
                <w:b/>
                <w:bCs/>
                <w:noProof/>
                <w:color w:val="000000"/>
                <w:sz w:val="16"/>
                <w:szCs w:val="16"/>
              </w:rPr>
            </w:pPr>
            <w:r w:rsidRPr="00D207EA">
              <w:rPr>
                <w:b/>
                <w:noProof/>
                <w:color w:val="000000"/>
                <w:sz w:val="16"/>
              </w:rPr>
              <w:t>2717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EEDEA74" w14:textId="77777777" w:rsidR="00DE2F09" w:rsidRPr="00D207EA" w:rsidRDefault="00DE2F09" w:rsidP="00DE2F09">
            <w:pPr>
              <w:spacing w:before="0" w:after="0"/>
              <w:jc w:val="center"/>
              <w:rPr>
                <w:rFonts w:eastAsia="Times New Roman"/>
                <w:b/>
                <w:bCs/>
                <w:noProof/>
                <w:color w:val="000000"/>
                <w:sz w:val="16"/>
                <w:szCs w:val="16"/>
              </w:rPr>
            </w:pPr>
            <w:r w:rsidRPr="00D207EA">
              <w:rPr>
                <w:b/>
                <w:noProof/>
                <w:color w:val="000000"/>
                <w:sz w:val="16"/>
              </w:rPr>
              <w:t>2717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8483331" w14:textId="77777777" w:rsidR="00DE2F09" w:rsidRPr="00D207EA" w:rsidRDefault="00DE2F09" w:rsidP="00DE2F09">
            <w:pPr>
              <w:spacing w:before="0" w:after="0"/>
              <w:jc w:val="center"/>
              <w:rPr>
                <w:rFonts w:eastAsia="Times New Roman"/>
                <w:b/>
                <w:bCs/>
                <w:noProof/>
                <w:color w:val="000000"/>
                <w:sz w:val="16"/>
                <w:szCs w:val="16"/>
              </w:rPr>
            </w:pPr>
            <w:r w:rsidRPr="00D207EA">
              <w:rPr>
                <w:b/>
                <w:noProof/>
                <w:color w:val="000000"/>
                <w:sz w:val="16"/>
              </w:rPr>
              <w:t>2717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4E0AA7B" w14:textId="77777777" w:rsidR="00DE2F09" w:rsidRPr="00D207EA" w:rsidRDefault="00DE2F09" w:rsidP="00DE2F09">
            <w:pPr>
              <w:spacing w:before="0" w:after="0"/>
              <w:jc w:val="center"/>
              <w:rPr>
                <w:rFonts w:eastAsia="Times New Roman"/>
                <w:b/>
                <w:bCs/>
                <w:noProof/>
                <w:color w:val="000000"/>
                <w:sz w:val="16"/>
                <w:szCs w:val="16"/>
              </w:rPr>
            </w:pPr>
            <w:r w:rsidRPr="00D207EA">
              <w:rPr>
                <w:b/>
                <w:noProof/>
                <w:color w:val="000000"/>
                <w:sz w:val="16"/>
              </w:rPr>
              <w:t>2660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9F8F5B2" w14:textId="77777777" w:rsidR="00DE2F09" w:rsidRPr="00D207EA" w:rsidRDefault="00DE2F09" w:rsidP="00DE2F09">
            <w:pPr>
              <w:spacing w:before="0" w:after="0"/>
              <w:jc w:val="center"/>
              <w:rPr>
                <w:rFonts w:eastAsia="Times New Roman"/>
                <w:b/>
                <w:bCs/>
                <w:noProof/>
                <w:color w:val="000000"/>
                <w:sz w:val="16"/>
                <w:szCs w:val="16"/>
              </w:rPr>
            </w:pPr>
            <w:r w:rsidRPr="00D207EA">
              <w:rPr>
                <w:b/>
                <w:noProof/>
                <w:color w:val="000000"/>
                <w:sz w:val="16"/>
              </w:rPr>
              <w:t>2660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EF66C4E" w14:textId="77777777" w:rsidR="00DE2F09" w:rsidRPr="00D207EA" w:rsidRDefault="00DE2F09" w:rsidP="00DE2F09">
            <w:pPr>
              <w:spacing w:before="0" w:after="0"/>
              <w:jc w:val="center"/>
              <w:rPr>
                <w:rFonts w:eastAsia="Times New Roman"/>
                <w:b/>
                <w:bCs/>
                <w:noProof/>
                <w:color w:val="000000"/>
                <w:sz w:val="16"/>
                <w:szCs w:val="16"/>
              </w:rPr>
            </w:pPr>
            <w:r w:rsidRPr="00D207EA">
              <w:rPr>
                <w:b/>
                <w:noProof/>
                <w:color w:val="000000"/>
                <w:sz w:val="16"/>
              </w:rPr>
              <w:t>2660</w:t>
            </w:r>
          </w:p>
        </w:tc>
      </w:tr>
    </w:tbl>
    <w:p w14:paraId="77D607D8" w14:textId="77777777" w:rsidR="004A489F" w:rsidRPr="00D207EA" w:rsidRDefault="004A489F" w:rsidP="004A489F">
      <w:pPr>
        <w:pStyle w:val="Text1"/>
        <w:ind w:left="-426"/>
        <w:rPr>
          <w:noProof/>
          <w:color w:val="000000" w:themeColor="text1"/>
        </w:rPr>
      </w:pPr>
      <w:r w:rsidRPr="00D207EA">
        <w:rPr>
          <w:noProof/>
          <w:color w:val="000000" w:themeColor="text1"/>
        </w:rPr>
        <w:t xml:space="preserve">Personnel nécessaire à la mise en œuvre de la proposition (en ETP): </w:t>
      </w:r>
    </w:p>
    <w:tbl>
      <w:tblPr>
        <w:tblStyle w:val="TableGrid"/>
        <w:tblW w:w="5000" w:type="pct"/>
        <w:tblLook w:val="04A0" w:firstRow="1" w:lastRow="0" w:firstColumn="1" w:lastColumn="0" w:noHBand="0" w:noVBand="1"/>
      </w:tblPr>
      <w:tblGrid>
        <w:gridCol w:w="1807"/>
        <w:gridCol w:w="1988"/>
        <w:gridCol w:w="1886"/>
        <w:gridCol w:w="1897"/>
        <w:gridCol w:w="1711"/>
      </w:tblGrid>
      <w:tr w:rsidR="004A489F" w:rsidRPr="00D207EA" w14:paraId="29DE05AB" w14:textId="77777777" w:rsidTr="001646F7">
        <w:trPr>
          <w:trHeight w:val="300"/>
        </w:trPr>
        <w:tc>
          <w:tcPr>
            <w:tcW w:w="972" w:type="pct"/>
          </w:tcPr>
          <w:p w14:paraId="68F7EF83" w14:textId="77777777" w:rsidR="004A489F" w:rsidRPr="00D207EA" w:rsidRDefault="004A489F">
            <w:pPr>
              <w:pStyle w:val="Text1"/>
              <w:ind w:left="0"/>
              <w:jc w:val="center"/>
              <w:rPr>
                <w:b/>
                <w:bCs/>
                <w:noProof/>
                <w:sz w:val="22"/>
                <w:szCs w:val="28"/>
              </w:rPr>
            </w:pPr>
          </w:p>
        </w:tc>
        <w:tc>
          <w:tcPr>
            <w:tcW w:w="1070" w:type="pct"/>
          </w:tcPr>
          <w:p w14:paraId="0AAC7326" w14:textId="49BD24D3" w:rsidR="004A489F" w:rsidRPr="00D207EA" w:rsidRDefault="004A489F">
            <w:pPr>
              <w:pStyle w:val="Text1"/>
              <w:ind w:left="0"/>
              <w:jc w:val="center"/>
              <w:rPr>
                <w:b/>
                <w:bCs/>
                <w:noProof/>
                <w:sz w:val="22"/>
              </w:rPr>
            </w:pPr>
            <w:r w:rsidRPr="00D207EA">
              <w:rPr>
                <w:b/>
                <w:noProof/>
                <w:sz w:val="22"/>
              </w:rPr>
              <w:t>À couvrir par le personnel actuellement disponible dans les services de la Commission</w:t>
            </w:r>
          </w:p>
        </w:tc>
        <w:tc>
          <w:tcPr>
            <w:tcW w:w="2957" w:type="pct"/>
            <w:gridSpan w:val="3"/>
          </w:tcPr>
          <w:p w14:paraId="14CA2444" w14:textId="77777777" w:rsidR="004A489F" w:rsidRPr="00D207EA" w:rsidRDefault="004A489F">
            <w:pPr>
              <w:pStyle w:val="Text1"/>
              <w:ind w:left="0"/>
              <w:jc w:val="center"/>
              <w:rPr>
                <w:b/>
                <w:bCs/>
                <w:noProof/>
                <w:sz w:val="22"/>
              </w:rPr>
            </w:pPr>
            <w:r w:rsidRPr="00D207EA">
              <w:rPr>
                <w:b/>
                <w:noProof/>
                <w:sz w:val="22"/>
              </w:rPr>
              <w:t>Personnel supplémentaire exceptionnel*</w:t>
            </w:r>
          </w:p>
        </w:tc>
      </w:tr>
      <w:tr w:rsidR="004A489F" w:rsidRPr="00D207EA" w14:paraId="3EA2C08A" w14:textId="77777777" w:rsidTr="001646F7">
        <w:trPr>
          <w:trHeight w:val="300"/>
        </w:trPr>
        <w:tc>
          <w:tcPr>
            <w:tcW w:w="972" w:type="pct"/>
          </w:tcPr>
          <w:p w14:paraId="458C371B" w14:textId="77777777" w:rsidR="004A489F" w:rsidRPr="00D207EA" w:rsidRDefault="004A489F">
            <w:pPr>
              <w:pStyle w:val="Text1"/>
              <w:ind w:left="0"/>
              <w:jc w:val="center"/>
              <w:rPr>
                <w:b/>
                <w:bCs/>
                <w:noProof/>
                <w:sz w:val="22"/>
                <w:szCs w:val="28"/>
              </w:rPr>
            </w:pPr>
          </w:p>
        </w:tc>
        <w:tc>
          <w:tcPr>
            <w:tcW w:w="1070" w:type="pct"/>
          </w:tcPr>
          <w:p w14:paraId="2F2AD350" w14:textId="77777777" w:rsidR="004A489F" w:rsidRPr="00D207EA" w:rsidRDefault="004A489F">
            <w:pPr>
              <w:pStyle w:val="Text1"/>
              <w:ind w:left="0"/>
              <w:jc w:val="center"/>
              <w:rPr>
                <w:b/>
                <w:bCs/>
                <w:noProof/>
                <w:sz w:val="22"/>
                <w:szCs w:val="28"/>
              </w:rPr>
            </w:pPr>
          </w:p>
        </w:tc>
        <w:tc>
          <w:tcPr>
            <w:tcW w:w="1015" w:type="pct"/>
          </w:tcPr>
          <w:p w14:paraId="18F96900" w14:textId="77777777" w:rsidR="004A489F" w:rsidRPr="00D207EA" w:rsidRDefault="004A489F">
            <w:pPr>
              <w:pStyle w:val="Text1"/>
              <w:ind w:left="0"/>
              <w:jc w:val="center"/>
              <w:rPr>
                <w:b/>
                <w:bCs/>
                <w:noProof/>
                <w:sz w:val="22"/>
              </w:rPr>
            </w:pPr>
            <w:r w:rsidRPr="00D207EA">
              <w:rPr>
                <w:b/>
                <w:noProof/>
                <w:sz w:val="22"/>
              </w:rPr>
              <w:t>À financer sur la rubrique 7 ou la recherche</w:t>
            </w:r>
          </w:p>
        </w:tc>
        <w:tc>
          <w:tcPr>
            <w:tcW w:w="1021" w:type="pct"/>
          </w:tcPr>
          <w:p w14:paraId="333DDCAC" w14:textId="77777777" w:rsidR="004A489F" w:rsidRPr="00D207EA" w:rsidRDefault="004A489F">
            <w:pPr>
              <w:pStyle w:val="Text1"/>
              <w:ind w:left="0"/>
              <w:jc w:val="center"/>
              <w:rPr>
                <w:b/>
                <w:bCs/>
                <w:noProof/>
                <w:sz w:val="22"/>
                <w:szCs w:val="28"/>
              </w:rPr>
            </w:pPr>
            <w:r w:rsidRPr="00D207EA">
              <w:rPr>
                <w:b/>
                <w:noProof/>
                <w:sz w:val="22"/>
              </w:rPr>
              <w:t>À financer sur la ligne BA</w:t>
            </w:r>
          </w:p>
        </w:tc>
        <w:tc>
          <w:tcPr>
            <w:tcW w:w="921" w:type="pct"/>
          </w:tcPr>
          <w:p w14:paraId="67478ABF" w14:textId="77777777" w:rsidR="004A489F" w:rsidRPr="00D207EA" w:rsidRDefault="004A489F">
            <w:pPr>
              <w:pStyle w:val="Text1"/>
              <w:ind w:left="0"/>
              <w:jc w:val="center"/>
              <w:rPr>
                <w:b/>
                <w:bCs/>
                <w:noProof/>
                <w:sz w:val="22"/>
                <w:szCs w:val="28"/>
              </w:rPr>
            </w:pPr>
            <w:r w:rsidRPr="00D207EA">
              <w:rPr>
                <w:b/>
                <w:noProof/>
                <w:sz w:val="22"/>
              </w:rPr>
              <w:t>À financer sur les redevances</w:t>
            </w:r>
          </w:p>
        </w:tc>
      </w:tr>
      <w:tr w:rsidR="004A489F" w:rsidRPr="00D207EA" w14:paraId="33531DD5" w14:textId="77777777" w:rsidTr="001646F7">
        <w:trPr>
          <w:trHeight w:val="300"/>
        </w:trPr>
        <w:tc>
          <w:tcPr>
            <w:tcW w:w="972" w:type="pct"/>
          </w:tcPr>
          <w:p w14:paraId="04C15158" w14:textId="77777777" w:rsidR="004A489F" w:rsidRPr="00D207EA" w:rsidRDefault="004A489F">
            <w:pPr>
              <w:pStyle w:val="Text1"/>
              <w:ind w:left="0"/>
              <w:rPr>
                <w:noProof/>
                <w:sz w:val="22"/>
                <w:szCs w:val="28"/>
              </w:rPr>
            </w:pPr>
            <w:r w:rsidRPr="00D207EA">
              <w:rPr>
                <w:noProof/>
                <w:sz w:val="22"/>
              </w:rPr>
              <w:t>Emplois du tableau des effectifs</w:t>
            </w:r>
          </w:p>
        </w:tc>
        <w:tc>
          <w:tcPr>
            <w:tcW w:w="1070" w:type="pct"/>
          </w:tcPr>
          <w:p w14:paraId="075A3CF8" w14:textId="77777777" w:rsidR="004A489F" w:rsidRPr="00D207EA" w:rsidRDefault="004A489F">
            <w:pPr>
              <w:pStyle w:val="Text1"/>
              <w:ind w:left="0"/>
              <w:jc w:val="center"/>
              <w:rPr>
                <w:noProof/>
                <w:sz w:val="22"/>
                <w:szCs w:val="28"/>
              </w:rPr>
            </w:pPr>
            <w:r w:rsidRPr="00D207EA">
              <w:rPr>
                <w:noProof/>
                <w:sz w:val="22"/>
              </w:rPr>
              <w:t>2180</w:t>
            </w:r>
          </w:p>
        </w:tc>
        <w:tc>
          <w:tcPr>
            <w:tcW w:w="1015" w:type="pct"/>
          </w:tcPr>
          <w:p w14:paraId="2BE198B6" w14:textId="77777777" w:rsidR="004A489F" w:rsidRPr="00D207EA" w:rsidRDefault="004A489F">
            <w:pPr>
              <w:pStyle w:val="Text1"/>
              <w:ind w:left="0"/>
              <w:rPr>
                <w:noProof/>
                <w:sz w:val="22"/>
                <w:szCs w:val="28"/>
              </w:rPr>
            </w:pPr>
          </w:p>
        </w:tc>
        <w:tc>
          <w:tcPr>
            <w:tcW w:w="1021" w:type="pct"/>
          </w:tcPr>
          <w:p w14:paraId="08AC54D0" w14:textId="77777777" w:rsidR="004A489F" w:rsidRPr="00D207EA" w:rsidRDefault="004A489F">
            <w:pPr>
              <w:pStyle w:val="Text1"/>
              <w:ind w:left="0"/>
              <w:rPr>
                <w:noProof/>
                <w:sz w:val="22"/>
                <w:szCs w:val="28"/>
              </w:rPr>
            </w:pPr>
          </w:p>
        </w:tc>
        <w:tc>
          <w:tcPr>
            <w:tcW w:w="921" w:type="pct"/>
          </w:tcPr>
          <w:p w14:paraId="563E691B" w14:textId="77777777" w:rsidR="004A489F" w:rsidRPr="00D207EA" w:rsidRDefault="004A489F">
            <w:pPr>
              <w:pStyle w:val="Text1"/>
              <w:ind w:left="0"/>
              <w:rPr>
                <w:noProof/>
                <w:sz w:val="22"/>
                <w:szCs w:val="28"/>
              </w:rPr>
            </w:pPr>
            <w:r w:rsidRPr="00D207EA">
              <w:rPr>
                <w:noProof/>
                <w:sz w:val="22"/>
              </w:rPr>
              <w:t>s.o.</w:t>
            </w:r>
          </w:p>
        </w:tc>
      </w:tr>
      <w:tr w:rsidR="004A489F" w:rsidRPr="00D207EA" w14:paraId="0C941A00" w14:textId="77777777" w:rsidTr="001646F7">
        <w:trPr>
          <w:trHeight w:val="300"/>
        </w:trPr>
        <w:tc>
          <w:tcPr>
            <w:tcW w:w="972" w:type="pct"/>
          </w:tcPr>
          <w:p w14:paraId="16AC32DF" w14:textId="77777777" w:rsidR="004A489F" w:rsidRPr="00D207EA" w:rsidRDefault="004A489F">
            <w:pPr>
              <w:pStyle w:val="Text1"/>
              <w:ind w:left="0"/>
              <w:rPr>
                <w:noProof/>
                <w:sz w:val="22"/>
                <w:szCs w:val="28"/>
              </w:rPr>
            </w:pPr>
            <w:r w:rsidRPr="00D207EA">
              <w:rPr>
                <w:noProof/>
                <w:sz w:val="22"/>
              </w:rPr>
              <w:t>Personnel externe (AC, END, INT)</w:t>
            </w:r>
          </w:p>
        </w:tc>
        <w:tc>
          <w:tcPr>
            <w:tcW w:w="1070" w:type="pct"/>
          </w:tcPr>
          <w:p w14:paraId="67285B38" w14:textId="77777777" w:rsidR="004A489F" w:rsidRPr="00D207EA" w:rsidRDefault="004A489F">
            <w:pPr>
              <w:pStyle w:val="Text1"/>
              <w:ind w:left="0"/>
              <w:jc w:val="center"/>
              <w:rPr>
                <w:noProof/>
                <w:sz w:val="22"/>
                <w:szCs w:val="28"/>
              </w:rPr>
            </w:pPr>
            <w:r w:rsidRPr="00D207EA">
              <w:rPr>
                <w:noProof/>
                <w:sz w:val="22"/>
              </w:rPr>
              <w:t>537*</w:t>
            </w:r>
          </w:p>
        </w:tc>
        <w:tc>
          <w:tcPr>
            <w:tcW w:w="1015" w:type="pct"/>
          </w:tcPr>
          <w:p w14:paraId="124054C1" w14:textId="77777777" w:rsidR="004A489F" w:rsidRPr="00D207EA" w:rsidRDefault="004A489F">
            <w:pPr>
              <w:pStyle w:val="Text1"/>
              <w:ind w:left="0"/>
              <w:rPr>
                <w:noProof/>
                <w:sz w:val="22"/>
                <w:szCs w:val="28"/>
              </w:rPr>
            </w:pPr>
          </w:p>
        </w:tc>
        <w:tc>
          <w:tcPr>
            <w:tcW w:w="1021" w:type="pct"/>
          </w:tcPr>
          <w:p w14:paraId="490028AF" w14:textId="77777777" w:rsidR="004A489F" w:rsidRPr="00D207EA" w:rsidRDefault="004A489F">
            <w:pPr>
              <w:pStyle w:val="Text1"/>
              <w:ind w:left="0"/>
              <w:rPr>
                <w:noProof/>
                <w:sz w:val="22"/>
                <w:szCs w:val="28"/>
              </w:rPr>
            </w:pPr>
          </w:p>
        </w:tc>
        <w:tc>
          <w:tcPr>
            <w:tcW w:w="921" w:type="pct"/>
          </w:tcPr>
          <w:p w14:paraId="2625A0BC" w14:textId="77777777" w:rsidR="004A489F" w:rsidRPr="00D207EA" w:rsidRDefault="004A489F">
            <w:pPr>
              <w:pStyle w:val="Text1"/>
              <w:ind w:left="0"/>
              <w:rPr>
                <w:noProof/>
                <w:sz w:val="22"/>
                <w:szCs w:val="28"/>
              </w:rPr>
            </w:pPr>
            <w:r w:rsidRPr="00D207EA">
              <w:rPr>
                <w:noProof/>
                <w:sz w:val="22"/>
              </w:rPr>
              <w:t>s.o.</w:t>
            </w:r>
          </w:p>
        </w:tc>
      </w:tr>
    </w:tbl>
    <w:p w14:paraId="28B63357" w14:textId="783A818C" w:rsidR="004A489F" w:rsidRPr="00D207EA" w:rsidRDefault="004A489F" w:rsidP="004A489F">
      <w:pPr>
        <w:rPr>
          <w:noProof/>
        </w:rPr>
      </w:pPr>
      <w:r w:rsidRPr="00D207EA">
        <w:rPr>
          <w:noProof/>
        </w:rPr>
        <w:t>* Ce montant comprend les 57 ETP pour le Fonds social pour le climat, qui sont financés par les recettes affectées.</w:t>
      </w:r>
    </w:p>
    <w:p w14:paraId="70DC5310" w14:textId="77777777" w:rsidR="004A489F" w:rsidRPr="00D207EA" w:rsidRDefault="004A489F" w:rsidP="004A489F">
      <w:pPr>
        <w:rPr>
          <w:noProof/>
          <w:color w:val="008000"/>
        </w:rPr>
      </w:pPr>
      <w:r w:rsidRPr="00D207EA">
        <w:rPr>
          <w:noProof/>
        </w:rPr>
        <w:t>Description des tâches à effectuer par: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883"/>
        <w:gridCol w:w="6406"/>
      </w:tblGrid>
      <w:tr w:rsidR="00603BC3" w:rsidRPr="00D207EA" w14:paraId="4C9E604E" w14:textId="77777777" w:rsidTr="00B95D91">
        <w:tc>
          <w:tcPr>
            <w:tcW w:w="1552" w:type="pct"/>
          </w:tcPr>
          <w:p w14:paraId="4F6B916F" w14:textId="77777777" w:rsidR="004A489F" w:rsidRPr="00D207EA" w:rsidRDefault="004A489F">
            <w:pPr>
              <w:rPr>
                <w:noProof/>
                <w:sz w:val="20"/>
              </w:rPr>
            </w:pPr>
            <w:r w:rsidRPr="00D207EA">
              <w:rPr>
                <w:noProof/>
                <w:sz w:val="20"/>
              </w:rPr>
              <w:t>les fonctionnaires et agents temporaires</w:t>
            </w:r>
          </w:p>
        </w:tc>
        <w:tc>
          <w:tcPr>
            <w:tcW w:w="3448" w:type="pct"/>
          </w:tcPr>
          <w:p w14:paraId="6CB73CA4" w14:textId="77777777" w:rsidR="004A489F" w:rsidRPr="00D207EA" w:rsidRDefault="004A489F">
            <w:pPr>
              <w:rPr>
                <w:noProof/>
                <w:sz w:val="20"/>
              </w:rPr>
            </w:pPr>
            <w:r w:rsidRPr="00D207EA">
              <w:rPr>
                <w:noProof/>
                <w:sz w:val="20"/>
              </w:rPr>
              <w:t>Gestion de programme, soutien administratif, financier et technique général, coordination des politiques, audit</w:t>
            </w:r>
          </w:p>
        </w:tc>
      </w:tr>
      <w:tr w:rsidR="00603BC3" w:rsidRPr="00D207EA" w14:paraId="55945FDB" w14:textId="77777777" w:rsidTr="00B95D91">
        <w:tc>
          <w:tcPr>
            <w:tcW w:w="1552" w:type="pct"/>
          </w:tcPr>
          <w:p w14:paraId="72E16C92" w14:textId="77777777" w:rsidR="004A489F" w:rsidRPr="00D207EA" w:rsidRDefault="004A489F">
            <w:pPr>
              <w:spacing w:before="60" w:after="60"/>
              <w:rPr>
                <w:noProof/>
                <w:sz w:val="20"/>
              </w:rPr>
            </w:pPr>
            <w:r w:rsidRPr="00D207EA">
              <w:rPr>
                <w:noProof/>
                <w:sz w:val="20"/>
              </w:rPr>
              <w:t>le personnel externe</w:t>
            </w:r>
          </w:p>
        </w:tc>
        <w:tc>
          <w:tcPr>
            <w:tcW w:w="3448" w:type="pct"/>
          </w:tcPr>
          <w:p w14:paraId="4D0F0DE1" w14:textId="77777777" w:rsidR="004A489F" w:rsidRPr="00D207EA" w:rsidRDefault="004A489F">
            <w:pPr>
              <w:rPr>
                <w:noProof/>
                <w:sz w:val="20"/>
              </w:rPr>
            </w:pPr>
            <w:r w:rsidRPr="00D207EA">
              <w:rPr>
                <w:noProof/>
                <w:sz w:val="20"/>
              </w:rPr>
              <w:t>Gestion de programme, soutien administratif, financier et technique général, coordination des politiques, audit</w:t>
            </w:r>
          </w:p>
        </w:tc>
      </w:tr>
    </w:tbl>
    <w:p w14:paraId="382E3CB6" w14:textId="77777777" w:rsidR="004A489F" w:rsidRPr="00D207EA" w:rsidRDefault="004A489F" w:rsidP="004A489F">
      <w:pPr>
        <w:pStyle w:val="ManualHeading3"/>
        <w:rPr>
          <w:noProof/>
        </w:rPr>
      </w:pPr>
      <w:bookmarkStart w:id="190" w:name="_Toc177549031"/>
      <w:r w:rsidRPr="00D207EA">
        <w:rPr>
          <w:noProof/>
        </w:rPr>
        <w:t>3.2.5.</w:t>
      </w:r>
      <w:r w:rsidRPr="00D207EA">
        <w:rPr>
          <w:noProof/>
        </w:rPr>
        <w:tab/>
        <w:t>Vue d’ensemble de l’incidence estimée sur les investissements liés aux technologies numériques</w:t>
      </w:r>
      <w:bookmarkEnd w:id="190"/>
    </w:p>
    <w:tbl>
      <w:tblPr>
        <w:tblW w:w="5000" w:type="pct"/>
        <w:tblCellMar>
          <w:top w:w="15" w:type="dxa"/>
          <w:bottom w:w="15" w:type="dxa"/>
        </w:tblCellMar>
        <w:tblLook w:val="04A0" w:firstRow="1" w:lastRow="0" w:firstColumn="1" w:lastColumn="0" w:noHBand="0" w:noVBand="1"/>
      </w:tblPr>
      <w:tblGrid>
        <w:gridCol w:w="2982"/>
        <w:gridCol w:w="752"/>
        <w:gridCol w:w="877"/>
        <w:gridCol w:w="754"/>
        <w:gridCol w:w="771"/>
        <w:gridCol w:w="773"/>
        <w:gridCol w:w="771"/>
        <w:gridCol w:w="762"/>
        <w:gridCol w:w="847"/>
      </w:tblGrid>
      <w:tr w:rsidR="004A489F" w:rsidRPr="00D207EA" w14:paraId="36F98FFB" w14:textId="77777777">
        <w:trPr>
          <w:trHeight w:val="300"/>
        </w:trPr>
        <w:tc>
          <w:tcPr>
            <w:tcW w:w="1605" w:type="pct"/>
            <w:vMerge w:val="restart"/>
            <w:tcBorders>
              <w:top w:val="single" w:sz="8" w:space="0" w:color="auto"/>
              <w:left w:val="single" w:sz="8" w:space="0" w:color="auto"/>
              <w:bottom w:val="single" w:sz="8" w:space="0" w:color="auto"/>
              <w:right w:val="single" w:sz="8" w:space="0" w:color="auto"/>
            </w:tcBorders>
            <w:vAlign w:val="center"/>
            <w:hideMark/>
          </w:tcPr>
          <w:p w14:paraId="60DBD806" w14:textId="77777777" w:rsidR="004A489F" w:rsidRPr="00D207EA" w:rsidRDefault="004A489F">
            <w:pPr>
              <w:spacing w:before="0" w:after="0"/>
              <w:jc w:val="center"/>
              <w:rPr>
                <w:rFonts w:eastAsia="Times New Roman"/>
                <w:b/>
                <w:noProof/>
                <w:color w:val="000000"/>
                <w:sz w:val="18"/>
                <w:szCs w:val="18"/>
              </w:rPr>
            </w:pPr>
            <w:r w:rsidRPr="00D207EA">
              <w:rPr>
                <w:b/>
                <w:noProof/>
                <w:color w:val="000000" w:themeColor="text1"/>
                <w:sz w:val="18"/>
              </w:rPr>
              <w:t>TOTAL des crédits numériques et informatiques</w:t>
            </w:r>
          </w:p>
        </w:tc>
        <w:tc>
          <w:tcPr>
            <w:tcW w:w="405" w:type="pct"/>
            <w:tcBorders>
              <w:top w:val="single" w:sz="8" w:space="0" w:color="auto"/>
              <w:left w:val="single" w:sz="8" w:space="0" w:color="auto"/>
              <w:bottom w:val="single" w:sz="8" w:space="0" w:color="auto"/>
              <w:right w:val="single" w:sz="8" w:space="0" w:color="auto"/>
            </w:tcBorders>
            <w:vAlign w:val="center"/>
            <w:hideMark/>
          </w:tcPr>
          <w:p w14:paraId="6CFB4A13"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Année</w:t>
            </w:r>
          </w:p>
        </w:tc>
        <w:tc>
          <w:tcPr>
            <w:tcW w:w="472" w:type="pct"/>
            <w:tcBorders>
              <w:top w:val="single" w:sz="8" w:space="0" w:color="auto"/>
              <w:left w:val="single" w:sz="8" w:space="0" w:color="auto"/>
              <w:bottom w:val="single" w:sz="8" w:space="0" w:color="auto"/>
              <w:right w:val="single" w:sz="8" w:space="0" w:color="auto"/>
            </w:tcBorders>
            <w:vAlign w:val="center"/>
            <w:hideMark/>
          </w:tcPr>
          <w:p w14:paraId="7F55AA51"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Année</w:t>
            </w:r>
          </w:p>
        </w:tc>
        <w:tc>
          <w:tcPr>
            <w:tcW w:w="406" w:type="pct"/>
            <w:tcBorders>
              <w:top w:val="single" w:sz="8" w:space="0" w:color="auto"/>
              <w:left w:val="single" w:sz="8" w:space="0" w:color="auto"/>
              <w:bottom w:val="single" w:sz="8" w:space="0" w:color="auto"/>
              <w:right w:val="single" w:sz="8" w:space="0" w:color="auto"/>
            </w:tcBorders>
            <w:vAlign w:val="center"/>
            <w:hideMark/>
          </w:tcPr>
          <w:p w14:paraId="1473E987"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Année</w:t>
            </w:r>
          </w:p>
        </w:tc>
        <w:tc>
          <w:tcPr>
            <w:tcW w:w="415" w:type="pct"/>
            <w:tcBorders>
              <w:top w:val="single" w:sz="8" w:space="0" w:color="auto"/>
              <w:left w:val="single" w:sz="8" w:space="0" w:color="auto"/>
              <w:bottom w:val="single" w:sz="8" w:space="0" w:color="auto"/>
              <w:right w:val="single" w:sz="8" w:space="0" w:color="auto"/>
            </w:tcBorders>
            <w:vAlign w:val="center"/>
            <w:hideMark/>
          </w:tcPr>
          <w:p w14:paraId="3DD29C83"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Année</w:t>
            </w:r>
          </w:p>
        </w:tc>
        <w:tc>
          <w:tcPr>
            <w:tcW w:w="416" w:type="pct"/>
            <w:tcBorders>
              <w:top w:val="single" w:sz="8" w:space="0" w:color="auto"/>
              <w:left w:val="single" w:sz="8" w:space="0" w:color="auto"/>
              <w:bottom w:val="single" w:sz="8" w:space="0" w:color="auto"/>
              <w:right w:val="single" w:sz="8" w:space="0" w:color="auto"/>
            </w:tcBorders>
            <w:vAlign w:val="center"/>
            <w:hideMark/>
          </w:tcPr>
          <w:p w14:paraId="53CB1778"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Année</w:t>
            </w:r>
          </w:p>
        </w:tc>
        <w:tc>
          <w:tcPr>
            <w:tcW w:w="415" w:type="pct"/>
            <w:tcBorders>
              <w:top w:val="single" w:sz="8" w:space="0" w:color="auto"/>
              <w:left w:val="single" w:sz="8" w:space="0" w:color="auto"/>
              <w:bottom w:val="single" w:sz="8" w:space="0" w:color="auto"/>
              <w:right w:val="single" w:sz="8" w:space="0" w:color="auto"/>
            </w:tcBorders>
            <w:vAlign w:val="center"/>
            <w:hideMark/>
          </w:tcPr>
          <w:p w14:paraId="3150342E"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Année</w:t>
            </w:r>
          </w:p>
        </w:tc>
        <w:tc>
          <w:tcPr>
            <w:tcW w:w="410" w:type="pct"/>
            <w:tcBorders>
              <w:top w:val="single" w:sz="8" w:space="0" w:color="auto"/>
              <w:left w:val="single" w:sz="8" w:space="0" w:color="auto"/>
              <w:bottom w:val="single" w:sz="8" w:space="0" w:color="auto"/>
              <w:right w:val="single" w:sz="8" w:space="0" w:color="auto"/>
            </w:tcBorders>
            <w:vAlign w:val="center"/>
            <w:hideMark/>
          </w:tcPr>
          <w:p w14:paraId="6CEE9D87" w14:textId="77777777" w:rsidR="004A489F" w:rsidRPr="00D207EA" w:rsidRDefault="004A489F">
            <w:pPr>
              <w:spacing w:before="0" w:after="0"/>
              <w:jc w:val="center"/>
              <w:rPr>
                <w:rFonts w:eastAsia="Times New Roman"/>
                <w:noProof/>
                <w:color w:val="000000"/>
                <w:sz w:val="18"/>
                <w:szCs w:val="18"/>
              </w:rPr>
            </w:pPr>
            <w:r w:rsidRPr="00D207EA">
              <w:rPr>
                <w:noProof/>
                <w:color w:val="000000"/>
                <w:sz w:val="18"/>
              </w:rPr>
              <w:t>Année</w:t>
            </w:r>
          </w:p>
        </w:tc>
        <w:tc>
          <w:tcPr>
            <w:tcW w:w="456" w:type="pct"/>
            <w:vMerge w:val="restart"/>
            <w:tcBorders>
              <w:top w:val="single" w:sz="8" w:space="0" w:color="auto"/>
              <w:left w:val="single" w:sz="8" w:space="0" w:color="auto"/>
              <w:bottom w:val="single" w:sz="8" w:space="0" w:color="auto"/>
              <w:right w:val="single" w:sz="8" w:space="0" w:color="auto"/>
            </w:tcBorders>
            <w:vAlign w:val="center"/>
            <w:hideMark/>
          </w:tcPr>
          <w:p w14:paraId="191E3590" w14:textId="77777777" w:rsidR="004A489F" w:rsidRPr="00D207EA" w:rsidRDefault="004A489F">
            <w:pPr>
              <w:spacing w:before="0" w:after="0"/>
              <w:jc w:val="center"/>
              <w:rPr>
                <w:rFonts w:eastAsia="Times New Roman"/>
                <w:b/>
                <w:noProof/>
                <w:color w:val="000000"/>
                <w:sz w:val="18"/>
                <w:szCs w:val="18"/>
              </w:rPr>
            </w:pPr>
            <w:r w:rsidRPr="00D207EA">
              <w:rPr>
                <w:b/>
                <w:noProof/>
                <w:color w:val="000000"/>
                <w:sz w:val="18"/>
              </w:rPr>
              <w:t>TOTAL</w:t>
            </w:r>
            <w:r w:rsidRPr="00D207EA">
              <w:rPr>
                <w:b/>
                <w:noProof/>
                <w:color w:val="000000"/>
                <w:sz w:val="18"/>
              </w:rPr>
              <w:br/>
              <w:t>2028 - 2034</w:t>
            </w:r>
          </w:p>
        </w:tc>
      </w:tr>
      <w:tr w:rsidR="004A489F" w:rsidRPr="00D207EA" w14:paraId="08983E60" w14:textId="77777777">
        <w:trPr>
          <w:trHeight w:val="300"/>
        </w:trPr>
        <w:tc>
          <w:tcPr>
            <w:tcW w:w="1605" w:type="pct"/>
            <w:vMerge/>
            <w:tcBorders>
              <w:top w:val="single" w:sz="8" w:space="0" w:color="auto"/>
              <w:left w:val="single" w:sz="8" w:space="0" w:color="auto"/>
              <w:bottom w:val="single" w:sz="8" w:space="0" w:color="auto"/>
              <w:right w:val="single" w:sz="8" w:space="0" w:color="auto"/>
            </w:tcBorders>
            <w:vAlign w:val="center"/>
            <w:hideMark/>
          </w:tcPr>
          <w:p w14:paraId="1F1572A4" w14:textId="77777777" w:rsidR="004A489F" w:rsidRPr="00D207EA" w:rsidRDefault="004A489F">
            <w:pPr>
              <w:spacing w:before="0" w:after="0"/>
              <w:jc w:val="left"/>
              <w:rPr>
                <w:rFonts w:eastAsia="Times New Roman"/>
                <w:b/>
                <w:noProof/>
                <w:color w:val="000000"/>
                <w:sz w:val="18"/>
                <w:szCs w:val="18"/>
                <w:lang w:eastAsia="en-IE"/>
              </w:rPr>
            </w:pPr>
          </w:p>
        </w:tc>
        <w:tc>
          <w:tcPr>
            <w:tcW w:w="405" w:type="pct"/>
            <w:tcBorders>
              <w:top w:val="single" w:sz="8" w:space="0" w:color="auto"/>
              <w:left w:val="single" w:sz="8" w:space="0" w:color="auto"/>
              <w:bottom w:val="single" w:sz="8" w:space="0" w:color="auto"/>
              <w:right w:val="single" w:sz="8" w:space="0" w:color="auto"/>
            </w:tcBorders>
            <w:vAlign w:val="center"/>
            <w:hideMark/>
          </w:tcPr>
          <w:p w14:paraId="14DBCAFB" w14:textId="77777777" w:rsidR="004A489F" w:rsidRPr="00D207EA" w:rsidRDefault="004A489F">
            <w:pPr>
              <w:spacing w:before="0" w:after="0"/>
              <w:jc w:val="center"/>
              <w:rPr>
                <w:rFonts w:eastAsia="Times New Roman"/>
                <w:b/>
                <w:noProof/>
                <w:color w:val="000000"/>
                <w:sz w:val="18"/>
                <w:szCs w:val="18"/>
              </w:rPr>
            </w:pPr>
            <w:r w:rsidRPr="00D207EA">
              <w:rPr>
                <w:b/>
                <w:noProof/>
                <w:color w:val="000000"/>
                <w:sz w:val="18"/>
              </w:rPr>
              <w:t>2028</w:t>
            </w:r>
          </w:p>
        </w:tc>
        <w:tc>
          <w:tcPr>
            <w:tcW w:w="472" w:type="pct"/>
            <w:tcBorders>
              <w:top w:val="single" w:sz="8" w:space="0" w:color="auto"/>
              <w:left w:val="single" w:sz="8" w:space="0" w:color="auto"/>
              <w:bottom w:val="single" w:sz="8" w:space="0" w:color="auto"/>
              <w:right w:val="single" w:sz="8" w:space="0" w:color="auto"/>
            </w:tcBorders>
            <w:vAlign w:val="center"/>
            <w:hideMark/>
          </w:tcPr>
          <w:p w14:paraId="4F06CB03" w14:textId="77777777" w:rsidR="004A489F" w:rsidRPr="00D207EA" w:rsidRDefault="004A489F">
            <w:pPr>
              <w:spacing w:before="0" w:after="0"/>
              <w:jc w:val="center"/>
              <w:rPr>
                <w:rFonts w:eastAsia="Times New Roman"/>
                <w:b/>
                <w:noProof/>
                <w:color w:val="000000"/>
                <w:sz w:val="18"/>
                <w:szCs w:val="18"/>
              </w:rPr>
            </w:pPr>
            <w:r w:rsidRPr="00D207EA">
              <w:rPr>
                <w:b/>
                <w:noProof/>
                <w:color w:val="000000"/>
                <w:sz w:val="18"/>
              </w:rPr>
              <w:t>2029</w:t>
            </w:r>
          </w:p>
        </w:tc>
        <w:tc>
          <w:tcPr>
            <w:tcW w:w="406" w:type="pct"/>
            <w:tcBorders>
              <w:top w:val="single" w:sz="8" w:space="0" w:color="auto"/>
              <w:left w:val="single" w:sz="8" w:space="0" w:color="auto"/>
              <w:bottom w:val="single" w:sz="8" w:space="0" w:color="auto"/>
              <w:right w:val="single" w:sz="8" w:space="0" w:color="auto"/>
            </w:tcBorders>
            <w:vAlign w:val="center"/>
            <w:hideMark/>
          </w:tcPr>
          <w:p w14:paraId="52A70509" w14:textId="77777777" w:rsidR="004A489F" w:rsidRPr="00D207EA" w:rsidRDefault="004A489F">
            <w:pPr>
              <w:spacing w:before="0" w:after="0"/>
              <w:jc w:val="center"/>
              <w:rPr>
                <w:rFonts w:eastAsia="Times New Roman"/>
                <w:b/>
                <w:noProof/>
                <w:color w:val="000000"/>
                <w:sz w:val="18"/>
                <w:szCs w:val="18"/>
              </w:rPr>
            </w:pPr>
            <w:r w:rsidRPr="00D207EA">
              <w:rPr>
                <w:b/>
                <w:noProof/>
                <w:color w:val="000000"/>
                <w:sz w:val="18"/>
              </w:rPr>
              <w:t>2030</w:t>
            </w:r>
          </w:p>
        </w:tc>
        <w:tc>
          <w:tcPr>
            <w:tcW w:w="415" w:type="pct"/>
            <w:tcBorders>
              <w:top w:val="single" w:sz="8" w:space="0" w:color="auto"/>
              <w:left w:val="single" w:sz="8" w:space="0" w:color="auto"/>
              <w:bottom w:val="single" w:sz="8" w:space="0" w:color="auto"/>
              <w:right w:val="single" w:sz="8" w:space="0" w:color="auto"/>
            </w:tcBorders>
            <w:vAlign w:val="center"/>
            <w:hideMark/>
          </w:tcPr>
          <w:p w14:paraId="6C790707" w14:textId="77777777" w:rsidR="004A489F" w:rsidRPr="00D207EA" w:rsidRDefault="004A489F">
            <w:pPr>
              <w:spacing w:before="0" w:after="0"/>
              <w:jc w:val="center"/>
              <w:rPr>
                <w:rFonts w:eastAsia="Times New Roman"/>
                <w:b/>
                <w:noProof/>
                <w:color w:val="000000"/>
                <w:sz w:val="18"/>
                <w:szCs w:val="18"/>
              </w:rPr>
            </w:pPr>
            <w:r w:rsidRPr="00D207EA">
              <w:rPr>
                <w:b/>
                <w:noProof/>
                <w:color w:val="000000"/>
                <w:sz w:val="18"/>
              </w:rPr>
              <w:t>2031</w:t>
            </w:r>
          </w:p>
        </w:tc>
        <w:tc>
          <w:tcPr>
            <w:tcW w:w="416" w:type="pct"/>
            <w:tcBorders>
              <w:top w:val="single" w:sz="8" w:space="0" w:color="auto"/>
              <w:left w:val="single" w:sz="8" w:space="0" w:color="auto"/>
              <w:bottom w:val="single" w:sz="8" w:space="0" w:color="auto"/>
              <w:right w:val="single" w:sz="8" w:space="0" w:color="auto"/>
            </w:tcBorders>
            <w:vAlign w:val="center"/>
            <w:hideMark/>
          </w:tcPr>
          <w:p w14:paraId="7A0F92CC" w14:textId="77777777" w:rsidR="004A489F" w:rsidRPr="00D207EA" w:rsidRDefault="004A489F">
            <w:pPr>
              <w:spacing w:before="0" w:after="0"/>
              <w:jc w:val="center"/>
              <w:rPr>
                <w:rFonts w:eastAsia="Times New Roman"/>
                <w:b/>
                <w:noProof/>
                <w:color w:val="000000"/>
                <w:sz w:val="18"/>
                <w:szCs w:val="18"/>
              </w:rPr>
            </w:pPr>
            <w:r w:rsidRPr="00D207EA">
              <w:rPr>
                <w:b/>
                <w:noProof/>
                <w:color w:val="000000"/>
                <w:sz w:val="18"/>
              </w:rPr>
              <w:t>2032</w:t>
            </w:r>
          </w:p>
        </w:tc>
        <w:tc>
          <w:tcPr>
            <w:tcW w:w="415" w:type="pct"/>
            <w:tcBorders>
              <w:top w:val="single" w:sz="8" w:space="0" w:color="auto"/>
              <w:left w:val="single" w:sz="8" w:space="0" w:color="auto"/>
              <w:bottom w:val="single" w:sz="8" w:space="0" w:color="auto"/>
              <w:right w:val="single" w:sz="8" w:space="0" w:color="auto"/>
            </w:tcBorders>
            <w:vAlign w:val="center"/>
            <w:hideMark/>
          </w:tcPr>
          <w:p w14:paraId="427F94AB" w14:textId="77777777" w:rsidR="004A489F" w:rsidRPr="00D207EA" w:rsidRDefault="004A489F">
            <w:pPr>
              <w:spacing w:before="0" w:after="0"/>
              <w:jc w:val="center"/>
              <w:rPr>
                <w:rFonts w:eastAsia="Times New Roman"/>
                <w:b/>
                <w:noProof/>
                <w:color w:val="000000"/>
                <w:sz w:val="18"/>
                <w:szCs w:val="18"/>
              </w:rPr>
            </w:pPr>
            <w:r w:rsidRPr="00D207EA">
              <w:rPr>
                <w:b/>
                <w:noProof/>
                <w:color w:val="000000"/>
                <w:sz w:val="18"/>
              </w:rPr>
              <w:t>2033</w:t>
            </w:r>
          </w:p>
        </w:tc>
        <w:tc>
          <w:tcPr>
            <w:tcW w:w="410" w:type="pct"/>
            <w:tcBorders>
              <w:top w:val="single" w:sz="8" w:space="0" w:color="auto"/>
              <w:left w:val="single" w:sz="8" w:space="0" w:color="auto"/>
              <w:bottom w:val="single" w:sz="8" w:space="0" w:color="auto"/>
              <w:right w:val="single" w:sz="8" w:space="0" w:color="auto"/>
            </w:tcBorders>
            <w:vAlign w:val="center"/>
            <w:hideMark/>
          </w:tcPr>
          <w:p w14:paraId="33774800" w14:textId="77777777" w:rsidR="004A489F" w:rsidRPr="00D207EA" w:rsidRDefault="004A489F">
            <w:pPr>
              <w:spacing w:before="0" w:after="0"/>
              <w:jc w:val="center"/>
              <w:rPr>
                <w:rFonts w:eastAsia="Times New Roman"/>
                <w:b/>
                <w:noProof/>
                <w:color w:val="000000"/>
                <w:sz w:val="18"/>
                <w:szCs w:val="18"/>
              </w:rPr>
            </w:pPr>
            <w:r w:rsidRPr="00D207EA">
              <w:rPr>
                <w:b/>
                <w:noProof/>
                <w:color w:val="000000"/>
                <w:sz w:val="18"/>
              </w:rPr>
              <w:t>2034</w:t>
            </w:r>
          </w:p>
        </w:tc>
        <w:tc>
          <w:tcPr>
            <w:tcW w:w="456" w:type="pct"/>
            <w:vMerge/>
            <w:tcBorders>
              <w:top w:val="single" w:sz="8" w:space="0" w:color="auto"/>
              <w:left w:val="single" w:sz="8" w:space="0" w:color="auto"/>
              <w:bottom w:val="single" w:sz="8" w:space="0" w:color="auto"/>
              <w:right w:val="single" w:sz="8" w:space="0" w:color="auto"/>
            </w:tcBorders>
            <w:vAlign w:val="center"/>
            <w:hideMark/>
          </w:tcPr>
          <w:p w14:paraId="021206B7" w14:textId="77777777" w:rsidR="004A489F" w:rsidRPr="00D207EA" w:rsidRDefault="004A489F">
            <w:pPr>
              <w:spacing w:before="0" w:after="0"/>
              <w:jc w:val="left"/>
              <w:rPr>
                <w:rFonts w:eastAsia="Times New Roman"/>
                <w:b/>
                <w:noProof/>
                <w:color w:val="000000"/>
                <w:sz w:val="18"/>
                <w:szCs w:val="18"/>
                <w:lang w:eastAsia="en-IE"/>
              </w:rPr>
            </w:pPr>
          </w:p>
        </w:tc>
      </w:tr>
      <w:tr w:rsidR="004A489F" w:rsidRPr="00D207EA" w14:paraId="608CB0F9" w14:textId="77777777">
        <w:trPr>
          <w:trHeight w:val="300"/>
        </w:trPr>
        <w:tc>
          <w:tcPr>
            <w:tcW w:w="5000" w:type="pct"/>
            <w:gridSpan w:val="9"/>
            <w:tcBorders>
              <w:top w:val="single" w:sz="8" w:space="0" w:color="auto"/>
              <w:left w:val="single" w:sz="8" w:space="0" w:color="auto"/>
              <w:bottom w:val="single" w:sz="8" w:space="0" w:color="auto"/>
              <w:right w:val="nil"/>
            </w:tcBorders>
            <w:vAlign w:val="center"/>
            <w:hideMark/>
          </w:tcPr>
          <w:p w14:paraId="539D9C94" w14:textId="77777777" w:rsidR="004A489F" w:rsidRPr="00D207EA" w:rsidRDefault="004A489F">
            <w:pPr>
              <w:spacing w:before="0" w:after="0"/>
              <w:jc w:val="left"/>
              <w:rPr>
                <w:rFonts w:eastAsia="Times New Roman"/>
                <w:b/>
                <w:noProof/>
                <w:sz w:val="16"/>
                <w:szCs w:val="16"/>
              </w:rPr>
            </w:pPr>
            <w:r w:rsidRPr="00D207EA">
              <w:rPr>
                <w:b/>
                <w:noProof/>
                <w:sz w:val="16"/>
              </w:rPr>
              <w:t>RUBRIQUE 7</w:t>
            </w:r>
          </w:p>
        </w:tc>
      </w:tr>
      <w:tr w:rsidR="004A489F" w:rsidRPr="00D207EA" w14:paraId="1293D38D" w14:textId="77777777">
        <w:trPr>
          <w:trHeight w:val="300"/>
        </w:trPr>
        <w:tc>
          <w:tcPr>
            <w:tcW w:w="160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06E1B80" w14:textId="7788E253" w:rsidR="004A489F" w:rsidRPr="00D207EA" w:rsidRDefault="004A489F">
            <w:pPr>
              <w:spacing w:before="0" w:after="0"/>
              <w:jc w:val="left"/>
              <w:rPr>
                <w:rFonts w:eastAsia="Times New Roman"/>
                <w:noProof/>
                <w:color w:val="000000"/>
                <w:sz w:val="16"/>
                <w:szCs w:val="16"/>
              </w:rPr>
            </w:pPr>
            <w:r w:rsidRPr="00D207EA">
              <w:rPr>
                <w:noProof/>
                <w:color w:val="000000"/>
                <w:sz w:val="16"/>
              </w:rPr>
              <w:t>Dépenses informatiques (institutionnelles)</w:t>
            </w:r>
          </w:p>
        </w:tc>
        <w:tc>
          <w:tcPr>
            <w:tcW w:w="40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B21A536"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19,926</w:t>
            </w:r>
          </w:p>
        </w:tc>
        <w:tc>
          <w:tcPr>
            <w:tcW w:w="472"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04CBECCD"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19,926</w:t>
            </w:r>
          </w:p>
        </w:tc>
        <w:tc>
          <w:tcPr>
            <w:tcW w:w="406"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E482268"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19,926</w:t>
            </w:r>
          </w:p>
        </w:tc>
        <w:tc>
          <w:tcPr>
            <w:tcW w:w="41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05CB085"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19,926</w:t>
            </w:r>
          </w:p>
        </w:tc>
        <w:tc>
          <w:tcPr>
            <w:tcW w:w="416"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0EECB5C3"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19,926</w:t>
            </w:r>
          </w:p>
        </w:tc>
        <w:tc>
          <w:tcPr>
            <w:tcW w:w="41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2A05AC58"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19,926</w:t>
            </w:r>
          </w:p>
        </w:tc>
        <w:tc>
          <w:tcPr>
            <w:tcW w:w="410"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36B16FC8" w14:textId="77777777" w:rsidR="004A489F" w:rsidRPr="00D207EA" w:rsidRDefault="004A489F">
            <w:pPr>
              <w:spacing w:before="0" w:after="0"/>
              <w:jc w:val="right"/>
              <w:rPr>
                <w:rFonts w:eastAsia="Times New Roman"/>
                <w:noProof/>
                <w:color w:val="000000"/>
                <w:sz w:val="16"/>
                <w:szCs w:val="16"/>
              </w:rPr>
            </w:pPr>
            <w:r w:rsidRPr="00D207EA">
              <w:rPr>
                <w:noProof/>
                <w:color w:val="000000"/>
                <w:sz w:val="16"/>
              </w:rPr>
              <w:t>19,926</w:t>
            </w:r>
          </w:p>
        </w:tc>
        <w:tc>
          <w:tcPr>
            <w:tcW w:w="456"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01A0DE4"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139,482</w:t>
            </w:r>
          </w:p>
        </w:tc>
      </w:tr>
      <w:tr w:rsidR="004A489F" w:rsidRPr="00D207EA" w14:paraId="4CAB3CF8" w14:textId="77777777">
        <w:trPr>
          <w:trHeight w:val="300"/>
        </w:trPr>
        <w:tc>
          <w:tcPr>
            <w:tcW w:w="1605"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4C277508" w14:textId="77777777" w:rsidR="004A489F" w:rsidRPr="00D207EA" w:rsidRDefault="004A489F">
            <w:pPr>
              <w:spacing w:before="0" w:after="0"/>
              <w:jc w:val="center"/>
              <w:rPr>
                <w:rFonts w:eastAsia="Times New Roman"/>
                <w:b/>
                <w:noProof/>
                <w:color w:val="000000"/>
                <w:sz w:val="16"/>
                <w:szCs w:val="16"/>
              </w:rPr>
            </w:pPr>
            <w:r w:rsidRPr="00D207EA">
              <w:rPr>
                <w:b/>
                <w:noProof/>
                <w:color w:val="000000"/>
                <w:sz w:val="16"/>
              </w:rPr>
              <w:t>Sous-total RUBRIQUE 7</w:t>
            </w:r>
          </w:p>
        </w:tc>
        <w:tc>
          <w:tcPr>
            <w:tcW w:w="405" w:type="pct"/>
            <w:tcBorders>
              <w:top w:val="single" w:sz="8" w:space="0" w:color="auto"/>
              <w:left w:val="single" w:sz="8" w:space="0" w:color="auto"/>
              <w:bottom w:val="single" w:sz="8" w:space="0" w:color="auto"/>
              <w:right w:val="single" w:sz="8" w:space="0" w:color="auto"/>
            </w:tcBorders>
            <w:shd w:val="clear" w:color="000000" w:fill="D9D9D9"/>
            <w:hideMark/>
          </w:tcPr>
          <w:p w14:paraId="20C17F36"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19,926</w:t>
            </w:r>
          </w:p>
        </w:tc>
        <w:tc>
          <w:tcPr>
            <w:tcW w:w="472" w:type="pct"/>
            <w:tcBorders>
              <w:top w:val="single" w:sz="8" w:space="0" w:color="auto"/>
              <w:left w:val="single" w:sz="8" w:space="0" w:color="auto"/>
              <w:bottom w:val="single" w:sz="8" w:space="0" w:color="auto"/>
              <w:right w:val="single" w:sz="8" w:space="0" w:color="auto"/>
            </w:tcBorders>
            <w:shd w:val="clear" w:color="000000" w:fill="D9D9D9"/>
            <w:hideMark/>
          </w:tcPr>
          <w:p w14:paraId="3A3A0326"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19,926</w:t>
            </w:r>
          </w:p>
        </w:tc>
        <w:tc>
          <w:tcPr>
            <w:tcW w:w="406" w:type="pct"/>
            <w:tcBorders>
              <w:top w:val="single" w:sz="8" w:space="0" w:color="auto"/>
              <w:left w:val="single" w:sz="8" w:space="0" w:color="auto"/>
              <w:bottom w:val="single" w:sz="8" w:space="0" w:color="auto"/>
              <w:right w:val="single" w:sz="8" w:space="0" w:color="auto"/>
            </w:tcBorders>
            <w:shd w:val="clear" w:color="000000" w:fill="D9D9D9"/>
            <w:hideMark/>
          </w:tcPr>
          <w:p w14:paraId="5E979C0C"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19,926</w:t>
            </w:r>
          </w:p>
        </w:tc>
        <w:tc>
          <w:tcPr>
            <w:tcW w:w="415" w:type="pct"/>
            <w:tcBorders>
              <w:top w:val="single" w:sz="8" w:space="0" w:color="auto"/>
              <w:left w:val="single" w:sz="8" w:space="0" w:color="auto"/>
              <w:bottom w:val="single" w:sz="8" w:space="0" w:color="auto"/>
              <w:right w:val="single" w:sz="8" w:space="0" w:color="auto"/>
            </w:tcBorders>
            <w:shd w:val="clear" w:color="000000" w:fill="D9D9D9"/>
            <w:hideMark/>
          </w:tcPr>
          <w:p w14:paraId="794A70FE"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19,926</w:t>
            </w:r>
          </w:p>
        </w:tc>
        <w:tc>
          <w:tcPr>
            <w:tcW w:w="416" w:type="pct"/>
            <w:tcBorders>
              <w:top w:val="single" w:sz="8" w:space="0" w:color="auto"/>
              <w:left w:val="single" w:sz="8" w:space="0" w:color="auto"/>
              <w:bottom w:val="single" w:sz="8" w:space="0" w:color="auto"/>
              <w:right w:val="single" w:sz="8" w:space="0" w:color="auto"/>
            </w:tcBorders>
            <w:shd w:val="clear" w:color="000000" w:fill="D9D9D9"/>
            <w:hideMark/>
          </w:tcPr>
          <w:p w14:paraId="37DDAB0C"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19,926</w:t>
            </w:r>
          </w:p>
        </w:tc>
        <w:tc>
          <w:tcPr>
            <w:tcW w:w="415" w:type="pct"/>
            <w:tcBorders>
              <w:top w:val="single" w:sz="8" w:space="0" w:color="auto"/>
              <w:left w:val="single" w:sz="8" w:space="0" w:color="auto"/>
              <w:bottom w:val="single" w:sz="8" w:space="0" w:color="auto"/>
              <w:right w:val="single" w:sz="8" w:space="0" w:color="auto"/>
            </w:tcBorders>
            <w:shd w:val="clear" w:color="000000" w:fill="D9D9D9"/>
            <w:hideMark/>
          </w:tcPr>
          <w:p w14:paraId="4DF7BF0E"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19,926</w:t>
            </w:r>
          </w:p>
        </w:tc>
        <w:tc>
          <w:tcPr>
            <w:tcW w:w="410" w:type="pct"/>
            <w:tcBorders>
              <w:top w:val="single" w:sz="8" w:space="0" w:color="auto"/>
              <w:left w:val="single" w:sz="8" w:space="0" w:color="auto"/>
              <w:bottom w:val="single" w:sz="8" w:space="0" w:color="auto"/>
              <w:right w:val="single" w:sz="8" w:space="0" w:color="auto"/>
            </w:tcBorders>
            <w:shd w:val="clear" w:color="000000" w:fill="D9D9D9"/>
            <w:hideMark/>
          </w:tcPr>
          <w:p w14:paraId="346951CE"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19,926</w:t>
            </w:r>
          </w:p>
        </w:tc>
        <w:tc>
          <w:tcPr>
            <w:tcW w:w="456" w:type="pct"/>
            <w:tcBorders>
              <w:top w:val="single" w:sz="8" w:space="0" w:color="auto"/>
              <w:left w:val="single" w:sz="8" w:space="0" w:color="auto"/>
              <w:bottom w:val="single" w:sz="8" w:space="0" w:color="auto"/>
              <w:right w:val="single" w:sz="8" w:space="0" w:color="auto"/>
            </w:tcBorders>
            <w:shd w:val="clear" w:color="000000" w:fill="D9D9D9"/>
            <w:hideMark/>
          </w:tcPr>
          <w:p w14:paraId="47741DE2" w14:textId="77777777" w:rsidR="004A489F" w:rsidRPr="00D207EA" w:rsidRDefault="004A489F">
            <w:pPr>
              <w:spacing w:before="0" w:after="0"/>
              <w:jc w:val="right"/>
              <w:rPr>
                <w:rFonts w:eastAsia="Times New Roman"/>
                <w:b/>
                <w:noProof/>
                <w:color w:val="000000"/>
                <w:sz w:val="16"/>
                <w:szCs w:val="16"/>
              </w:rPr>
            </w:pPr>
            <w:r w:rsidRPr="00D207EA">
              <w:rPr>
                <w:b/>
                <w:noProof/>
                <w:color w:val="000000"/>
                <w:sz w:val="16"/>
              </w:rPr>
              <w:t>139,482</w:t>
            </w:r>
          </w:p>
        </w:tc>
      </w:tr>
      <w:tr w:rsidR="004A489F" w:rsidRPr="00D207EA" w14:paraId="4B778AE4" w14:textId="77777777">
        <w:trPr>
          <w:trHeight w:val="300"/>
        </w:trPr>
        <w:tc>
          <w:tcPr>
            <w:tcW w:w="5000" w:type="pct"/>
            <w:gridSpan w:val="9"/>
            <w:tcBorders>
              <w:top w:val="single" w:sz="8" w:space="0" w:color="auto"/>
              <w:left w:val="single" w:sz="8" w:space="0" w:color="auto"/>
              <w:bottom w:val="single" w:sz="8" w:space="0" w:color="auto"/>
              <w:right w:val="nil"/>
            </w:tcBorders>
            <w:vAlign w:val="center"/>
            <w:hideMark/>
          </w:tcPr>
          <w:p w14:paraId="604ED613" w14:textId="77777777" w:rsidR="004A489F" w:rsidRPr="00D207EA" w:rsidRDefault="004A489F">
            <w:pPr>
              <w:spacing w:before="0" w:after="0"/>
              <w:jc w:val="left"/>
              <w:rPr>
                <w:rFonts w:eastAsia="Times New Roman"/>
                <w:b/>
                <w:noProof/>
                <w:sz w:val="16"/>
                <w:szCs w:val="16"/>
              </w:rPr>
            </w:pPr>
            <w:r w:rsidRPr="00D207EA">
              <w:rPr>
                <w:b/>
                <w:noProof/>
                <w:sz w:val="16"/>
              </w:rPr>
              <w:t>Hors RUBRIQUE 7</w:t>
            </w:r>
          </w:p>
        </w:tc>
      </w:tr>
      <w:tr w:rsidR="004A489F" w:rsidRPr="00D207EA" w14:paraId="27F5FCB7" w14:textId="77777777">
        <w:trPr>
          <w:trHeight w:val="300"/>
        </w:trPr>
        <w:tc>
          <w:tcPr>
            <w:tcW w:w="160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44182D90" w14:textId="77777777" w:rsidR="004A489F" w:rsidRPr="00D207EA" w:rsidRDefault="004A489F">
            <w:pPr>
              <w:spacing w:before="0" w:after="0"/>
              <w:jc w:val="left"/>
              <w:rPr>
                <w:rFonts w:eastAsia="Times New Roman"/>
                <w:noProof/>
                <w:color w:val="000000"/>
                <w:sz w:val="16"/>
                <w:szCs w:val="16"/>
              </w:rPr>
            </w:pPr>
            <w:r w:rsidRPr="00D207EA">
              <w:rPr>
                <w:noProof/>
                <w:color w:val="000000"/>
                <w:sz w:val="16"/>
              </w:rPr>
              <w:t>Dépenses pour les systèmes informatiques soutenant une politique consacrées aux programmes opérationnels</w:t>
            </w:r>
          </w:p>
        </w:tc>
        <w:tc>
          <w:tcPr>
            <w:tcW w:w="40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E98B3E4" w14:textId="77777777" w:rsidR="004A489F" w:rsidRPr="00D207EA" w:rsidRDefault="004A489F">
            <w:pPr>
              <w:spacing w:before="0" w:after="0"/>
              <w:jc w:val="right"/>
              <w:rPr>
                <w:rFonts w:eastAsia="Times New Roman"/>
                <w:noProof/>
                <w:color w:val="000000"/>
                <w:sz w:val="16"/>
                <w:szCs w:val="16"/>
                <w:lang w:eastAsia="en-IE"/>
              </w:rPr>
            </w:pPr>
          </w:p>
        </w:tc>
        <w:tc>
          <w:tcPr>
            <w:tcW w:w="472"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33A3613" w14:textId="77777777" w:rsidR="004A489F" w:rsidRPr="00D207EA" w:rsidRDefault="004A489F">
            <w:pPr>
              <w:spacing w:before="0" w:after="0"/>
              <w:jc w:val="right"/>
              <w:rPr>
                <w:rFonts w:eastAsia="Times New Roman"/>
                <w:noProof/>
                <w:color w:val="000000"/>
                <w:sz w:val="16"/>
                <w:szCs w:val="16"/>
                <w:lang w:eastAsia="en-IE"/>
              </w:rPr>
            </w:pPr>
          </w:p>
        </w:tc>
        <w:tc>
          <w:tcPr>
            <w:tcW w:w="406"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B3967AC" w14:textId="77777777" w:rsidR="004A489F" w:rsidRPr="00D207EA" w:rsidRDefault="004A489F">
            <w:pPr>
              <w:spacing w:before="0" w:after="0"/>
              <w:jc w:val="right"/>
              <w:rPr>
                <w:rFonts w:eastAsia="Times New Roman"/>
                <w:noProof/>
                <w:color w:val="000000"/>
                <w:sz w:val="16"/>
                <w:szCs w:val="16"/>
                <w:lang w:eastAsia="en-IE"/>
              </w:rPr>
            </w:pPr>
          </w:p>
        </w:tc>
        <w:tc>
          <w:tcPr>
            <w:tcW w:w="41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044AF333" w14:textId="77777777" w:rsidR="004A489F" w:rsidRPr="00D207EA" w:rsidRDefault="004A489F">
            <w:pPr>
              <w:spacing w:before="0" w:after="0"/>
              <w:jc w:val="right"/>
              <w:rPr>
                <w:rFonts w:eastAsia="Times New Roman"/>
                <w:noProof/>
                <w:color w:val="000000"/>
                <w:sz w:val="16"/>
                <w:szCs w:val="16"/>
                <w:lang w:eastAsia="en-IE"/>
              </w:rPr>
            </w:pPr>
          </w:p>
        </w:tc>
        <w:tc>
          <w:tcPr>
            <w:tcW w:w="416"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4A60AA78" w14:textId="77777777" w:rsidR="004A489F" w:rsidRPr="00D207EA" w:rsidRDefault="004A489F">
            <w:pPr>
              <w:spacing w:before="0" w:after="0"/>
              <w:jc w:val="right"/>
              <w:rPr>
                <w:rFonts w:eastAsia="Times New Roman"/>
                <w:noProof/>
                <w:color w:val="000000"/>
                <w:sz w:val="16"/>
                <w:szCs w:val="16"/>
                <w:lang w:eastAsia="en-IE"/>
              </w:rPr>
            </w:pPr>
          </w:p>
        </w:tc>
        <w:tc>
          <w:tcPr>
            <w:tcW w:w="41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978873F" w14:textId="77777777" w:rsidR="004A489F" w:rsidRPr="00D207EA" w:rsidRDefault="004A489F">
            <w:pPr>
              <w:spacing w:before="0" w:after="0"/>
              <w:jc w:val="right"/>
              <w:rPr>
                <w:rFonts w:eastAsia="Times New Roman"/>
                <w:noProof/>
                <w:color w:val="000000"/>
                <w:sz w:val="16"/>
                <w:szCs w:val="16"/>
                <w:lang w:eastAsia="en-IE"/>
              </w:rPr>
            </w:pPr>
          </w:p>
        </w:tc>
        <w:tc>
          <w:tcPr>
            <w:tcW w:w="410"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FE96AEF" w14:textId="77777777" w:rsidR="004A489F" w:rsidRPr="00D207EA" w:rsidRDefault="004A489F">
            <w:pPr>
              <w:spacing w:before="0" w:after="0"/>
              <w:jc w:val="right"/>
              <w:rPr>
                <w:rFonts w:eastAsia="Times New Roman"/>
                <w:noProof/>
                <w:color w:val="000000"/>
                <w:sz w:val="16"/>
                <w:szCs w:val="16"/>
                <w:lang w:eastAsia="en-IE"/>
              </w:rPr>
            </w:pPr>
          </w:p>
        </w:tc>
        <w:tc>
          <w:tcPr>
            <w:tcW w:w="456"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8B80DCB" w14:textId="77777777" w:rsidR="004A489F" w:rsidRPr="00D207EA" w:rsidRDefault="004A489F">
            <w:pPr>
              <w:spacing w:before="0" w:after="0"/>
              <w:jc w:val="right"/>
              <w:rPr>
                <w:rFonts w:eastAsia="Times New Roman"/>
                <w:b/>
                <w:noProof/>
                <w:color w:val="000000"/>
                <w:sz w:val="16"/>
                <w:szCs w:val="16"/>
                <w:lang w:eastAsia="en-IE"/>
              </w:rPr>
            </w:pPr>
          </w:p>
        </w:tc>
      </w:tr>
      <w:tr w:rsidR="00AE2D8C" w:rsidRPr="00D207EA" w14:paraId="4B522783" w14:textId="77777777" w:rsidTr="00CF52B7">
        <w:trPr>
          <w:trHeight w:val="300"/>
        </w:trPr>
        <w:tc>
          <w:tcPr>
            <w:tcW w:w="1605"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22ECB566" w14:textId="77777777" w:rsidR="00AE2D8C" w:rsidRPr="00D207EA" w:rsidRDefault="00AE2D8C" w:rsidP="00AE2D8C">
            <w:pPr>
              <w:spacing w:before="0" w:after="0"/>
              <w:jc w:val="center"/>
              <w:rPr>
                <w:rFonts w:eastAsia="Times New Roman"/>
                <w:b/>
                <w:noProof/>
                <w:color w:val="000000"/>
                <w:sz w:val="16"/>
                <w:szCs w:val="16"/>
              </w:rPr>
            </w:pPr>
            <w:r w:rsidRPr="00D207EA">
              <w:rPr>
                <w:b/>
                <w:noProof/>
                <w:color w:val="000000"/>
                <w:sz w:val="16"/>
              </w:rPr>
              <w:t>Sous-total hors RUBRIQUE 7</w:t>
            </w:r>
          </w:p>
        </w:tc>
        <w:tc>
          <w:tcPr>
            <w:tcW w:w="40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DF7D761" w14:textId="77777777" w:rsidR="00AE2D8C" w:rsidRPr="00D207EA" w:rsidRDefault="00AE2D8C" w:rsidP="00AE2D8C">
            <w:pPr>
              <w:spacing w:before="0" w:after="0"/>
              <w:jc w:val="right"/>
              <w:rPr>
                <w:rFonts w:eastAsia="Times New Roman"/>
                <w:b/>
                <w:noProof/>
                <w:color w:val="000000"/>
                <w:sz w:val="16"/>
                <w:szCs w:val="16"/>
              </w:rPr>
            </w:pPr>
            <w:r w:rsidRPr="00D207EA">
              <w:rPr>
                <w:b/>
                <w:noProof/>
                <w:color w:val="000000"/>
                <w:sz w:val="16"/>
              </w:rPr>
              <w:t>p.m.</w:t>
            </w:r>
          </w:p>
        </w:tc>
        <w:tc>
          <w:tcPr>
            <w:tcW w:w="472" w:type="pct"/>
            <w:tcBorders>
              <w:top w:val="single" w:sz="8" w:space="0" w:color="auto"/>
              <w:left w:val="single" w:sz="8" w:space="0" w:color="auto"/>
              <w:bottom w:val="single" w:sz="8" w:space="0" w:color="auto"/>
              <w:right w:val="single" w:sz="8" w:space="0" w:color="auto"/>
            </w:tcBorders>
            <w:shd w:val="clear" w:color="000000" w:fill="D9D9D9"/>
            <w:hideMark/>
          </w:tcPr>
          <w:p w14:paraId="580E8F76" w14:textId="77777777" w:rsidR="00AE2D8C" w:rsidRPr="00D207EA" w:rsidRDefault="00AE2D8C" w:rsidP="00AE2D8C">
            <w:pPr>
              <w:spacing w:before="0" w:after="0"/>
              <w:jc w:val="right"/>
              <w:rPr>
                <w:rFonts w:eastAsia="Times New Roman"/>
                <w:b/>
                <w:noProof/>
                <w:color w:val="000000"/>
                <w:sz w:val="16"/>
                <w:szCs w:val="16"/>
              </w:rPr>
            </w:pPr>
            <w:r w:rsidRPr="00D207EA">
              <w:rPr>
                <w:b/>
                <w:noProof/>
                <w:color w:val="000000"/>
                <w:sz w:val="16"/>
              </w:rPr>
              <w:t>p.m.</w:t>
            </w:r>
          </w:p>
        </w:tc>
        <w:tc>
          <w:tcPr>
            <w:tcW w:w="406" w:type="pct"/>
            <w:tcBorders>
              <w:top w:val="single" w:sz="8" w:space="0" w:color="auto"/>
              <w:left w:val="single" w:sz="8" w:space="0" w:color="auto"/>
              <w:bottom w:val="single" w:sz="8" w:space="0" w:color="auto"/>
              <w:right w:val="single" w:sz="8" w:space="0" w:color="auto"/>
            </w:tcBorders>
            <w:shd w:val="clear" w:color="000000" w:fill="D9D9D9"/>
            <w:hideMark/>
          </w:tcPr>
          <w:p w14:paraId="41A27902" w14:textId="77777777" w:rsidR="00AE2D8C" w:rsidRPr="00D207EA" w:rsidRDefault="00AE2D8C" w:rsidP="00AE2D8C">
            <w:pPr>
              <w:spacing w:before="0" w:after="0"/>
              <w:jc w:val="right"/>
              <w:rPr>
                <w:rFonts w:eastAsia="Times New Roman"/>
                <w:b/>
                <w:noProof/>
                <w:color w:val="000000"/>
                <w:sz w:val="16"/>
                <w:szCs w:val="16"/>
              </w:rPr>
            </w:pPr>
            <w:r w:rsidRPr="00D207EA">
              <w:rPr>
                <w:b/>
                <w:noProof/>
                <w:color w:val="000000"/>
                <w:sz w:val="16"/>
              </w:rPr>
              <w:t>p.m.</w:t>
            </w:r>
          </w:p>
        </w:tc>
        <w:tc>
          <w:tcPr>
            <w:tcW w:w="415" w:type="pct"/>
            <w:tcBorders>
              <w:top w:val="single" w:sz="8" w:space="0" w:color="auto"/>
              <w:left w:val="single" w:sz="8" w:space="0" w:color="auto"/>
              <w:bottom w:val="single" w:sz="8" w:space="0" w:color="auto"/>
              <w:right w:val="single" w:sz="8" w:space="0" w:color="auto"/>
            </w:tcBorders>
            <w:shd w:val="clear" w:color="000000" w:fill="D9D9D9"/>
            <w:hideMark/>
          </w:tcPr>
          <w:p w14:paraId="11092516" w14:textId="77777777" w:rsidR="00AE2D8C" w:rsidRPr="00D207EA" w:rsidRDefault="00AE2D8C" w:rsidP="00AE2D8C">
            <w:pPr>
              <w:spacing w:before="0" w:after="0"/>
              <w:jc w:val="right"/>
              <w:rPr>
                <w:rFonts w:eastAsia="Times New Roman"/>
                <w:b/>
                <w:noProof/>
                <w:color w:val="000000"/>
                <w:sz w:val="16"/>
                <w:szCs w:val="16"/>
              </w:rPr>
            </w:pPr>
            <w:r w:rsidRPr="00D207EA">
              <w:rPr>
                <w:b/>
                <w:noProof/>
                <w:color w:val="000000"/>
                <w:sz w:val="16"/>
              </w:rPr>
              <w:t>p.m.</w:t>
            </w:r>
          </w:p>
        </w:tc>
        <w:tc>
          <w:tcPr>
            <w:tcW w:w="416" w:type="pct"/>
            <w:tcBorders>
              <w:top w:val="single" w:sz="8" w:space="0" w:color="auto"/>
              <w:left w:val="single" w:sz="8" w:space="0" w:color="auto"/>
              <w:bottom w:val="single" w:sz="8" w:space="0" w:color="auto"/>
              <w:right w:val="single" w:sz="8" w:space="0" w:color="auto"/>
            </w:tcBorders>
            <w:shd w:val="clear" w:color="000000" w:fill="D9D9D9"/>
            <w:hideMark/>
          </w:tcPr>
          <w:p w14:paraId="26E06AED" w14:textId="77777777" w:rsidR="00AE2D8C" w:rsidRPr="00D207EA" w:rsidRDefault="00AE2D8C" w:rsidP="00AE2D8C">
            <w:pPr>
              <w:spacing w:before="0" w:after="0"/>
              <w:jc w:val="right"/>
              <w:rPr>
                <w:rFonts w:eastAsia="Times New Roman"/>
                <w:b/>
                <w:noProof/>
                <w:color w:val="000000"/>
                <w:sz w:val="16"/>
                <w:szCs w:val="16"/>
              </w:rPr>
            </w:pPr>
            <w:r w:rsidRPr="00D207EA">
              <w:rPr>
                <w:b/>
                <w:noProof/>
                <w:color w:val="000000"/>
                <w:sz w:val="16"/>
              </w:rPr>
              <w:t>p.m.</w:t>
            </w:r>
          </w:p>
        </w:tc>
        <w:tc>
          <w:tcPr>
            <w:tcW w:w="415" w:type="pct"/>
            <w:tcBorders>
              <w:top w:val="single" w:sz="8" w:space="0" w:color="auto"/>
              <w:left w:val="single" w:sz="8" w:space="0" w:color="auto"/>
              <w:bottom w:val="single" w:sz="8" w:space="0" w:color="auto"/>
              <w:right w:val="single" w:sz="8" w:space="0" w:color="auto"/>
            </w:tcBorders>
            <w:shd w:val="clear" w:color="000000" w:fill="D9D9D9"/>
            <w:hideMark/>
          </w:tcPr>
          <w:p w14:paraId="0A72C6D7" w14:textId="77777777" w:rsidR="00AE2D8C" w:rsidRPr="00D207EA" w:rsidRDefault="00AE2D8C" w:rsidP="00AE2D8C">
            <w:pPr>
              <w:spacing w:before="0" w:after="0"/>
              <w:jc w:val="right"/>
              <w:rPr>
                <w:rFonts w:eastAsia="Times New Roman"/>
                <w:b/>
                <w:noProof/>
                <w:color w:val="000000"/>
                <w:sz w:val="16"/>
                <w:szCs w:val="16"/>
              </w:rPr>
            </w:pPr>
            <w:r w:rsidRPr="00D207EA">
              <w:rPr>
                <w:b/>
                <w:noProof/>
                <w:color w:val="000000"/>
                <w:sz w:val="16"/>
              </w:rPr>
              <w:t>p.m.</w:t>
            </w:r>
          </w:p>
        </w:tc>
        <w:tc>
          <w:tcPr>
            <w:tcW w:w="410" w:type="pct"/>
            <w:tcBorders>
              <w:top w:val="single" w:sz="8" w:space="0" w:color="auto"/>
              <w:left w:val="single" w:sz="8" w:space="0" w:color="auto"/>
              <w:bottom w:val="single" w:sz="8" w:space="0" w:color="auto"/>
              <w:right w:val="single" w:sz="8" w:space="0" w:color="auto"/>
            </w:tcBorders>
            <w:shd w:val="clear" w:color="000000" w:fill="D9D9D9"/>
            <w:hideMark/>
          </w:tcPr>
          <w:p w14:paraId="7042D72E" w14:textId="77777777" w:rsidR="00AE2D8C" w:rsidRPr="00D207EA" w:rsidRDefault="00AE2D8C" w:rsidP="00AE2D8C">
            <w:pPr>
              <w:spacing w:before="0" w:after="0"/>
              <w:jc w:val="right"/>
              <w:rPr>
                <w:rFonts w:eastAsia="Times New Roman"/>
                <w:b/>
                <w:noProof/>
                <w:color w:val="000000"/>
                <w:sz w:val="16"/>
                <w:szCs w:val="16"/>
              </w:rPr>
            </w:pPr>
            <w:r w:rsidRPr="00D207EA">
              <w:rPr>
                <w:b/>
                <w:noProof/>
                <w:color w:val="000000"/>
                <w:sz w:val="16"/>
              </w:rPr>
              <w:t>p.m.</w:t>
            </w:r>
          </w:p>
        </w:tc>
        <w:tc>
          <w:tcPr>
            <w:tcW w:w="456" w:type="pct"/>
            <w:tcBorders>
              <w:top w:val="single" w:sz="8" w:space="0" w:color="auto"/>
              <w:left w:val="single" w:sz="8" w:space="0" w:color="auto"/>
              <w:bottom w:val="single" w:sz="8" w:space="0" w:color="auto"/>
              <w:right w:val="single" w:sz="8" w:space="0" w:color="auto"/>
            </w:tcBorders>
            <w:shd w:val="clear" w:color="000000" w:fill="D9D9D9"/>
            <w:hideMark/>
          </w:tcPr>
          <w:p w14:paraId="4F45FEF0" w14:textId="77777777" w:rsidR="00AE2D8C" w:rsidRPr="00D207EA" w:rsidRDefault="00AE2D8C" w:rsidP="00AE2D8C">
            <w:pPr>
              <w:spacing w:before="0" w:after="0"/>
              <w:jc w:val="right"/>
              <w:rPr>
                <w:rFonts w:eastAsia="Times New Roman"/>
                <w:b/>
                <w:noProof/>
                <w:color w:val="000000"/>
                <w:sz w:val="16"/>
                <w:szCs w:val="16"/>
              </w:rPr>
            </w:pPr>
            <w:r w:rsidRPr="00D207EA">
              <w:rPr>
                <w:b/>
                <w:noProof/>
                <w:color w:val="000000"/>
                <w:sz w:val="16"/>
              </w:rPr>
              <w:t>p.m.</w:t>
            </w:r>
          </w:p>
        </w:tc>
      </w:tr>
      <w:tr w:rsidR="004A489F" w:rsidRPr="00D207EA" w14:paraId="2A04CC51" w14:textId="77777777">
        <w:trPr>
          <w:trHeight w:val="300"/>
        </w:trPr>
        <w:tc>
          <w:tcPr>
            <w:tcW w:w="5000" w:type="pct"/>
            <w:gridSpan w:val="9"/>
            <w:tcBorders>
              <w:top w:val="single" w:sz="8" w:space="0" w:color="auto"/>
              <w:left w:val="single" w:sz="8" w:space="0" w:color="auto"/>
              <w:bottom w:val="single" w:sz="8" w:space="0" w:color="auto"/>
              <w:right w:val="nil"/>
            </w:tcBorders>
            <w:noWrap/>
            <w:vAlign w:val="center"/>
            <w:hideMark/>
          </w:tcPr>
          <w:p w14:paraId="29C29CC4" w14:textId="77777777" w:rsidR="004A489F" w:rsidRPr="00D207EA" w:rsidRDefault="004A489F">
            <w:pPr>
              <w:spacing w:before="0" w:after="0"/>
              <w:jc w:val="right"/>
              <w:rPr>
                <w:rFonts w:eastAsia="Times New Roman"/>
                <w:b/>
                <w:noProof/>
                <w:color w:val="000000"/>
                <w:sz w:val="16"/>
                <w:szCs w:val="16"/>
                <w:lang w:eastAsia="en-IE"/>
              </w:rPr>
            </w:pPr>
          </w:p>
        </w:tc>
      </w:tr>
      <w:tr w:rsidR="004A489F" w:rsidRPr="00D207EA" w14:paraId="797B3A97" w14:textId="77777777">
        <w:trPr>
          <w:trHeight w:val="300"/>
        </w:trPr>
        <w:tc>
          <w:tcPr>
            <w:tcW w:w="1605" w:type="pct"/>
            <w:tcBorders>
              <w:top w:val="single" w:sz="8" w:space="0" w:color="auto"/>
              <w:left w:val="single" w:sz="8" w:space="0" w:color="auto"/>
              <w:bottom w:val="single" w:sz="8" w:space="0" w:color="auto"/>
              <w:right w:val="single" w:sz="8" w:space="0" w:color="auto"/>
            </w:tcBorders>
            <w:vAlign w:val="center"/>
            <w:hideMark/>
          </w:tcPr>
          <w:p w14:paraId="151F1359" w14:textId="77777777" w:rsidR="004A489F" w:rsidRPr="00D207EA" w:rsidRDefault="004A489F">
            <w:pPr>
              <w:spacing w:before="0" w:after="0"/>
              <w:jc w:val="center"/>
              <w:rPr>
                <w:rFonts w:eastAsia="Times New Roman"/>
                <w:b/>
                <w:noProof/>
                <w:color w:val="000000"/>
                <w:sz w:val="16"/>
                <w:szCs w:val="16"/>
              </w:rPr>
            </w:pPr>
            <w:r w:rsidRPr="00D207EA">
              <w:rPr>
                <w:b/>
                <w:noProof/>
                <w:color w:val="000000"/>
                <w:sz w:val="16"/>
              </w:rPr>
              <w:t>TOTAL</w:t>
            </w:r>
          </w:p>
        </w:tc>
        <w:tc>
          <w:tcPr>
            <w:tcW w:w="40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4360197" w14:textId="77777777" w:rsidR="004A489F" w:rsidRPr="00D207EA" w:rsidRDefault="00AE2D8C">
            <w:pPr>
              <w:spacing w:before="0" w:after="0"/>
              <w:jc w:val="right"/>
              <w:rPr>
                <w:rFonts w:eastAsia="Times New Roman"/>
                <w:b/>
                <w:noProof/>
                <w:color w:val="000000"/>
                <w:sz w:val="16"/>
                <w:szCs w:val="16"/>
              </w:rPr>
            </w:pPr>
            <w:r w:rsidRPr="00D207EA">
              <w:rPr>
                <w:b/>
                <w:noProof/>
                <w:color w:val="000000"/>
                <w:sz w:val="16"/>
              </w:rPr>
              <w:t>p.m.</w:t>
            </w:r>
          </w:p>
        </w:tc>
        <w:tc>
          <w:tcPr>
            <w:tcW w:w="47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6E7E9E8" w14:textId="77777777" w:rsidR="004A489F" w:rsidRPr="00D207EA" w:rsidRDefault="00AE2D8C">
            <w:pPr>
              <w:spacing w:before="0" w:after="0"/>
              <w:jc w:val="right"/>
              <w:rPr>
                <w:rFonts w:eastAsia="Times New Roman"/>
                <w:b/>
                <w:noProof/>
                <w:color w:val="000000"/>
                <w:sz w:val="16"/>
                <w:szCs w:val="16"/>
              </w:rPr>
            </w:pPr>
            <w:r w:rsidRPr="00D207EA">
              <w:rPr>
                <w:b/>
                <w:noProof/>
                <w:color w:val="000000"/>
                <w:sz w:val="16"/>
              </w:rPr>
              <w:t>p.m.</w:t>
            </w:r>
          </w:p>
        </w:tc>
        <w:tc>
          <w:tcPr>
            <w:tcW w:w="40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A0519EA" w14:textId="77777777" w:rsidR="004A489F" w:rsidRPr="00D207EA" w:rsidRDefault="00AE2D8C">
            <w:pPr>
              <w:spacing w:before="0" w:after="0"/>
              <w:jc w:val="right"/>
              <w:rPr>
                <w:rFonts w:eastAsia="Times New Roman"/>
                <w:b/>
                <w:noProof/>
                <w:color w:val="000000"/>
                <w:sz w:val="16"/>
                <w:szCs w:val="16"/>
              </w:rPr>
            </w:pPr>
            <w:r w:rsidRPr="00D207EA">
              <w:rPr>
                <w:b/>
                <w:noProof/>
                <w:color w:val="000000"/>
                <w:sz w:val="16"/>
              </w:rPr>
              <w:t>p.m.</w:t>
            </w:r>
          </w:p>
        </w:tc>
        <w:tc>
          <w:tcPr>
            <w:tcW w:w="41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0BFD511" w14:textId="77777777" w:rsidR="004A489F" w:rsidRPr="00D207EA" w:rsidRDefault="00AE2D8C">
            <w:pPr>
              <w:spacing w:before="0" w:after="0"/>
              <w:jc w:val="right"/>
              <w:rPr>
                <w:rFonts w:eastAsia="Times New Roman"/>
                <w:b/>
                <w:noProof/>
                <w:color w:val="000000"/>
                <w:sz w:val="16"/>
                <w:szCs w:val="16"/>
              </w:rPr>
            </w:pPr>
            <w:r w:rsidRPr="00D207EA">
              <w:rPr>
                <w:b/>
                <w:noProof/>
                <w:color w:val="000000"/>
                <w:sz w:val="16"/>
              </w:rPr>
              <w:t>p.m.</w:t>
            </w:r>
          </w:p>
        </w:tc>
        <w:tc>
          <w:tcPr>
            <w:tcW w:w="41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A5DA359" w14:textId="77777777" w:rsidR="004A489F" w:rsidRPr="00D207EA" w:rsidRDefault="00AE2D8C">
            <w:pPr>
              <w:spacing w:before="0" w:after="0"/>
              <w:jc w:val="right"/>
              <w:rPr>
                <w:rFonts w:eastAsia="Times New Roman"/>
                <w:b/>
                <w:noProof/>
                <w:color w:val="000000"/>
                <w:sz w:val="16"/>
                <w:szCs w:val="16"/>
              </w:rPr>
            </w:pPr>
            <w:r w:rsidRPr="00D207EA">
              <w:rPr>
                <w:b/>
                <w:noProof/>
                <w:color w:val="000000"/>
                <w:sz w:val="16"/>
              </w:rPr>
              <w:t>p.m.</w:t>
            </w:r>
          </w:p>
        </w:tc>
        <w:tc>
          <w:tcPr>
            <w:tcW w:w="41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5073AF" w14:textId="77777777" w:rsidR="004A489F" w:rsidRPr="00D207EA" w:rsidRDefault="00AE2D8C">
            <w:pPr>
              <w:spacing w:before="0" w:after="0"/>
              <w:jc w:val="right"/>
              <w:rPr>
                <w:rFonts w:eastAsia="Times New Roman"/>
                <w:b/>
                <w:noProof/>
                <w:color w:val="000000"/>
                <w:sz w:val="16"/>
                <w:szCs w:val="16"/>
              </w:rPr>
            </w:pPr>
            <w:r w:rsidRPr="00D207EA">
              <w:rPr>
                <w:b/>
                <w:noProof/>
                <w:color w:val="000000"/>
                <w:sz w:val="16"/>
              </w:rPr>
              <w:t>p.m.</w:t>
            </w:r>
          </w:p>
        </w:tc>
        <w:tc>
          <w:tcPr>
            <w:tcW w:w="41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A72EA87" w14:textId="77777777" w:rsidR="004A489F" w:rsidRPr="00D207EA" w:rsidRDefault="00AE2D8C">
            <w:pPr>
              <w:spacing w:before="0" w:after="0"/>
              <w:jc w:val="right"/>
              <w:rPr>
                <w:rFonts w:eastAsia="Times New Roman"/>
                <w:b/>
                <w:noProof/>
                <w:color w:val="000000"/>
                <w:sz w:val="16"/>
                <w:szCs w:val="16"/>
              </w:rPr>
            </w:pPr>
            <w:r w:rsidRPr="00D207EA">
              <w:rPr>
                <w:b/>
                <w:noProof/>
                <w:color w:val="000000"/>
                <w:sz w:val="16"/>
              </w:rPr>
              <w:t>p.m.</w:t>
            </w:r>
          </w:p>
        </w:tc>
        <w:tc>
          <w:tcPr>
            <w:tcW w:w="4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59BEA5F" w14:textId="77777777" w:rsidR="004A489F" w:rsidRPr="00D207EA" w:rsidRDefault="00AE2D8C">
            <w:pPr>
              <w:spacing w:before="0" w:after="0"/>
              <w:jc w:val="right"/>
              <w:rPr>
                <w:rFonts w:eastAsia="Times New Roman"/>
                <w:b/>
                <w:noProof/>
                <w:color w:val="000000"/>
                <w:sz w:val="16"/>
                <w:szCs w:val="16"/>
              </w:rPr>
            </w:pPr>
            <w:r w:rsidRPr="00D207EA">
              <w:rPr>
                <w:b/>
                <w:noProof/>
                <w:color w:val="000000"/>
                <w:sz w:val="16"/>
              </w:rPr>
              <w:t>p.m.</w:t>
            </w:r>
          </w:p>
        </w:tc>
      </w:tr>
    </w:tbl>
    <w:p w14:paraId="0783AB45" w14:textId="77777777" w:rsidR="004A489F" w:rsidRPr="00D207EA" w:rsidRDefault="004A489F" w:rsidP="004A489F">
      <w:pPr>
        <w:pStyle w:val="Text1"/>
        <w:ind w:left="0"/>
        <w:rPr>
          <w:noProof/>
        </w:rPr>
      </w:pPr>
    </w:p>
    <w:p w14:paraId="614E25A5" w14:textId="595F7DC4" w:rsidR="004A489F" w:rsidRPr="00D207EA" w:rsidRDefault="004A489F" w:rsidP="004A489F">
      <w:pPr>
        <w:pStyle w:val="ManualHeading3"/>
        <w:rPr>
          <w:noProof/>
        </w:rPr>
      </w:pPr>
      <w:bookmarkStart w:id="191" w:name="_Toc514938058"/>
      <w:bookmarkStart w:id="192" w:name="_Toc520485056"/>
      <w:bookmarkStart w:id="193" w:name="_Toc160804600"/>
      <w:bookmarkStart w:id="194" w:name="_Toc167220299"/>
      <w:bookmarkStart w:id="195" w:name="_Toc177549033"/>
      <w:bookmarkEnd w:id="189"/>
      <w:r w:rsidRPr="00D207EA">
        <w:rPr>
          <w:noProof/>
        </w:rPr>
        <w:t>3.2.6.</w:t>
      </w:r>
      <w:r w:rsidRPr="00D207EA">
        <w:rPr>
          <w:noProof/>
        </w:rPr>
        <w:tab/>
        <w:t>Participation de tiers au financement</w:t>
      </w:r>
      <w:bookmarkEnd w:id="191"/>
      <w:bookmarkEnd w:id="192"/>
      <w:bookmarkEnd w:id="193"/>
      <w:bookmarkEnd w:id="194"/>
      <w:bookmarkEnd w:id="195"/>
    </w:p>
    <w:p w14:paraId="0E0711E5" w14:textId="77777777" w:rsidR="004A489F" w:rsidRPr="00D207EA" w:rsidRDefault="004A489F" w:rsidP="004A489F">
      <w:pPr>
        <w:pStyle w:val="Text1"/>
        <w:rPr>
          <w:noProof/>
        </w:rPr>
      </w:pPr>
      <w:r w:rsidRPr="00D207EA">
        <w:rPr>
          <w:noProof/>
        </w:rPr>
        <w:t>La proposition/l’initiative:</w:t>
      </w:r>
    </w:p>
    <w:p w14:paraId="404647B2" w14:textId="77777777" w:rsidR="004A489F" w:rsidRPr="00D207EA" w:rsidRDefault="00B61BF1" w:rsidP="004A489F">
      <w:pPr>
        <w:pStyle w:val="ListDash1"/>
        <w:rPr>
          <w:noProof/>
        </w:rPr>
      </w:pPr>
      <w:r w:rsidRPr="00D207EA">
        <w:rPr>
          <w:rFonts w:ascii="Wingdings" w:hAnsi="Wingdings"/>
          <w:noProof/>
        </w:rPr>
        <w:t></w:t>
      </w:r>
      <w:r w:rsidRPr="00D207EA">
        <w:rPr>
          <w:noProof/>
        </w:rPr>
        <w:tab/>
        <w:t>ne prévoit pas de cofinancement par des tierces parties</w:t>
      </w:r>
    </w:p>
    <w:p w14:paraId="633958C5" w14:textId="77777777" w:rsidR="004A489F" w:rsidRPr="00D207EA" w:rsidRDefault="004A489F" w:rsidP="004A489F">
      <w:pPr>
        <w:pStyle w:val="ListDash1"/>
        <w:rPr>
          <w:noProof/>
        </w:rPr>
      </w:pPr>
      <w:r w:rsidRPr="00D207EA">
        <w:rPr>
          <w:rFonts w:ascii="Wingdings" w:hAnsi="Wingdings"/>
          <w:noProof/>
        </w:rPr>
        <w:t></w:t>
      </w:r>
      <w:r w:rsidRPr="00D207EA">
        <w:rPr>
          <w:noProof/>
        </w:rPr>
        <w:tab/>
        <w:t>prévoit le cofinancement par des tierces parties estimé ci‑après:</w:t>
      </w:r>
    </w:p>
    <w:p w14:paraId="2A0F66FE" w14:textId="77777777" w:rsidR="004A489F" w:rsidRPr="00D207EA" w:rsidRDefault="004A489F" w:rsidP="004A489F">
      <w:pPr>
        <w:jc w:val="right"/>
        <w:rPr>
          <w:noProof/>
          <w:sz w:val="20"/>
        </w:rPr>
      </w:pPr>
      <w:r w:rsidRPr="00D207EA">
        <w:rPr>
          <w:noProof/>
          <w:sz w:val="20"/>
        </w:rPr>
        <w:t>Crédits en Mio EUR (à la 3</w:t>
      </w:r>
      <w:r w:rsidRPr="00D207EA">
        <w:rPr>
          <w:noProof/>
          <w:sz w:val="20"/>
          <w:vertAlign w:val="superscript"/>
        </w:rPr>
        <w:t>e</w:t>
      </w:r>
      <w:r w:rsidRPr="00D207EA">
        <w:rPr>
          <w:noProof/>
          <w:sz w:val="20"/>
        </w:rPr>
        <w:t> décimale)</w:t>
      </w:r>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129"/>
        <w:gridCol w:w="874"/>
        <w:gridCol w:w="875"/>
        <w:gridCol w:w="875"/>
        <w:gridCol w:w="875"/>
        <w:gridCol w:w="875"/>
        <w:gridCol w:w="875"/>
        <w:gridCol w:w="875"/>
        <w:gridCol w:w="1032"/>
      </w:tblGrid>
      <w:tr w:rsidR="004A489F" w:rsidRPr="00D207EA" w14:paraId="445E2DC5" w14:textId="77777777">
        <w:trPr>
          <w:cantSplit/>
        </w:trPr>
        <w:tc>
          <w:tcPr>
            <w:tcW w:w="1147" w:type="pct"/>
          </w:tcPr>
          <w:p w14:paraId="2BEEE78E" w14:textId="77777777" w:rsidR="004A489F" w:rsidRPr="00D207EA" w:rsidRDefault="004A489F">
            <w:pPr>
              <w:spacing w:before="60" w:after="60"/>
              <w:rPr>
                <w:noProof/>
                <w:sz w:val="20"/>
              </w:rPr>
            </w:pPr>
            <w:r w:rsidRPr="00D207EA">
              <w:rPr>
                <w:noProof/>
                <w:sz w:val="20"/>
              </w:rPr>
              <w:t>années</w:t>
            </w:r>
          </w:p>
        </w:tc>
        <w:tc>
          <w:tcPr>
            <w:tcW w:w="471" w:type="pct"/>
            <w:vAlign w:val="center"/>
          </w:tcPr>
          <w:p w14:paraId="0735FECB" w14:textId="77777777" w:rsidR="004A489F" w:rsidRPr="00D207EA" w:rsidRDefault="004A489F">
            <w:pPr>
              <w:jc w:val="center"/>
              <w:rPr>
                <w:noProof/>
                <w:sz w:val="20"/>
              </w:rPr>
            </w:pPr>
            <w:r w:rsidRPr="00D207EA">
              <w:rPr>
                <w:noProof/>
                <w:sz w:val="20"/>
              </w:rPr>
              <w:t>Année</w:t>
            </w:r>
            <w:r w:rsidRPr="00D207EA">
              <w:rPr>
                <w:noProof/>
                <w:sz w:val="22"/>
              </w:rPr>
              <w:br/>
            </w:r>
            <w:r w:rsidRPr="00D207EA">
              <w:rPr>
                <w:b/>
                <w:noProof/>
                <w:sz w:val="20"/>
              </w:rPr>
              <w:t>2028</w:t>
            </w:r>
          </w:p>
        </w:tc>
        <w:tc>
          <w:tcPr>
            <w:tcW w:w="471" w:type="pct"/>
            <w:vAlign w:val="center"/>
          </w:tcPr>
          <w:p w14:paraId="3D7C5ACF" w14:textId="77777777" w:rsidR="004A489F" w:rsidRPr="00D207EA" w:rsidRDefault="004A489F">
            <w:pPr>
              <w:jc w:val="center"/>
              <w:rPr>
                <w:noProof/>
                <w:sz w:val="20"/>
              </w:rPr>
            </w:pPr>
            <w:r w:rsidRPr="00D207EA">
              <w:rPr>
                <w:noProof/>
                <w:sz w:val="20"/>
              </w:rPr>
              <w:t>Année</w:t>
            </w:r>
            <w:r w:rsidRPr="00D207EA">
              <w:rPr>
                <w:noProof/>
                <w:sz w:val="22"/>
              </w:rPr>
              <w:br/>
            </w:r>
            <w:r w:rsidRPr="00D207EA">
              <w:rPr>
                <w:b/>
                <w:noProof/>
                <w:sz w:val="20"/>
              </w:rPr>
              <w:t>2029</w:t>
            </w:r>
          </w:p>
        </w:tc>
        <w:tc>
          <w:tcPr>
            <w:tcW w:w="471" w:type="pct"/>
            <w:vAlign w:val="center"/>
          </w:tcPr>
          <w:p w14:paraId="66B47F5A" w14:textId="77777777" w:rsidR="004A489F" w:rsidRPr="00D207EA" w:rsidRDefault="004A489F">
            <w:pPr>
              <w:jc w:val="center"/>
              <w:rPr>
                <w:noProof/>
                <w:sz w:val="20"/>
              </w:rPr>
            </w:pPr>
            <w:r w:rsidRPr="00D207EA">
              <w:rPr>
                <w:noProof/>
                <w:sz w:val="20"/>
              </w:rPr>
              <w:t>Année</w:t>
            </w:r>
            <w:r w:rsidRPr="00D207EA">
              <w:rPr>
                <w:noProof/>
                <w:sz w:val="22"/>
              </w:rPr>
              <w:br/>
            </w:r>
            <w:r w:rsidRPr="00D207EA">
              <w:rPr>
                <w:b/>
                <w:noProof/>
                <w:sz w:val="20"/>
              </w:rPr>
              <w:t>2030</w:t>
            </w:r>
          </w:p>
        </w:tc>
        <w:tc>
          <w:tcPr>
            <w:tcW w:w="471" w:type="pct"/>
            <w:vAlign w:val="center"/>
          </w:tcPr>
          <w:p w14:paraId="35869CD4" w14:textId="77777777" w:rsidR="004A489F" w:rsidRPr="00D207EA" w:rsidRDefault="004A489F">
            <w:pPr>
              <w:jc w:val="center"/>
              <w:rPr>
                <w:noProof/>
                <w:sz w:val="20"/>
              </w:rPr>
            </w:pPr>
            <w:r w:rsidRPr="00D207EA">
              <w:rPr>
                <w:noProof/>
                <w:sz w:val="20"/>
              </w:rPr>
              <w:t>Année</w:t>
            </w:r>
            <w:r w:rsidRPr="00D207EA">
              <w:rPr>
                <w:noProof/>
                <w:sz w:val="22"/>
              </w:rPr>
              <w:br/>
            </w:r>
            <w:r w:rsidRPr="00D207EA">
              <w:rPr>
                <w:b/>
                <w:noProof/>
                <w:sz w:val="20"/>
              </w:rPr>
              <w:t>2031</w:t>
            </w:r>
          </w:p>
        </w:tc>
        <w:tc>
          <w:tcPr>
            <w:tcW w:w="471" w:type="pct"/>
            <w:vAlign w:val="center"/>
          </w:tcPr>
          <w:p w14:paraId="083B3188" w14:textId="77777777" w:rsidR="004A489F" w:rsidRPr="00D207EA" w:rsidRDefault="004A489F">
            <w:pPr>
              <w:jc w:val="center"/>
              <w:rPr>
                <w:noProof/>
                <w:sz w:val="20"/>
              </w:rPr>
            </w:pPr>
            <w:r w:rsidRPr="00D207EA">
              <w:rPr>
                <w:noProof/>
                <w:sz w:val="20"/>
              </w:rPr>
              <w:t>Année</w:t>
            </w:r>
            <w:r w:rsidRPr="00D207EA">
              <w:rPr>
                <w:noProof/>
                <w:sz w:val="22"/>
              </w:rPr>
              <w:br/>
            </w:r>
            <w:r w:rsidRPr="00D207EA">
              <w:rPr>
                <w:b/>
                <w:noProof/>
                <w:sz w:val="20"/>
              </w:rPr>
              <w:t>20232</w:t>
            </w:r>
          </w:p>
        </w:tc>
        <w:tc>
          <w:tcPr>
            <w:tcW w:w="471" w:type="pct"/>
            <w:vAlign w:val="center"/>
          </w:tcPr>
          <w:p w14:paraId="61E7F0F1" w14:textId="77777777" w:rsidR="004A489F" w:rsidRPr="00D207EA" w:rsidRDefault="004A489F">
            <w:pPr>
              <w:jc w:val="center"/>
              <w:rPr>
                <w:noProof/>
                <w:sz w:val="20"/>
              </w:rPr>
            </w:pPr>
            <w:r w:rsidRPr="00D207EA">
              <w:rPr>
                <w:noProof/>
                <w:sz w:val="20"/>
              </w:rPr>
              <w:t>Année</w:t>
            </w:r>
            <w:r w:rsidRPr="00D207EA">
              <w:rPr>
                <w:noProof/>
                <w:sz w:val="22"/>
              </w:rPr>
              <w:br/>
            </w:r>
            <w:r w:rsidRPr="00D207EA">
              <w:rPr>
                <w:b/>
                <w:noProof/>
                <w:sz w:val="20"/>
              </w:rPr>
              <w:t>2033</w:t>
            </w:r>
          </w:p>
        </w:tc>
        <w:tc>
          <w:tcPr>
            <w:tcW w:w="471" w:type="pct"/>
            <w:vAlign w:val="center"/>
          </w:tcPr>
          <w:p w14:paraId="1A1332C8" w14:textId="77777777" w:rsidR="004A489F" w:rsidRPr="00D207EA" w:rsidRDefault="004A489F">
            <w:pPr>
              <w:jc w:val="center"/>
              <w:rPr>
                <w:noProof/>
                <w:sz w:val="20"/>
              </w:rPr>
            </w:pPr>
            <w:r w:rsidRPr="00D207EA">
              <w:rPr>
                <w:noProof/>
                <w:sz w:val="20"/>
              </w:rPr>
              <w:t>Année</w:t>
            </w:r>
            <w:r w:rsidRPr="00D207EA">
              <w:rPr>
                <w:noProof/>
                <w:sz w:val="22"/>
              </w:rPr>
              <w:br/>
            </w:r>
            <w:r w:rsidRPr="00D207EA">
              <w:rPr>
                <w:b/>
                <w:noProof/>
                <w:sz w:val="20"/>
              </w:rPr>
              <w:t>2034</w:t>
            </w:r>
          </w:p>
        </w:tc>
        <w:tc>
          <w:tcPr>
            <w:tcW w:w="559" w:type="pct"/>
            <w:vAlign w:val="center"/>
          </w:tcPr>
          <w:p w14:paraId="6D8FE557" w14:textId="77777777" w:rsidR="004A489F" w:rsidRPr="00D207EA" w:rsidRDefault="004A489F">
            <w:pPr>
              <w:spacing w:before="60" w:after="60"/>
              <w:jc w:val="center"/>
              <w:rPr>
                <w:noProof/>
                <w:sz w:val="20"/>
              </w:rPr>
            </w:pPr>
            <w:r w:rsidRPr="00D207EA">
              <w:rPr>
                <w:noProof/>
                <w:sz w:val="20"/>
              </w:rPr>
              <w:t>Total</w:t>
            </w:r>
          </w:p>
        </w:tc>
      </w:tr>
      <w:tr w:rsidR="004A489F" w:rsidRPr="00D207EA" w14:paraId="3BF93425" w14:textId="77777777">
        <w:trPr>
          <w:cantSplit/>
        </w:trPr>
        <w:tc>
          <w:tcPr>
            <w:tcW w:w="1147" w:type="pct"/>
          </w:tcPr>
          <w:p w14:paraId="6C0EBF72" w14:textId="3F68AC88" w:rsidR="004A489F" w:rsidRPr="00D207EA" w:rsidRDefault="004A489F">
            <w:pPr>
              <w:rPr>
                <w:noProof/>
              </w:rPr>
            </w:pPr>
            <w:r w:rsidRPr="00D207EA">
              <w:rPr>
                <w:noProof/>
                <w:sz w:val="20"/>
              </w:rPr>
              <w:t>AEE/AELE</w:t>
            </w:r>
          </w:p>
        </w:tc>
        <w:tc>
          <w:tcPr>
            <w:tcW w:w="471" w:type="pct"/>
            <w:vAlign w:val="center"/>
          </w:tcPr>
          <w:p w14:paraId="0CD3734D" w14:textId="77777777" w:rsidR="004A489F" w:rsidRPr="00D207EA" w:rsidRDefault="004A489F">
            <w:pPr>
              <w:spacing w:before="60" w:after="60"/>
              <w:jc w:val="center"/>
              <w:rPr>
                <w:noProof/>
                <w:sz w:val="20"/>
              </w:rPr>
            </w:pPr>
            <w:r w:rsidRPr="00D207EA">
              <w:rPr>
                <w:noProof/>
                <w:sz w:val="20"/>
              </w:rPr>
              <w:t>p.m.</w:t>
            </w:r>
          </w:p>
        </w:tc>
        <w:tc>
          <w:tcPr>
            <w:tcW w:w="471" w:type="pct"/>
            <w:vAlign w:val="center"/>
          </w:tcPr>
          <w:p w14:paraId="26FB0041" w14:textId="77777777" w:rsidR="004A489F" w:rsidRPr="00D207EA" w:rsidRDefault="004A489F">
            <w:pPr>
              <w:spacing w:before="60" w:after="60"/>
              <w:jc w:val="center"/>
              <w:rPr>
                <w:noProof/>
                <w:sz w:val="20"/>
              </w:rPr>
            </w:pPr>
            <w:r w:rsidRPr="00D207EA">
              <w:rPr>
                <w:noProof/>
                <w:sz w:val="20"/>
              </w:rPr>
              <w:t>p.m.</w:t>
            </w:r>
          </w:p>
        </w:tc>
        <w:tc>
          <w:tcPr>
            <w:tcW w:w="471" w:type="pct"/>
            <w:vAlign w:val="center"/>
          </w:tcPr>
          <w:p w14:paraId="064588B2" w14:textId="77777777" w:rsidR="004A489F" w:rsidRPr="00D207EA" w:rsidRDefault="004A489F">
            <w:pPr>
              <w:spacing w:before="60" w:after="60"/>
              <w:jc w:val="center"/>
              <w:rPr>
                <w:noProof/>
                <w:sz w:val="20"/>
              </w:rPr>
            </w:pPr>
            <w:r w:rsidRPr="00D207EA">
              <w:rPr>
                <w:noProof/>
                <w:sz w:val="20"/>
              </w:rPr>
              <w:t>p.m.</w:t>
            </w:r>
          </w:p>
        </w:tc>
        <w:tc>
          <w:tcPr>
            <w:tcW w:w="471" w:type="pct"/>
            <w:vAlign w:val="center"/>
          </w:tcPr>
          <w:p w14:paraId="3499C84A" w14:textId="77777777" w:rsidR="004A489F" w:rsidRPr="00D207EA" w:rsidRDefault="004A489F">
            <w:pPr>
              <w:spacing w:before="60" w:after="60"/>
              <w:jc w:val="center"/>
              <w:rPr>
                <w:noProof/>
                <w:sz w:val="20"/>
              </w:rPr>
            </w:pPr>
            <w:r w:rsidRPr="00D207EA">
              <w:rPr>
                <w:noProof/>
                <w:sz w:val="20"/>
              </w:rPr>
              <w:t>p.m.</w:t>
            </w:r>
          </w:p>
        </w:tc>
        <w:tc>
          <w:tcPr>
            <w:tcW w:w="471" w:type="pct"/>
            <w:vAlign w:val="center"/>
          </w:tcPr>
          <w:p w14:paraId="0AA59E7F" w14:textId="77777777" w:rsidR="004A489F" w:rsidRPr="00D207EA" w:rsidRDefault="004A489F">
            <w:pPr>
              <w:spacing w:before="60" w:after="60"/>
              <w:jc w:val="center"/>
              <w:rPr>
                <w:noProof/>
                <w:sz w:val="20"/>
              </w:rPr>
            </w:pPr>
            <w:r w:rsidRPr="00D207EA">
              <w:rPr>
                <w:noProof/>
                <w:sz w:val="20"/>
              </w:rPr>
              <w:t>p.m.</w:t>
            </w:r>
          </w:p>
        </w:tc>
        <w:tc>
          <w:tcPr>
            <w:tcW w:w="471" w:type="pct"/>
            <w:vAlign w:val="center"/>
          </w:tcPr>
          <w:p w14:paraId="0EBE18ED" w14:textId="77777777" w:rsidR="004A489F" w:rsidRPr="00D207EA" w:rsidRDefault="004A489F">
            <w:pPr>
              <w:spacing w:before="60" w:after="60"/>
              <w:jc w:val="center"/>
              <w:rPr>
                <w:noProof/>
                <w:sz w:val="20"/>
              </w:rPr>
            </w:pPr>
            <w:r w:rsidRPr="00D207EA">
              <w:rPr>
                <w:noProof/>
                <w:sz w:val="20"/>
              </w:rPr>
              <w:t>p.m.</w:t>
            </w:r>
          </w:p>
        </w:tc>
        <w:tc>
          <w:tcPr>
            <w:tcW w:w="471" w:type="pct"/>
            <w:vAlign w:val="center"/>
          </w:tcPr>
          <w:p w14:paraId="2DCEE4B6" w14:textId="77777777" w:rsidR="004A489F" w:rsidRPr="00D207EA" w:rsidRDefault="004A489F">
            <w:pPr>
              <w:spacing w:before="60" w:after="60"/>
              <w:jc w:val="center"/>
              <w:rPr>
                <w:noProof/>
                <w:sz w:val="20"/>
              </w:rPr>
            </w:pPr>
            <w:r w:rsidRPr="00D207EA">
              <w:rPr>
                <w:noProof/>
                <w:sz w:val="20"/>
              </w:rPr>
              <w:t>p.m.</w:t>
            </w:r>
          </w:p>
        </w:tc>
        <w:tc>
          <w:tcPr>
            <w:tcW w:w="559" w:type="pct"/>
            <w:vAlign w:val="center"/>
          </w:tcPr>
          <w:p w14:paraId="7528DED3" w14:textId="77777777" w:rsidR="004A489F" w:rsidRPr="00D207EA" w:rsidRDefault="004A489F">
            <w:pPr>
              <w:spacing w:before="60" w:after="60"/>
              <w:jc w:val="center"/>
              <w:rPr>
                <w:noProof/>
                <w:sz w:val="20"/>
              </w:rPr>
            </w:pPr>
            <w:r w:rsidRPr="00D207EA">
              <w:rPr>
                <w:noProof/>
                <w:sz w:val="20"/>
              </w:rPr>
              <w:t>p.m.</w:t>
            </w:r>
          </w:p>
        </w:tc>
      </w:tr>
      <w:tr w:rsidR="004A489F" w:rsidRPr="00D207EA" w14:paraId="5B89E14A" w14:textId="77777777">
        <w:trPr>
          <w:cantSplit/>
        </w:trPr>
        <w:tc>
          <w:tcPr>
            <w:tcW w:w="1147" w:type="pct"/>
          </w:tcPr>
          <w:p w14:paraId="62525411" w14:textId="77777777" w:rsidR="004A489F" w:rsidRPr="00D207EA" w:rsidRDefault="004A489F">
            <w:pPr>
              <w:rPr>
                <w:noProof/>
                <w:sz w:val="20"/>
              </w:rPr>
            </w:pPr>
            <w:r w:rsidRPr="00D207EA">
              <w:rPr>
                <w:noProof/>
                <w:sz w:val="20"/>
              </w:rPr>
              <w:t>Pays candidats</w:t>
            </w:r>
          </w:p>
        </w:tc>
        <w:tc>
          <w:tcPr>
            <w:tcW w:w="471" w:type="pct"/>
            <w:vAlign w:val="center"/>
          </w:tcPr>
          <w:p w14:paraId="0B700E35" w14:textId="77777777" w:rsidR="004A489F" w:rsidRPr="00D207EA" w:rsidRDefault="004A489F">
            <w:pPr>
              <w:spacing w:before="60" w:after="60"/>
              <w:jc w:val="center"/>
              <w:rPr>
                <w:noProof/>
                <w:sz w:val="20"/>
              </w:rPr>
            </w:pPr>
            <w:r w:rsidRPr="00D207EA">
              <w:rPr>
                <w:noProof/>
                <w:sz w:val="20"/>
              </w:rPr>
              <w:t>p.m.</w:t>
            </w:r>
          </w:p>
        </w:tc>
        <w:tc>
          <w:tcPr>
            <w:tcW w:w="471" w:type="pct"/>
            <w:vAlign w:val="center"/>
          </w:tcPr>
          <w:p w14:paraId="64DDCEA9" w14:textId="77777777" w:rsidR="004A489F" w:rsidRPr="00D207EA" w:rsidRDefault="004A489F">
            <w:pPr>
              <w:spacing w:before="60" w:after="60"/>
              <w:jc w:val="center"/>
              <w:rPr>
                <w:noProof/>
                <w:sz w:val="20"/>
              </w:rPr>
            </w:pPr>
            <w:r w:rsidRPr="00D207EA">
              <w:rPr>
                <w:noProof/>
                <w:sz w:val="20"/>
              </w:rPr>
              <w:t>p.m.</w:t>
            </w:r>
          </w:p>
        </w:tc>
        <w:tc>
          <w:tcPr>
            <w:tcW w:w="471" w:type="pct"/>
            <w:vAlign w:val="center"/>
          </w:tcPr>
          <w:p w14:paraId="2C4E0735" w14:textId="77777777" w:rsidR="004A489F" w:rsidRPr="00D207EA" w:rsidRDefault="004A489F">
            <w:pPr>
              <w:spacing w:before="60" w:after="60"/>
              <w:jc w:val="center"/>
              <w:rPr>
                <w:noProof/>
                <w:sz w:val="20"/>
              </w:rPr>
            </w:pPr>
            <w:r w:rsidRPr="00D207EA">
              <w:rPr>
                <w:noProof/>
                <w:sz w:val="20"/>
              </w:rPr>
              <w:t>p.m.</w:t>
            </w:r>
          </w:p>
        </w:tc>
        <w:tc>
          <w:tcPr>
            <w:tcW w:w="471" w:type="pct"/>
            <w:vAlign w:val="center"/>
          </w:tcPr>
          <w:p w14:paraId="48773F9D" w14:textId="77777777" w:rsidR="004A489F" w:rsidRPr="00D207EA" w:rsidRDefault="004A489F">
            <w:pPr>
              <w:spacing w:before="60" w:after="60"/>
              <w:jc w:val="center"/>
              <w:rPr>
                <w:noProof/>
                <w:sz w:val="20"/>
              </w:rPr>
            </w:pPr>
            <w:r w:rsidRPr="00D207EA">
              <w:rPr>
                <w:noProof/>
                <w:sz w:val="20"/>
              </w:rPr>
              <w:t>p.m.</w:t>
            </w:r>
          </w:p>
        </w:tc>
        <w:tc>
          <w:tcPr>
            <w:tcW w:w="471" w:type="pct"/>
            <w:vAlign w:val="center"/>
          </w:tcPr>
          <w:p w14:paraId="21D04F31" w14:textId="77777777" w:rsidR="004A489F" w:rsidRPr="00D207EA" w:rsidRDefault="004A489F">
            <w:pPr>
              <w:spacing w:before="60" w:after="60"/>
              <w:jc w:val="center"/>
              <w:rPr>
                <w:noProof/>
                <w:sz w:val="20"/>
              </w:rPr>
            </w:pPr>
            <w:r w:rsidRPr="00D207EA">
              <w:rPr>
                <w:noProof/>
                <w:sz w:val="20"/>
              </w:rPr>
              <w:t>p.m.</w:t>
            </w:r>
          </w:p>
        </w:tc>
        <w:tc>
          <w:tcPr>
            <w:tcW w:w="471" w:type="pct"/>
            <w:vAlign w:val="center"/>
          </w:tcPr>
          <w:p w14:paraId="4F7AC685" w14:textId="77777777" w:rsidR="004A489F" w:rsidRPr="00D207EA" w:rsidRDefault="004A489F">
            <w:pPr>
              <w:spacing w:before="60" w:after="60"/>
              <w:jc w:val="center"/>
              <w:rPr>
                <w:noProof/>
                <w:sz w:val="20"/>
              </w:rPr>
            </w:pPr>
            <w:r w:rsidRPr="00D207EA">
              <w:rPr>
                <w:noProof/>
                <w:sz w:val="20"/>
              </w:rPr>
              <w:t>p.m.</w:t>
            </w:r>
          </w:p>
        </w:tc>
        <w:tc>
          <w:tcPr>
            <w:tcW w:w="471" w:type="pct"/>
            <w:vAlign w:val="center"/>
          </w:tcPr>
          <w:p w14:paraId="341EAD3D" w14:textId="77777777" w:rsidR="004A489F" w:rsidRPr="00D207EA" w:rsidRDefault="004A489F">
            <w:pPr>
              <w:spacing w:before="60" w:after="60"/>
              <w:jc w:val="center"/>
              <w:rPr>
                <w:noProof/>
                <w:sz w:val="20"/>
              </w:rPr>
            </w:pPr>
            <w:r w:rsidRPr="00D207EA">
              <w:rPr>
                <w:noProof/>
                <w:sz w:val="20"/>
              </w:rPr>
              <w:t>p.m.</w:t>
            </w:r>
          </w:p>
        </w:tc>
        <w:tc>
          <w:tcPr>
            <w:tcW w:w="559" w:type="pct"/>
            <w:vAlign w:val="center"/>
          </w:tcPr>
          <w:p w14:paraId="17E8DD98" w14:textId="77777777" w:rsidR="004A489F" w:rsidRPr="00D207EA" w:rsidRDefault="004A489F">
            <w:pPr>
              <w:spacing w:before="60" w:after="60"/>
              <w:jc w:val="center"/>
              <w:rPr>
                <w:noProof/>
                <w:sz w:val="20"/>
              </w:rPr>
            </w:pPr>
            <w:r w:rsidRPr="00D207EA">
              <w:rPr>
                <w:noProof/>
                <w:sz w:val="20"/>
              </w:rPr>
              <w:t>p.m.</w:t>
            </w:r>
          </w:p>
        </w:tc>
      </w:tr>
      <w:tr w:rsidR="004A489F" w:rsidRPr="00D207EA" w14:paraId="1E218E7C" w14:textId="77777777">
        <w:trPr>
          <w:cantSplit/>
        </w:trPr>
        <w:tc>
          <w:tcPr>
            <w:tcW w:w="1147" w:type="pct"/>
          </w:tcPr>
          <w:p w14:paraId="5394C240" w14:textId="77777777" w:rsidR="004A489F" w:rsidRPr="00D207EA" w:rsidRDefault="004A489F">
            <w:pPr>
              <w:rPr>
                <w:noProof/>
                <w:sz w:val="20"/>
              </w:rPr>
            </w:pPr>
            <w:r w:rsidRPr="00D207EA">
              <w:rPr>
                <w:noProof/>
                <w:sz w:val="20"/>
              </w:rPr>
              <w:t>Pays tiers, y compris les pays voisins</w:t>
            </w:r>
          </w:p>
        </w:tc>
        <w:tc>
          <w:tcPr>
            <w:tcW w:w="471" w:type="pct"/>
            <w:vAlign w:val="center"/>
          </w:tcPr>
          <w:p w14:paraId="0CED0072" w14:textId="77777777" w:rsidR="004A489F" w:rsidRPr="00D207EA" w:rsidRDefault="004A489F">
            <w:pPr>
              <w:spacing w:before="60" w:after="60"/>
              <w:jc w:val="center"/>
              <w:rPr>
                <w:noProof/>
                <w:sz w:val="20"/>
              </w:rPr>
            </w:pPr>
            <w:r w:rsidRPr="00D207EA">
              <w:rPr>
                <w:noProof/>
                <w:sz w:val="20"/>
              </w:rPr>
              <w:t>p.m.</w:t>
            </w:r>
          </w:p>
        </w:tc>
        <w:tc>
          <w:tcPr>
            <w:tcW w:w="471" w:type="pct"/>
            <w:vAlign w:val="center"/>
          </w:tcPr>
          <w:p w14:paraId="7B36DE2B" w14:textId="77777777" w:rsidR="004A489F" w:rsidRPr="00D207EA" w:rsidRDefault="004A489F">
            <w:pPr>
              <w:spacing w:before="60" w:after="60"/>
              <w:jc w:val="center"/>
              <w:rPr>
                <w:noProof/>
                <w:sz w:val="20"/>
              </w:rPr>
            </w:pPr>
            <w:r w:rsidRPr="00D207EA">
              <w:rPr>
                <w:noProof/>
                <w:sz w:val="20"/>
              </w:rPr>
              <w:t>p.m.</w:t>
            </w:r>
          </w:p>
        </w:tc>
        <w:tc>
          <w:tcPr>
            <w:tcW w:w="471" w:type="pct"/>
            <w:vAlign w:val="center"/>
          </w:tcPr>
          <w:p w14:paraId="02F5FFC7" w14:textId="77777777" w:rsidR="004A489F" w:rsidRPr="00D207EA" w:rsidRDefault="004A489F">
            <w:pPr>
              <w:spacing w:before="60" w:after="60"/>
              <w:jc w:val="center"/>
              <w:rPr>
                <w:noProof/>
                <w:sz w:val="20"/>
              </w:rPr>
            </w:pPr>
            <w:r w:rsidRPr="00D207EA">
              <w:rPr>
                <w:noProof/>
                <w:sz w:val="20"/>
              </w:rPr>
              <w:t>p.m.</w:t>
            </w:r>
          </w:p>
        </w:tc>
        <w:tc>
          <w:tcPr>
            <w:tcW w:w="471" w:type="pct"/>
            <w:vAlign w:val="center"/>
          </w:tcPr>
          <w:p w14:paraId="326214FD" w14:textId="77777777" w:rsidR="004A489F" w:rsidRPr="00D207EA" w:rsidRDefault="004A489F">
            <w:pPr>
              <w:spacing w:before="60" w:after="60"/>
              <w:jc w:val="center"/>
              <w:rPr>
                <w:noProof/>
                <w:sz w:val="20"/>
              </w:rPr>
            </w:pPr>
            <w:r w:rsidRPr="00D207EA">
              <w:rPr>
                <w:noProof/>
                <w:sz w:val="20"/>
              </w:rPr>
              <w:t>p.m.</w:t>
            </w:r>
          </w:p>
        </w:tc>
        <w:tc>
          <w:tcPr>
            <w:tcW w:w="471" w:type="pct"/>
            <w:vAlign w:val="center"/>
          </w:tcPr>
          <w:p w14:paraId="77CC0161" w14:textId="77777777" w:rsidR="004A489F" w:rsidRPr="00D207EA" w:rsidRDefault="004A489F">
            <w:pPr>
              <w:spacing w:before="60" w:after="60"/>
              <w:jc w:val="center"/>
              <w:rPr>
                <w:noProof/>
                <w:sz w:val="20"/>
              </w:rPr>
            </w:pPr>
            <w:r w:rsidRPr="00D207EA">
              <w:rPr>
                <w:noProof/>
                <w:sz w:val="20"/>
              </w:rPr>
              <w:t>p.m.</w:t>
            </w:r>
          </w:p>
        </w:tc>
        <w:tc>
          <w:tcPr>
            <w:tcW w:w="471" w:type="pct"/>
            <w:vAlign w:val="center"/>
          </w:tcPr>
          <w:p w14:paraId="685DE46A" w14:textId="77777777" w:rsidR="004A489F" w:rsidRPr="00D207EA" w:rsidRDefault="004A489F">
            <w:pPr>
              <w:spacing w:before="60" w:after="60"/>
              <w:jc w:val="center"/>
              <w:rPr>
                <w:noProof/>
                <w:sz w:val="20"/>
              </w:rPr>
            </w:pPr>
            <w:r w:rsidRPr="00D207EA">
              <w:rPr>
                <w:noProof/>
                <w:sz w:val="20"/>
              </w:rPr>
              <w:t>p.m.</w:t>
            </w:r>
          </w:p>
        </w:tc>
        <w:tc>
          <w:tcPr>
            <w:tcW w:w="471" w:type="pct"/>
            <w:vAlign w:val="center"/>
          </w:tcPr>
          <w:p w14:paraId="7510B236" w14:textId="77777777" w:rsidR="004A489F" w:rsidRPr="00D207EA" w:rsidRDefault="004A489F">
            <w:pPr>
              <w:spacing w:before="60" w:after="60"/>
              <w:jc w:val="center"/>
              <w:rPr>
                <w:noProof/>
                <w:sz w:val="20"/>
              </w:rPr>
            </w:pPr>
            <w:r w:rsidRPr="00D207EA">
              <w:rPr>
                <w:noProof/>
                <w:sz w:val="20"/>
              </w:rPr>
              <w:t>p.m.</w:t>
            </w:r>
          </w:p>
        </w:tc>
        <w:tc>
          <w:tcPr>
            <w:tcW w:w="559" w:type="pct"/>
            <w:vAlign w:val="center"/>
          </w:tcPr>
          <w:p w14:paraId="1C91BD8D" w14:textId="77777777" w:rsidR="004A489F" w:rsidRPr="00D207EA" w:rsidRDefault="004A489F">
            <w:pPr>
              <w:spacing w:before="60" w:after="60"/>
              <w:jc w:val="center"/>
              <w:rPr>
                <w:noProof/>
                <w:sz w:val="20"/>
              </w:rPr>
            </w:pPr>
            <w:r w:rsidRPr="00D207EA">
              <w:rPr>
                <w:noProof/>
                <w:sz w:val="20"/>
              </w:rPr>
              <w:t>p.m.</w:t>
            </w:r>
          </w:p>
        </w:tc>
      </w:tr>
      <w:tr w:rsidR="004A489F" w:rsidRPr="00D207EA" w14:paraId="1D93506E" w14:textId="77777777">
        <w:trPr>
          <w:cantSplit/>
        </w:trPr>
        <w:tc>
          <w:tcPr>
            <w:tcW w:w="1147" w:type="pct"/>
          </w:tcPr>
          <w:p w14:paraId="0863F0BC" w14:textId="2DAFBF90" w:rsidR="004A489F" w:rsidRPr="00D207EA" w:rsidRDefault="004A489F">
            <w:pPr>
              <w:spacing w:before="60" w:after="60"/>
              <w:jc w:val="left"/>
              <w:rPr>
                <w:noProof/>
                <w:sz w:val="20"/>
              </w:rPr>
            </w:pPr>
            <w:r w:rsidRPr="00D207EA">
              <w:rPr>
                <w:noProof/>
                <w:sz w:val="20"/>
              </w:rPr>
              <w:t>TOTAL crédits cofinancés</w:t>
            </w:r>
          </w:p>
        </w:tc>
        <w:tc>
          <w:tcPr>
            <w:tcW w:w="471" w:type="pct"/>
            <w:vAlign w:val="center"/>
          </w:tcPr>
          <w:p w14:paraId="7D170CEC" w14:textId="77777777" w:rsidR="004A489F" w:rsidRPr="00D207EA" w:rsidRDefault="004A489F">
            <w:pPr>
              <w:spacing w:before="60" w:after="60"/>
              <w:jc w:val="center"/>
              <w:rPr>
                <w:noProof/>
                <w:sz w:val="20"/>
              </w:rPr>
            </w:pPr>
            <w:r w:rsidRPr="00D207EA">
              <w:rPr>
                <w:noProof/>
                <w:sz w:val="20"/>
              </w:rPr>
              <w:t>p.m.</w:t>
            </w:r>
          </w:p>
        </w:tc>
        <w:tc>
          <w:tcPr>
            <w:tcW w:w="471" w:type="pct"/>
            <w:vAlign w:val="center"/>
          </w:tcPr>
          <w:p w14:paraId="7857B583" w14:textId="77777777" w:rsidR="004A489F" w:rsidRPr="00D207EA" w:rsidRDefault="004A489F">
            <w:pPr>
              <w:spacing w:before="60" w:after="60"/>
              <w:jc w:val="center"/>
              <w:rPr>
                <w:noProof/>
                <w:sz w:val="20"/>
              </w:rPr>
            </w:pPr>
            <w:r w:rsidRPr="00D207EA">
              <w:rPr>
                <w:noProof/>
                <w:sz w:val="20"/>
              </w:rPr>
              <w:t>p.m.</w:t>
            </w:r>
          </w:p>
        </w:tc>
        <w:tc>
          <w:tcPr>
            <w:tcW w:w="471" w:type="pct"/>
            <w:vAlign w:val="center"/>
          </w:tcPr>
          <w:p w14:paraId="57DB657D" w14:textId="77777777" w:rsidR="004A489F" w:rsidRPr="00D207EA" w:rsidRDefault="004A489F">
            <w:pPr>
              <w:spacing w:before="60" w:after="60"/>
              <w:jc w:val="center"/>
              <w:rPr>
                <w:noProof/>
                <w:sz w:val="20"/>
              </w:rPr>
            </w:pPr>
            <w:r w:rsidRPr="00D207EA">
              <w:rPr>
                <w:noProof/>
                <w:sz w:val="20"/>
              </w:rPr>
              <w:t>p.m.</w:t>
            </w:r>
          </w:p>
        </w:tc>
        <w:tc>
          <w:tcPr>
            <w:tcW w:w="471" w:type="pct"/>
            <w:vAlign w:val="center"/>
          </w:tcPr>
          <w:p w14:paraId="16D152D7" w14:textId="77777777" w:rsidR="004A489F" w:rsidRPr="00D207EA" w:rsidRDefault="004A489F">
            <w:pPr>
              <w:spacing w:before="60" w:after="60"/>
              <w:jc w:val="center"/>
              <w:rPr>
                <w:noProof/>
                <w:sz w:val="20"/>
              </w:rPr>
            </w:pPr>
            <w:r w:rsidRPr="00D207EA">
              <w:rPr>
                <w:noProof/>
                <w:sz w:val="20"/>
              </w:rPr>
              <w:t>p.m.</w:t>
            </w:r>
          </w:p>
        </w:tc>
        <w:tc>
          <w:tcPr>
            <w:tcW w:w="471" w:type="pct"/>
            <w:vAlign w:val="center"/>
          </w:tcPr>
          <w:p w14:paraId="7763C131" w14:textId="77777777" w:rsidR="004A489F" w:rsidRPr="00D207EA" w:rsidRDefault="004A489F">
            <w:pPr>
              <w:spacing w:before="60" w:after="60"/>
              <w:jc w:val="center"/>
              <w:rPr>
                <w:noProof/>
                <w:sz w:val="20"/>
              </w:rPr>
            </w:pPr>
            <w:r w:rsidRPr="00D207EA">
              <w:rPr>
                <w:noProof/>
                <w:sz w:val="20"/>
              </w:rPr>
              <w:t>p.m.</w:t>
            </w:r>
          </w:p>
        </w:tc>
        <w:tc>
          <w:tcPr>
            <w:tcW w:w="471" w:type="pct"/>
            <w:vAlign w:val="center"/>
          </w:tcPr>
          <w:p w14:paraId="48F772C1" w14:textId="77777777" w:rsidR="004A489F" w:rsidRPr="00D207EA" w:rsidRDefault="004A489F">
            <w:pPr>
              <w:spacing w:before="60" w:after="60"/>
              <w:jc w:val="center"/>
              <w:rPr>
                <w:noProof/>
                <w:sz w:val="20"/>
              </w:rPr>
            </w:pPr>
            <w:r w:rsidRPr="00D207EA">
              <w:rPr>
                <w:noProof/>
                <w:sz w:val="20"/>
              </w:rPr>
              <w:t>p.m.</w:t>
            </w:r>
          </w:p>
        </w:tc>
        <w:tc>
          <w:tcPr>
            <w:tcW w:w="471" w:type="pct"/>
            <w:vAlign w:val="center"/>
          </w:tcPr>
          <w:p w14:paraId="57FA3CFD" w14:textId="77777777" w:rsidR="004A489F" w:rsidRPr="00D207EA" w:rsidRDefault="004A489F">
            <w:pPr>
              <w:spacing w:before="60" w:after="60"/>
              <w:jc w:val="center"/>
              <w:rPr>
                <w:noProof/>
                <w:sz w:val="20"/>
              </w:rPr>
            </w:pPr>
            <w:r w:rsidRPr="00D207EA">
              <w:rPr>
                <w:noProof/>
                <w:sz w:val="20"/>
              </w:rPr>
              <w:t>p.m.</w:t>
            </w:r>
          </w:p>
        </w:tc>
        <w:tc>
          <w:tcPr>
            <w:tcW w:w="559" w:type="pct"/>
            <w:vAlign w:val="center"/>
          </w:tcPr>
          <w:p w14:paraId="36029ED0" w14:textId="77777777" w:rsidR="004A489F" w:rsidRPr="00D207EA" w:rsidRDefault="004A489F">
            <w:pPr>
              <w:spacing w:before="60" w:after="60"/>
              <w:jc w:val="center"/>
              <w:rPr>
                <w:noProof/>
                <w:sz w:val="20"/>
              </w:rPr>
            </w:pPr>
            <w:r w:rsidRPr="00D207EA">
              <w:rPr>
                <w:noProof/>
                <w:sz w:val="20"/>
              </w:rPr>
              <w:t>p.m.</w:t>
            </w:r>
          </w:p>
        </w:tc>
      </w:tr>
    </w:tbl>
    <w:p w14:paraId="37814EA6" w14:textId="4A54CF34" w:rsidR="004A489F" w:rsidRPr="00D207EA" w:rsidRDefault="004A489F" w:rsidP="004A489F">
      <w:pPr>
        <w:outlineLvl w:val="1"/>
        <w:rPr>
          <w:noProof/>
          <w:szCs w:val="24"/>
        </w:rPr>
      </w:pPr>
      <w:r w:rsidRPr="00D207EA">
        <w:rPr>
          <w:noProof/>
        </w:rPr>
        <w:br/>
      </w:r>
      <w:bookmarkStart w:id="196" w:name="_Toc514938059"/>
      <w:bookmarkStart w:id="197" w:name="_Toc520485057"/>
      <w:bookmarkStart w:id="198" w:name="_Toc160804602"/>
      <w:bookmarkStart w:id="199" w:name="_Toc167220300"/>
      <w:bookmarkStart w:id="200" w:name="_Toc177549034"/>
      <w:bookmarkStart w:id="201" w:name="_Hlk166860179"/>
      <w:r w:rsidRPr="00D207EA">
        <w:rPr>
          <w:noProof/>
        </w:rPr>
        <w:t>3.3.</w:t>
      </w:r>
      <w:r w:rsidRPr="00D207EA">
        <w:rPr>
          <w:noProof/>
        </w:rPr>
        <w:tab/>
        <w:t>Incidence estimée sur les recettes</w:t>
      </w:r>
      <w:bookmarkEnd w:id="196"/>
      <w:bookmarkEnd w:id="197"/>
      <w:bookmarkEnd w:id="198"/>
      <w:bookmarkEnd w:id="199"/>
      <w:bookmarkEnd w:id="200"/>
    </w:p>
    <w:bookmarkEnd w:id="201"/>
    <w:p w14:paraId="76B3031A" w14:textId="77777777" w:rsidR="004A489F" w:rsidRPr="00D207EA" w:rsidRDefault="004A489F" w:rsidP="004A489F">
      <w:pPr>
        <w:pStyle w:val="ListDash1"/>
        <w:rPr>
          <w:noProof/>
        </w:rPr>
      </w:pPr>
      <w:r w:rsidRPr="00D207EA">
        <w:rPr>
          <w:rFonts w:ascii="Wingdings" w:hAnsi="Wingdings"/>
          <w:noProof/>
        </w:rPr>
        <w:t></w:t>
      </w:r>
      <w:r w:rsidRPr="00D207EA">
        <w:rPr>
          <w:noProof/>
        </w:rPr>
        <w:tab/>
        <w:t>La proposition/l’initiative est sans incidence financière sur les recettes.</w:t>
      </w:r>
    </w:p>
    <w:p w14:paraId="4C8B039E" w14:textId="77777777" w:rsidR="004A489F" w:rsidRPr="00D207EA" w:rsidRDefault="004A489F" w:rsidP="004A489F">
      <w:pPr>
        <w:pStyle w:val="ListDash1"/>
        <w:rPr>
          <w:noProof/>
        </w:rPr>
      </w:pPr>
      <w:r w:rsidRPr="00D207EA">
        <w:rPr>
          <w:rFonts w:ascii="Wingdings" w:hAnsi="Wingdings"/>
          <w:noProof/>
        </w:rPr>
        <w:t></w:t>
      </w:r>
      <w:r w:rsidRPr="00D207EA">
        <w:rPr>
          <w:noProof/>
        </w:rPr>
        <w:tab/>
        <w:t>La proposition/l’initiative a une incidence financière décrite ci‑après:</w:t>
      </w:r>
    </w:p>
    <w:p w14:paraId="0C1691F4" w14:textId="329DDA34" w:rsidR="004A489F" w:rsidRPr="00D207EA" w:rsidRDefault="004A489F" w:rsidP="004A489F">
      <w:pPr>
        <w:pStyle w:val="ListNumberLevel3"/>
        <w:rPr>
          <w:noProof/>
        </w:rPr>
      </w:pPr>
      <w:r w:rsidRPr="00D207EA">
        <w:rPr>
          <w:rFonts w:ascii="Wingdings" w:hAnsi="Wingdings"/>
          <w:noProof/>
        </w:rPr>
        <w:t></w:t>
      </w:r>
      <w:r w:rsidRPr="00D207EA">
        <w:rPr>
          <w:noProof/>
        </w:rPr>
        <w:tab/>
        <w:t>sur les ressources propres</w:t>
      </w:r>
    </w:p>
    <w:p w14:paraId="58E9F10A" w14:textId="77777777" w:rsidR="004A489F" w:rsidRPr="00D207EA" w:rsidRDefault="004A489F" w:rsidP="004A489F">
      <w:pPr>
        <w:pStyle w:val="ListNumberLevel3"/>
        <w:rPr>
          <w:noProof/>
        </w:rPr>
      </w:pPr>
      <w:r w:rsidRPr="00D207EA">
        <w:rPr>
          <w:rFonts w:ascii="Wingdings" w:hAnsi="Wingdings"/>
          <w:noProof/>
        </w:rPr>
        <w:t></w:t>
      </w:r>
      <w:r w:rsidRPr="00D207EA">
        <w:rPr>
          <w:noProof/>
        </w:rPr>
        <w:tab/>
        <w:t>sur les autres recettes</w:t>
      </w:r>
    </w:p>
    <w:p w14:paraId="21D0FDB4" w14:textId="77777777" w:rsidR="004A489F" w:rsidRPr="00D207EA" w:rsidRDefault="004A489F" w:rsidP="004A489F">
      <w:pPr>
        <w:pStyle w:val="ListNumberLevel3"/>
        <w:rPr>
          <w:noProof/>
        </w:rPr>
      </w:pPr>
      <w:r w:rsidRPr="00D207EA">
        <w:rPr>
          <w:rFonts w:ascii="Wingdings" w:hAnsi="Wingdings"/>
          <w:noProof/>
        </w:rPr>
        <w:t></w:t>
      </w:r>
      <w:r w:rsidRPr="00D207EA">
        <w:rPr>
          <w:rFonts w:ascii="Wingdings" w:hAnsi="Wingdings"/>
          <w:noProof/>
        </w:rPr>
        <w:tab/>
      </w:r>
      <w:r w:rsidRPr="00D207EA">
        <w:rPr>
          <w:noProof/>
        </w:rPr>
        <w:t>veuillez indiquer si les recettes sont affectées à des lignes de dépenses</w:t>
      </w:r>
    </w:p>
    <w:p w14:paraId="69A19989" w14:textId="71C254B0" w:rsidR="004A489F" w:rsidRPr="00D207EA" w:rsidRDefault="004A489F" w:rsidP="004A489F">
      <w:pPr>
        <w:jc w:val="right"/>
        <w:rPr>
          <w:noProof/>
          <w:sz w:val="20"/>
        </w:rPr>
      </w:pPr>
      <w:r w:rsidRPr="00D207EA">
        <w:rPr>
          <w:noProof/>
          <w:sz w:val="20"/>
        </w:rPr>
        <w:t>En Mio EUR (à la 3</w:t>
      </w:r>
      <w:r w:rsidRPr="00D207EA">
        <w:rPr>
          <w:noProof/>
          <w:sz w:val="20"/>
          <w:vertAlign w:val="superscript"/>
        </w:rPr>
        <w:t>e</w:t>
      </w:r>
      <w:r w:rsidRPr="00D207EA">
        <w:rPr>
          <w:noProof/>
          <w:sz w:val="20"/>
        </w:rPr>
        <w:t xml:space="preserve"> décimale)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4A489F" w:rsidRPr="00D207EA" w14:paraId="201AF3C4" w14:textId="77777777">
        <w:trPr>
          <w:trHeight w:val="388"/>
        </w:trPr>
        <w:tc>
          <w:tcPr>
            <w:tcW w:w="1423" w:type="pct"/>
            <w:vMerge w:val="restart"/>
            <w:vAlign w:val="center"/>
          </w:tcPr>
          <w:p w14:paraId="778C10FB" w14:textId="77777777" w:rsidR="004A489F" w:rsidRPr="00D207EA" w:rsidRDefault="004A489F">
            <w:pPr>
              <w:spacing w:before="40" w:after="40"/>
              <w:rPr>
                <w:noProof/>
                <w:sz w:val="18"/>
              </w:rPr>
            </w:pPr>
            <w:r w:rsidRPr="00D207EA">
              <w:rPr>
                <w:noProof/>
                <w:sz w:val="18"/>
              </w:rPr>
              <w:t>Ligne budgétaire de recettes:</w:t>
            </w:r>
          </w:p>
        </w:tc>
        <w:tc>
          <w:tcPr>
            <w:tcW w:w="869" w:type="pct"/>
            <w:vMerge w:val="restart"/>
            <w:vAlign w:val="center"/>
          </w:tcPr>
          <w:p w14:paraId="537462D2" w14:textId="77777777" w:rsidR="004A489F" w:rsidRPr="00D207EA" w:rsidRDefault="004A489F">
            <w:pPr>
              <w:jc w:val="center"/>
              <w:rPr>
                <w:noProof/>
                <w:sz w:val="18"/>
              </w:rPr>
            </w:pPr>
            <w:r w:rsidRPr="00D207EA">
              <w:rPr>
                <w:noProof/>
                <w:sz w:val="18"/>
              </w:rPr>
              <w:t>Montants inscrits pour l’exercice en cours</w:t>
            </w:r>
          </w:p>
        </w:tc>
        <w:tc>
          <w:tcPr>
            <w:tcW w:w="2709" w:type="pct"/>
            <w:gridSpan w:val="4"/>
            <w:vAlign w:val="center"/>
          </w:tcPr>
          <w:p w14:paraId="32FFF306" w14:textId="77777777" w:rsidR="004A489F" w:rsidRPr="00D207EA" w:rsidRDefault="004A489F">
            <w:pPr>
              <w:jc w:val="center"/>
              <w:rPr>
                <w:noProof/>
                <w:sz w:val="18"/>
              </w:rPr>
            </w:pPr>
            <w:r w:rsidRPr="00D207EA">
              <w:rPr>
                <w:noProof/>
                <w:sz w:val="18"/>
              </w:rPr>
              <w:t>Incidence de la proposition/de l’initiative</w:t>
            </w:r>
            <w:r w:rsidRPr="00D207EA">
              <w:rPr>
                <w:rStyle w:val="FootnoteReference"/>
                <w:noProof/>
                <w:sz w:val="18"/>
                <w:szCs w:val="18"/>
              </w:rPr>
              <w:footnoteReference w:id="33"/>
            </w:r>
          </w:p>
        </w:tc>
      </w:tr>
      <w:tr w:rsidR="004A489F" w:rsidRPr="00D207EA" w14:paraId="4815B294" w14:textId="77777777">
        <w:trPr>
          <w:trHeight w:val="388"/>
        </w:trPr>
        <w:tc>
          <w:tcPr>
            <w:tcW w:w="1423" w:type="pct"/>
            <w:vMerge/>
          </w:tcPr>
          <w:p w14:paraId="45065DBA" w14:textId="77777777" w:rsidR="004A489F" w:rsidRPr="00D207EA" w:rsidRDefault="004A489F">
            <w:pPr>
              <w:spacing w:before="40" w:after="40"/>
              <w:rPr>
                <w:noProof/>
                <w:sz w:val="18"/>
              </w:rPr>
            </w:pPr>
          </w:p>
        </w:tc>
        <w:tc>
          <w:tcPr>
            <w:tcW w:w="869" w:type="pct"/>
            <w:vMerge/>
          </w:tcPr>
          <w:p w14:paraId="204672E7" w14:textId="77777777" w:rsidR="004A489F" w:rsidRPr="00D207EA" w:rsidRDefault="004A489F">
            <w:pPr>
              <w:spacing w:beforeLines="40" w:before="96" w:afterLines="40" w:after="96"/>
              <w:rPr>
                <w:i/>
                <w:noProof/>
                <w:sz w:val="18"/>
              </w:rPr>
            </w:pPr>
          </w:p>
        </w:tc>
        <w:tc>
          <w:tcPr>
            <w:tcW w:w="911" w:type="pct"/>
            <w:vAlign w:val="center"/>
          </w:tcPr>
          <w:p w14:paraId="49B2C296" w14:textId="77777777" w:rsidR="004A489F" w:rsidRPr="00D207EA" w:rsidRDefault="004A489F">
            <w:pPr>
              <w:jc w:val="center"/>
              <w:rPr>
                <w:noProof/>
                <w:sz w:val="18"/>
              </w:rPr>
            </w:pPr>
            <w:r w:rsidRPr="00D207EA">
              <w:rPr>
                <w:noProof/>
                <w:sz w:val="18"/>
              </w:rPr>
              <w:t xml:space="preserve">Année </w:t>
            </w:r>
            <w:r w:rsidRPr="00D207EA">
              <w:rPr>
                <w:b/>
                <w:noProof/>
                <w:sz w:val="18"/>
              </w:rPr>
              <w:t>2024</w:t>
            </w:r>
          </w:p>
        </w:tc>
        <w:tc>
          <w:tcPr>
            <w:tcW w:w="562" w:type="pct"/>
            <w:vAlign w:val="center"/>
          </w:tcPr>
          <w:p w14:paraId="69DFD6F2" w14:textId="77777777" w:rsidR="004A489F" w:rsidRPr="00D207EA" w:rsidRDefault="004A489F">
            <w:pPr>
              <w:jc w:val="center"/>
              <w:rPr>
                <w:noProof/>
                <w:sz w:val="18"/>
              </w:rPr>
            </w:pPr>
            <w:r w:rsidRPr="00D207EA">
              <w:rPr>
                <w:noProof/>
                <w:sz w:val="18"/>
              </w:rPr>
              <w:t xml:space="preserve">Année </w:t>
            </w:r>
            <w:r w:rsidRPr="00D207EA">
              <w:rPr>
                <w:b/>
                <w:noProof/>
                <w:sz w:val="18"/>
              </w:rPr>
              <w:t>2025</w:t>
            </w:r>
          </w:p>
        </w:tc>
        <w:tc>
          <w:tcPr>
            <w:tcW w:w="557" w:type="pct"/>
            <w:vAlign w:val="center"/>
          </w:tcPr>
          <w:p w14:paraId="4B45F5AE" w14:textId="77777777" w:rsidR="004A489F" w:rsidRPr="00D207EA" w:rsidRDefault="004A489F">
            <w:pPr>
              <w:jc w:val="center"/>
              <w:rPr>
                <w:noProof/>
                <w:sz w:val="18"/>
              </w:rPr>
            </w:pPr>
            <w:r w:rsidRPr="00D207EA">
              <w:rPr>
                <w:noProof/>
                <w:sz w:val="18"/>
              </w:rPr>
              <w:t xml:space="preserve">Année </w:t>
            </w:r>
            <w:r w:rsidRPr="00D207EA">
              <w:rPr>
                <w:b/>
                <w:noProof/>
                <w:sz w:val="18"/>
              </w:rPr>
              <w:t>2026</w:t>
            </w:r>
          </w:p>
        </w:tc>
        <w:tc>
          <w:tcPr>
            <w:tcW w:w="679" w:type="pct"/>
            <w:vAlign w:val="center"/>
          </w:tcPr>
          <w:p w14:paraId="55EEE00A" w14:textId="77777777" w:rsidR="004A489F" w:rsidRPr="00D207EA" w:rsidRDefault="004A489F">
            <w:pPr>
              <w:jc w:val="center"/>
              <w:rPr>
                <w:noProof/>
                <w:sz w:val="18"/>
              </w:rPr>
            </w:pPr>
            <w:r w:rsidRPr="00D207EA">
              <w:rPr>
                <w:noProof/>
                <w:sz w:val="18"/>
              </w:rPr>
              <w:t xml:space="preserve">Année </w:t>
            </w:r>
            <w:r w:rsidRPr="00D207EA">
              <w:rPr>
                <w:b/>
                <w:noProof/>
                <w:sz w:val="18"/>
              </w:rPr>
              <w:t>2027</w:t>
            </w:r>
          </w:p>
        </w:tc>
      </w:tr>
      <w:tr w:rsidR="004A489F" w:rsidRPr="00D207EA" w14:paraId="1BD29669" w14:textId="77777777">
        <w:trPr>
          <w:trHeight w:val="388"/>
        </w:trPr>
        <w:tc>
          <w:tcPr>
            <w:tcW w:w="1423" w:type="pct"/>
            <w:vAlign w:val="center"/>
          </w:tcPr>
          <w:p w14:paraId="0370B488" w14:textId="77777777" w:rsidR="004A489F" w:rsidRPr="00D207EA" w:rsidRDefault="004A489F">
            <w:pPr>
              <w:spacing w:before="40" w:after="40"/>
              <w:rPr>
                <w:noProof/>
                <w:sz w:val="18"/>
              </w:rPr>
            </w:pPr>
            <w:r w:rsidRPr="00D207EA">
              <w:rPr>
                <w:noProof/>
                <w:sz w:val="18"/>
              </w:rPr>
              <w:t>Article ………….</w:t>
            </w:r>
          </w:p>
        </w:tc>
        <w:tc>
          <w:tcPr>
            <w:tcW w:w="869" w:type="pct"/>
          </w:tcPr>
          <w:p w14:paraId="15CA73F1" w14:textId="77777777" w:rsidR="004A489F" w:rsidRPr="00D207EA" w:rsidRDefault="004A489F">
            <w:pPr>
              <w:spacing w:beforeLines="40" w:before="96" w:afterLines="40" w:after="96"/>
              <w:jc w:val="center"/>
              <w:rPr>
                <w:i/>
                <w:noProof/>
                <w:sz w:val="18"/>
              </w:rPr>
            </w:pPr>
          </w:p>
        </w:tc>
        <w:tc>
          <w:tcPr>
            <w:tcW w:w="911" w:type="pct"/>
          </w:tcPr>
          <w:p w14:paraId="12CE9050" w14:textId="77777777" w:rsidR="004A489F" w:rsidRPr="00D207EA" w:rsidRDefault="004A489F">
            <w:pPr>
              <w:spacing w:beforeLines="40" w:before="96" w:afterLines="40" w:after="96"/>
              <w:jc w:val="center"/>
              <w:rPr>
                <w:noProof/>
                <w:sz w:val="18"/>
              </w:rPr>
            </w:pPr>
          </w:p>
        </w:tc>
        <w:tc>
          <w:tcPr>
            <w:tcW w:w="562" w:type="pct"/>
          </w:tcPr>
          <w:p w14:paraId="1983038A" w14:textId="77777777" w:rsidR="004A489F" w:rsidRPr="00D207EA" w:rsidRDefault="004A489F">
            <w:pPr>
              <w:spacing w:beforeLines="40" w:before="96" w:afterLines="40" w:after="96"/>
              <w:jc w:val="center"/>
              <w:rPr>
                <w:noProof/>
                <w:sz w:val="18"/>
              </w:rPr>
            </w:pPr>
          </w:p>
        </w:tc>
        <w:tc>
          <w:tcPr>
            <w:tcW w:w="557" w:type="pct"/>
          </w:tcPr>
          <w:p w14:paraId="522B7AA1" w14:textId="77777777" w:rsidR="004A489F" w:rsidRPr="00D207EA" w:rsidRDefault="004A489F">
            <w:pPr>
              <w:spacing w:beforeLines="40" w:before="96" w:afterLines="40" w:after="96"/>
              <w:jc w:val="center"/>
              <w:rPr>
                <w:noProof/>
                <w:sz w:val="18"/>
              </w:rPr>
            </w:pPr>
          </w:p>
        </w:tc>
        <w:tc>
          <w:tcPr>
            <w:tcW w:w="679" w:type="pct"/>
          </w:tcPr>
          <w:p w14:paraId="690C66DA" w14:textId="77777777" w:rsidR="004A489F" w:rsidRPr="00D207EA" w:rsidRDefault="004A489F">
            <w:pPr>
              <w:spacing w:beforeLines="40" w:before="96" w:afterLines="40" w:after="96"/>
              <w:jc w:val="center"/>
              <w:rPr>
                <w:noProof/>
                <w:sz w:val="18"/>
              </w:rPr>
            </w:pPr>
          </w:p>
        </w:tc>
      </w:tr>
    </w:tbl>
    <w:p w14:paraId="78E0EC1E" w14:textId="77777777" w:rsidR="004A489F" w:rsidRPr="00D207EA" w:rsidRDefault="004A489F" w:rsidP="004A489F">
      <w:pPr>
        <w:pStyle w:val="Text1"/>
        <w:rPr>
          <w:noProof/>
          <w:szCs w:val="24"/>
        </w:rPr>
      </w:pPr>
      <w:r w:rsidRPr="00D207EA">
        <w:rPr>
          <w:noProof/>
        </w:rPr>
        <w:t>Pour les recettes affectées, préciser la(les) ligne(s) budgétaire(s) de dépenses concernée(s).</w:t>
      </w:r>
    </w:p>
    <w:p w14:paraId="67CF4105" w14:textId="77777777"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p>
    <w:p w14:paraId="14FE3C0E" w14:textId="77777777" w:rsidR="004A489F" w:rsidRPr="00D207EA" w:rsidRDefault="004A489F" w:rsidP="004A489F">
      <w:pPr>
        <w:pStyle w:val="Text1"/>
        <w:rPr>
          <w:noProof/>
          <w:szCs w:val="24"/>
        </w:rPr>
      </w:pPr>
      <w:r w:rsidRPr="00D207EA">
        <w:rPr>
          <w:noProof/>
        </w:rPr>
        <w:t>Autres remarques (relatives par exemple à la méthode/formule utilisée pour le calcul de l’incidence sur les recettes ou toute autre information).</w:t>
      </w:r>
    </w:p>
    <w:p w14:paraId="78529363" w14:textId="77777777" w:rsidR="004A489F" w:rsidRPr="00D207EA" w:rsidRDefault="004A489F" w:rsidP="004A489F">
      <w:pPr>
        <w:pStyle w:val="Text1"/>
        <w:pBdr>
          <w:top w:val="single" w:sz="4" w:space="1" w:color="auto"/>
          <w:left w:val="single" w:sz="4" w:space="4" w:color="auto"/>
          <w:bottom w:val="single" w:sz="4" w:space="1" w:color="auto"/>
          <w:right w:val="single" w:sz="4" w:space="4" w:color="auto"/>
        </w:pBdr>
        <w:rPr>
          <w:noProof/>
        </w:rPr>
      </w:pPr>
    </w:p>
    <w:p w14:paraId="12ED46E9" w14:textId="77777777" w:rsidR="004A489F" w:rsidRPr="00D207EA" w:rsidRDefault="004A489F" w:rsidP="004A489F">
      <w:pPr>
        <w:pStyle w:val="ManualHeading1"/>
        <w:rPr>
          <w:caps/>
          <w:noProof/>
        </w:rPr>
      </w:pPr>
      <w:bookmarkStart w:id="202" w:name="_Toc167220301"/>
      <w:bookmarkStart w:id="203" w:name="_Toc177549035"/>
      <w:r w:rsidRPr="00D207EA">
        <w:rPr>
          <w:noProof/>
        </w:rPr>
        <w:t>4.</w:t>
      </w:r>
      <w:r w:rsidRPr="00D207EA">
        <w:rPr>
          <w:noProof/>
        </w:rPr>
        <w:tab/>
      </w:r>
      <w:bookmarkStart w:id="204" w:name="_Hlk167692977"/>
      <w:r w:rsidRPr="00D207EA">
        <w:rPr>
          <w:caps/>
          <w:noProof/>
        </w:rPr>
        <w:t>Dimensions numériques</w:t>
      </w:r>
      <w:bookmarkEnd w:id="202"/>
      <w:bookmarkEnd w:id="203"/>
    </w:p>
    <w:p w14:paraId="33C61B8E" w14:textId="77777777" w:rsidR="004A489F" w:rsidRPr="00D207EA" w:rsidRDefault="004A489F" w:rsidP="004A489F">
      <w:pPr>
        <w:pStyle w:val="ManualHeading2"/>
        <w:rPr>
          <w:noProof/>
        </w:rPr>
        <w:sectPr w:rsidR="004A489F" w:rsidRPr="00D207EA" w:rsidSect="00972E68">
          <w:headerReference w:type="default" r:id="rId22"/>
          <w:footerReference w:type="default" r:id="rId23"/>
          <w:pgSz w:w="11907" w:h="16839"/>
          <w:pgMar w:top="1134" w:right="1417" w:bottom="1134" w:left="1417" w:header="709" w:footer="709" w:gutter="0"/>
          <w:cols w:space="720"/>
          <w:docGrid w:linePitch="360"/>
        </w:sectPr>
      </w:pPr>
      <w:bookmarkStart w:id="205" w:name="_Toc167220302"/>
      <w:bookmarkStart w:id="206" w:name="_Toc177549037"/>
    </w:p>
    <w:p w14:paraId="521BF84B" w14:textId="77777777" w:rsidR="004A489F" w:rsidRPr="00D207EA" w:rsidRDefault="004A489F" w:rsidP="004A489F">
      <w:pPr>
        <w:pStyle w:val="ManualHeading2"/>
        <w:rPr>
          <w:noProof/>
        </w:rPr>
      </w:pPr>
      <w:r w:rsidRPr="00D207EA">
        <w:rPr>
          <w:noProof/>
        </w:rPr>
        <w:t>4.1 Exigences pertinentes en matière numérique</w:t>
      </w:r>
      <w:bookmarkEnd w:id="205"/>
      <w:bookmarkEnd w:id="206"/>
    </w:p>
    <w:p w14:paraId="161129B1" w14:textId="77777777" w:rsidR="004A489F" w:rsidRPr="00D207EA" w:rsidRDefault="004A489F" w:rsidP="004A489F">
      <w:pPr>
        <w:rPr>
          <w:noProof/>
        </w:rPr>
      </w:pPr>
      <w:bookmarkStart w:id="207" w:name="_Toc167220303"/>
      <w:bookmarkStart w:id="208" w:name="_Toc177549038"/>
      <w:r w:rsidRPr="00D207EA">
        <w:rPr>
          <w:noProof/>
        </w:rPr>
        <w:t>Si l’initiative est considérée comme ne comportant pas d’exigences pertinentes en matière numérique:</w:t>
      </w:r>
    </w:p>
    <w:p w14:paraId="2B7939FA" w14:textId="77777777" w:rsidR="004A489F" w:rsidRPr="00D207EA" w:rsidRDefault="004A489F" w:rsidP="004A489F">
      <w:pPr>
        <w:rPr>
          <w:i/>
          <w:noProof/>
        </w:rPr>
      </w:pPr>
      <w:r w:rsidRPr="00D207EA">
        <w:rPr>
          <w:i/>
          <w:noProof/>
        </w:rPr>
        <w:t>Justifier pourquoi les moyens numériques ne peuvent pas être utilisés pour améliorer la mise en œuvre et pourquoi le principe du «numérique par défaut» n’est pas applicable</w:t>
      </w:r>
    </w:p>
    <w:tbl>
      <w:tblPr>
        <w:tblStyle w:val="TableGrid"/>
        <w:tblW w:w="0" w:type="auto"/>
        <w:tblLook w:val="04A0" w:firstRow="1" w:lastRow="0" w:firstColumn="1" w:lastColumn="0" w:noHBand="0" w:noVBand="1"/>
      </w:tblPr>
      <w:tblGrid>
        <w:gridCol w:w="13994"/>
      </w:tblGrid>
      <w:tr w:rsidR="004A489F" w:rsidRPr="00D207EA" w14:paraId="1AF7C86F" w14:textId="77777777">
        <w:tc>
          <w:tcPr>
            <w:tcW w:w="13994" w:type="dxa"/>
          </w:tcPr>
          <w:p w14:paraId="64B1FB05" w14:textId="77777777" w:rsidR="004A489F" w:rsidRPr="00D207EA" w:rsidRDefault="004A489F">
            <w:pPr>
              <w:rPr>
                <w:noProof/>
              </w:rPr>
            </w:pPr>
          </w:p>
        </w:tc>
      </w:tr>
    </w:tbl>
    <w:p w14:paraId="2ED10718" w14:textId="77777777" w:rsidR="004A489F" w:rsidRPr="00D207EA" w:rsidRDefault="004A489F" w:rsidP="004A489F">
      <w:pPr>
        <w:rPr>
          <w:noProof/>
        </w:rPr>
      </w:pPr>
      <w:r w:rsidRPr="00D207EA">
        <w:rPr>
          <w:noProof/>
        </w:rPr>
        <w:t>Dans le cas contraire:</w:t>
      </w:r>
    </w:p>
    <w:p w14:paraId="2409E31C" w14:textId="4737D8E7" w:rsidR="004A489F" w:rsidRPr="00D207EA" w:rsidRDefault="004A489F" w:rsidP="004A489F">
      <w:pPr>
        <w:rPr>
          <w:i/>
          <w:noProof/>
        </w:rPr>
      </w:pPr>
      <w:r w:rsidRPr="00D207EA">
        <w:rPr>
          <w:i/>
          <w:noProof/>
        </w:rPr>
        <w:t>Description générale des exigences pertinentes en matière numérique et des catégories correspondantes (données, numérisation et automatisation des processus, solutions numériques et/ou services publics numériques)</w:t>
      </w:r>
    </w:p>
    <w:p w14:paraId="2A5A7646" w14:textId="77777777" w:rsidR="004A489F" w:rsidRPr="00D207EA" w:rsidRDefault="004A489F" w:rsidP="004A489F">
      <w:pPr>
        <w:pStyle w:val="Text1"/>
        <w:ind w:left="0"/>
        <w:rPr>
          <w:noProof/>
        </w:rPr>
      </w:pPr>
    </w:p>
    <w:tbl>
      <w:tblPr>
        <w:tblStyle w:val="TableGrid"/>
        <w:tblW w:w="14170" w:type="dxa"/>
        <w:tblLook w:val="04A0" w:firstRow="1" w:lastRow="0" w:firstColumn="1" w:lastColumn="0" w:noHBand="0" w:noVBand="1"/>
      </w:tblPr>
      <w:tblGrid>
        <w:gridCol w:w="2972"/>
        <w:gridCol w:w="4536"/>
        <w:gridCol w:w="2693"/>
        <w:gridCol w:w="1785"/>
        <w:gridCol w:w="2184"/>
      </w:tblGrid>
      <w:tr w:rsidR="004A489F" w:rsidRPr="00D207EA" w14:paraId="03766361" w14:textId="77777777">
        <w:trPr>
          <w:trHeight w:val="300"/>
        </w:trPr>
        <w:tc>
          <w:tcPr>
            <w:tcW w:w="2972" w:type="dxa"/>
            <w:vAlign w:val="center"/>
          </w:tcPr>
          <w:p w14:paraId="6B7831BF" w14:textId="77777777" w:rsidR="004A489F" w:rsidRPr="00D207EA" w:rsidRDefault="004A489F">
            <w:pPr>
              <w:jc w:val="left"/>
              <w:rPr>
                <w:b/>
                <w:noProof/>
              </w:rPr>
            </w:pPr>
            <w:r w:rsidRPr="00D207EA">
              <w:rPr>
                <w:b/>
                <w:noProof/>
              </w:rPr>
              <w:t>Référence à l’exigence</w:t>
            </w:r>
          </w:p>
        </w:tc>
        <w:tc>
          <w:tcPr>
            <w:tcW w:w="4536" w:type="dxa"/>
            <w:vAlign w:val="center"/>
          </w:tcPr>
          <w:p w14:paraId="7D194FD0" w14:textId="77777777" w:rsidR="004A489F" w:rsidRPr="00D207EA" w:rsidRDefault="004A489F">
            <w:pPr>
              <w:jc w:val="left"/>
              <w:rPr>
                <w:b/>
                <w:noProof/>
              </w:rPr>
            </w:pPr>
            <w:r w:rsidRPr="00D207EA">
              <w:rPr>
                <w:b/>
                <w:noProof/>
              </w:rPr>
              <w:t>Description de l’exigence</w:t>
            </w:r>
          </w:p>
        </w:tc>
        <w:tc>
          <w:tcPr>
            <w:tcW w:w="2693" w:type="dxa"/>
            <w:vAlign w:val="center"/>
          </w:tcPr>
          <w:p w14:paraId="4F17E043" w14:textId="77777777" w:rsidR="004A489F" w:rsidRPr="00D207EA" w:rsidRDefault="004A489F">
            <w:pPr>
              <w:jc w:val="left"/>
              <w:rPr>
                <w:b/>
                <w:noProof/>
              </w:rPr>
            </w:pPr>
            <w:r w:rsidRPr="00D207EA">
              <w:rPr>
                <w:b/>
                <w:noProof/>
              </w:rPr>
              <w:t>Acteurs visés ou concernés par l’exigence</w:t>
            </w:r>
          </w:p>
        </w:tc>
        <w:tc>
          <w:tcPr>
            <w:tcW w:w="1785" w:type="dxa"/>
            <w:vAlign w:val="center"/>
          </w:tcPr>
          <w:p w14:paraId="6203545D" w14:textId="77777777" w:rsidR="004A489F" w:rsidRPr="00D207EA" w:rsidRDefault="004A489F">
            <w:pPr>
              <w:jc w:val="left"/>
              <w:rPr>
                <w:b/>
                <w:noProof/>
              </w:rPr>
            </w:pPr>
            <w:r w:rsidRPr="00D207EA">
              <w:rPr>
                <w:b/>
                <w:noProof/>
              </w:rPr>
              <w:t>Processus généraux</w:t>
            </w:r>
          </w:p>
        </w:tc>
        <w:tc>
          <w:tcPr>
            <w:tcW w:w="2184" w:type="dxa"/>
            <w:vAlign w:val="center"/>
          </w:tcPr>
          <w:p w14:paraId="34C84E73" w14:textId="77777777" w:rsidR="004A489F" w:rsidRPr="00D207EA" w:rsidRDefault="004A489F">
            <w:pPr>
              <w:jc w:val="left"/>
              <w:rPr>
                <w:b/>
                <w:noProof/>
              </w:rPr>
            </w:pPr>
            <w:r w:rsidRPr="00D207EA">
              <w:rPr>
                <w:b/>
                <w:noProof/>
              </w:rPr>
              <w:t>Catégories</w:t>
            </w:r>
          </w:p>
        </w:tc>
      </w:tr>
      <w:tr w:rsidR="004A489F" w:rsidRPr="00D207EA" w14:paraId="7640970A" w14:textId="77777777">
        <w:trPr>
          <w:trHeight w:val="300"/>
        </w:trPr>
        <w:tc>
          <w:tcPr>
            <w:tcW w:w="2972" w:type="dxa"/>
            <w:vAlign w:val="center"/>
          </w:tcPr>
          <w:p w14:paraId="6FCF2C4B" w14:textId="77777777" w:rsidR="004A489F" w:rsidRPr="00D207EA" w:rsidRDefault="004A489F">
            <w:pPr>
              <w:rPr>
                <w:noProof/>
              </w:rPr>
            </w:pPr>
            <w:r w:rsidRPr="00D207EA">
              <w:rPr>
                <w:noProof/>
              </w:rPr>
              <w:t>Article 3 sur les objectifs spécifiques et article 22 sur les exigences pour le plan PNR</w:t>
            </w:r>
          </w:p>
        </w:tc>
        <w:tc>
          <w:tcPr>
            <w:tcW w:w="4536" w:type="dxa"/>
            <w:vAlign w:val="center"/>
          </w:tcPr>
          <w:p w14:paraId="79E331F4" w14:textId="77777777" w:rsidR="004A489F" w:rsidRPr="00D207EA" w:rsidRDefault="004A489F">
            <w:pPr>
              <w:rPr>
                <w:noProof/>
              </w:rPr>
            </w:pPr>
            <w:r w:rsidRPr="00D207EA">
              <w:rPr>
                <w:noProof/>
              </w:rPr>
              <w:t>Les plans contribuent de manière globale et appropriée à tous les objectifs spécifiques du Fonds, compte tenu des défis spécifiques de l’État membre concerné, y compris:</w:t>
            </w:r>
          </w:p>
          <w:p w14:paraId="1C004F76" w14:textId="77777777" w:rsidR="004A489F" w:rsidRPr="00D207EA" w:rsidRDefault="004A489F" w:rsidP="00C21519">
            <w:pPr>
              <w:pStyle w:val="ListParagraph"/>
              <w:numPr>
                <w:ilvl w:val="0"/>
                <w:numId w:val="183"/>
              </w:numPr>
              <w:rPr>
                <w:noProof/>
                <w:color w:val="000000" w:themeColor="text1"/>
                <w:szCs w:val="24"/>
              </w:rPr>
            </w:pPr>
            <w:r w:rsidRPr="00D207EA">
              <w:rPr>
                <w:noProof/>
              </w:rPr>
              <w:t xml:space="preserve">soutenir la transition numérique et promouvoir le développement et l’utilisation des technologies avancées et de la connectivité des TIC, </w:t>
            </w:r>
            <w:r w:rsidRPr="00D207EA">
              <w:rPr>
                <w:noProof/>
                <w:color w:val="000000" w:themeColor="text1"/>
              </w:rPr>
              <w:t>tout en s’attaquant à la fracture numérique;</w:t>
            </w:r>
          </w:p>
          <w:p w14:paraId="52F5120C" w14:textId="77777777" w:rsidR="00961700" w:rsidRPr="00D207EA" w:rsidRDefault="00961700" w:rsidP="00C21519">
            <w:pPr>
              <w:pStyle w:val="ListParagraph"/>
              <w:numPr>
                <w:ilvl w:val="0"/>
                <w:numId w:val="183"/>
              </w:numPr>
              <w:rPr>
                <w:noProof/>
              </w:rPr>
            </w:pPr>
            <w:r w:rsidRPr="00D207EA">
              <w:rPr>
                <w:noProof/>
              </w:rPr>
              <w:t>soutenir la transition […] numérique des transports;</w:t>
            </w:r>
          </w:p>
          <w:p w14:paraId="1EC22855" w14:textId="77777777" w:rsidR="004A489F" w:rsidRPr="00D207EA" w:rsidRDefault="004A489F" w:rsidP="00C21519">
            <w:pPr>
              <w:pStyle w:val="ListParagraph"/>
              <w:numPr>
                <w:ilvl w:val="0"/>
                <w:numId w:val="183"/>
              </w:numPr>
              <w:rPr>
                <w:noProof/>
              </w:rPr>
            </w:pPr>
            <w:r w:rsidRPr="00D207EA">
              <w:rPr>
                <w:noProof/>
              </w:rPr>
              <w:t>améliorer l’attractivité et le niveau de vie dans les zones rurales et côtières, soutenir des conditions de travail équitables et [...] accélérer la transition numérique pour un secteur agroalimentaire prospère.</w:t>
            </w:r>
          </w:p>
          <w:p w14:paraId="199213C8" w14:textId="77777777" w:rsidR="004A489F" w:rsidRPr="00D207EA" w:rsidRDefault="004A489F">
            <w:pPr>
              <w:rPr>
                <w:noProof/>
              </w:rPr>
            </w:pPr>
            <w:r w:rsidRPr="00D207EA">
              <w:rPr>
                <w:noProof/>
              </w:rPr>
              <w:t>Les plans sont conformes, entre autres, aux [...] feuilles de route stratégiques nationales relatives à la décennie numérique en application de la décision (UE) 2022/2481 et contribuent effectivement, en particulier, à soutenir la transition numérique et axée sur les données de l’agriculture et des zones rurales.</w:t>
            </w:r>
          </w:p>
        </w:tc>
        <w:tc>
          <w:tcPr>
            <w:tcW w:w="2693" w:type="dxa"/>
            <w:vAlign w:val="center"/>
          </w:tcPr>
          <w:p w14:paraId="140D9D66" w14:textId="77777777" w:rsidR="004A489F" w:rsidRPr="00D207EA" w:rsidRDefault="004A489F">
            <w:pPr>
              <w:jc w:val="left"/>
              <w:rPr>
                <w:noProof/>
              </w:rPr>
            </w:pPr>
            <w:r w:rsidRPr="00D207EA">
              <w:rPr>
                <w:noProof/>
              </w:rPr>
              <w:t>États membres</w:t>
            </w:r>
          </w:p>
        </w:tc>
        <w:tc>
          <w:tcPr>
            <w:tcW w:w="1785" w:type="dxa"/>
            <w:vAlign w:val="center"/>
          </w:tcPr>
          <w:p w14:paraId="695C1F4E" w14:textId="77777777" w:rsidR="004A489F" w:rsidRPr="00D207EA" w:rsidRDefault="004A489F">
            <w:pPr>
              <w:rPr>
                <w:noProof/>
              </w:rPr>
            </w:pPr>
            <w:r w:rsidRPr="00D207EA">
              <w:rPr>
                <w:noProof/>
              </w:rPr>
              <w:t>Soutien à la transition numérique</w:t>
            </w:r>
          </w:p>
        </w:tc>
        <w:tc>
          <w:tcPr>
            <w:tcW w:w="2184" w:type="dxa"/>
            <w:vAlign w:val="center"/>
          </w:tcPr>
          <w:p w14:paraId="0E29D798" w14:textId="77777777" w:rsidR="004A489F" w:rsidRPr="00D207EA" w:rsidRDefault="004A489F">
            <w:pPr>
              <w:rPr>
                <w:noProof/>
              </w:rPr>
            </w:pPr>
            <w:r w:rsidRPr="00D207EA">
              <w:rPr>
                <w:noProof/>
              </w:rPr>
              <w:t>Solutions numériques et/ou services publics numériques, infrastructures numériques, formation</w:t>
            </w:r>
          </w:p>
        </w:tc>
      </w:tr>
      <w:tr w:rsidR="004A489F" w:rsidRPr="00D207EA" w14:paraId="76B1C968" w14:textId="77777777">
        <w:trPr>
          <w:trHeight w:val="300"/>
        </w:trPr>
        <w:tc>
          <w:tcPr>
            <w:tcW w:w="2972" w:type="dxa"/>
            <w:vAlign w:val="center"/>
          </w:tcPr>
          <w:p w14:paraId="26EF5D03" w14:textId="77777777" w:rsidR="004A489F" w:rsidRPr="00D207EA" w:rsidRDefault="004A489F">
            <w:pPr>
              <w:rPr>
                <w:noProof/>
              </w:rPr>
            </w:pPr>
            <w:r w:rsidRPr="00D207EA">
              <w:rPr>
                <w:noProof/>
              </w:rPr>
              <w:t>Article 63 sur la collecte et l’enregistrement des données</w:t>
            </w:r>
          </w:p>
        </w:tc>
        <w:tc>
          <w:tcPr>
            <w:tcW w:w="4536" w:type="dxa"/>
            <w:vAlign w:val="center"/>
          </w:tcPr>
          <w:p w14:paraId="47CFF1AA" w14:textId="4488DE39" w:rsidR="004A489F" w:rsidRPr="00D207EA" w:rsidRDefault="004A489F">
            <w:pPr>
              <w:rPr>
                <w:rFonts w:eastAsia="Calibri"/>
                <w:noProof/>
              </w:rPr>
            </w:pPr>
            <w:r w:rsidRPr="00D207EA">
              <w:rPr>
                <w:noProof/>
              </w:rPr>
              <w:t>Les États membres collectent, enregistrent et stockent électroniquement les informations requises sur i) le bénéficiaire, ii) le destinataire et le destinataire final, iii) le contractant, iv) le sous-traitant, v) l’opération, vi) le développement local mené par les acteurs locaux, en relation avec chaque groupe d’action locale (GAL), vii) chaque groupe opérationnel du PEI-AGRI à des fins d’audit et de contrôle, de transparence et de suivi des performances, d’analyse, d’évaluation et de statistiques, tout en garantissant la sécurité, l’intégrité et la confidentialité des données et l’authentification des utilisateurs et en permettant l’échange automatisé de données avec le système électronique déterminé par la Commission.</w:t>
            </w:r>
          </w:p>
        </w:tc>
        <w:tc>
          <w:tcPr>
            <w:tcW w:w="2693" w:type="dxa"/>
            <w:vAlign w:val="center"/>
          </w:tcPr>
          <w:p w14:paraId="0F76DBBB" w14:textId="77777777" w:rsidR="004A489F" w:rsidRPr="00D207EA" w:rsidRDefault="004A489F">
            <w:pPr>
              <w:jc w:val="left"/>
              <w:rPr>
                <w:noProof/>
              </w:rPr>
            </w:pPr>
            <w:r w:rsidRPr="00D207EA">
              <w:rPr>
                <w:noProof/>
              </w:rPr>
              <w:t>États membres, Commission européenne</w:t>
            </w:r>
          </w:p>
        </w:tc>
        <w:tc>
          <w:tcPr>
            <w:tcW w:w="1785" w:type="dxa"/>
            <w:vAlign w:val="center"/>
          </w:tcPr>
          <w:p w14:paraId="5DD847A9" w14:textId="77777777" w:rsidR="004A489F" w:rsidRPr="00D207EA" w:rsidRDefault="004A489F">
            <w:pPr>
              <w:rPr>
                <w:noProof/>
              </w:rPr>
            </w:pPr>
            <w:r w:rsidRPr="00D207EA">
              <w:rPr>
                <w:noProof/>
              </w:rPr>
              <w:t>Collecte et enregistrement des données</w:t>
            </w:r>
          </w:p>
        </w:tc>
        <w:tc>
          <w:tcPr>
            <w:tcW w:w="2184" w:type="dxa"/>
            <w:vAlign w:val="center"/>
          </w:tcPr>
          <w:p w14:paraId="4D41F71C" w14:textId="77777777" w:rsidR="004A489F" w:rsidRPr="00D207EA" w:rsidRDefault="004A489F">
            <w:pPr>
              <w:rPr>
                <w:noProof/>
              </w:rPr>
            </w:pPr>
            <w:r w:rsidRPr="00D207EA">
              <w:rPr>
                <w:noProof/>
              </w:rPr>
              <w:t>Données</w:t>
            </w:r>
          </w:p>
        </w:tc>
      </w:tr>
      <w:tr w:rsidR="004A489F" w:rsidRPr="00D207EA" w14:paraId="62319101" w14:textId="77777777">
        <w:trPr>
          <w:trHeight w:val="300"/>
        </w:trPr>
        <w:tc>
          <w:tcPr>
            <w:tcW w:w="2972" w:type="dxa"/>
            <w:vAlign w:val="center"/>
          </w:tcPr>
          <w:p w14:paraId="1D888BA0" w14:textId="77777777" w:rsidR="004A489F" w:rsidRPr="00D207EA" w:rsidRDefault="004A489F">
            <w:pPr>
              <w:rPr>
                <w:noProof/>
              </w:rPr>
            </w:pPr>
            <w:r w:rsidRPr="00D207EA">
              <w:rPr>
                <w:noProof/>
              </w:rPr>
              <w:t>Article 64 sur la transparence</w:t>
            </w:r>
          </w:p>
        </w:tc>
        <w:tc>
          <w:tcPr>
            <w:tcW w:w="4536" w:type="dxa"/>
            <w:vAlign w:val="center"/>
          </w:tcPr>
          <w:p w14:paraId="1A6141E2" w14:textId="51C21569" w:rsidR="004A489F" w:rsidRPr="00D207EA" w:rsidRDefault="004A489F">
            <w:pPr>
              <w:rPr>
                <w:noProof/>
              </w:rPr>
            </w:pPr>
            <w:r w:rsidRPr="00D207EA">
              <w:rPr>
                <w:noProof/>
              </w:rPr>
              <w:t>Les États membres veillent à ce que soit opérationnel un site web où il est possible de consulter les informations sur le soutien accordé au titre du présent règlement, couvrant les objectifs, les activités, les possibilités de financement disponibles et les réalisations du plan.</w:t>
            </w:r>
          </w:p>
          <w:p w14:paraId="20293CE4" w14:textId="77777777" w:rsidR="004A489F" w:rsidRPr="00D207EA" w:rsidRDefault="004A489F">
            <w:pPr>
              <w:rPr>
                <w:noProof/>
              </w:rPr>
            </w:pPr>
            <w:r w:rsidRPr="00D207EA">
              <w:rPr>
                <w:noProof/>
              </w:rPr>
              <w:t>Les États membres devraient également veiller à ce que les informations visées à l’article 63 soient publiées sur le site web. Ils devraient en outre faire en sorte que les éléments visés dans le [règlement relatif à la performance] soient publiés sur le site web.</w:t>
            </w:r>
          </w:p>
        </w:tc>
        <w:tc>
          <w:tcPr>
            <w:tcW w:w="2693" w:type="dxa"/>
            <w:vAlign w:val="center"/>
          </w:tcPr>
          <w:p w14:paraId="6911BCBC" w14:textId="77777777" w:rsidR="004A489F" w:rsidRPr="00D207EA" w:rsidRDefault="004A489F">
            <w:pPr>
              <w:rPr>
                <w:noProof/>
              </w:rPr>
            </w:pPr>
            <w:r w:rsidRPr="00D207EA">
              <w:rPr>
                <w:noProof/>
              </w:rPr>
              <w:t>États membres</w:t>
            </w:r>
          </w:p>
        </w:tc>
        <w:tc>
          <w:tcPr>
            <w:tcW w:w="1785" w:type="dxa"/>
            <w:vAlign w:val="center"/>
          </w:tcPr>
          <w:p w14:paraId="68826431" w14:textId="77777777" w:rsidR="004A489F" w:rsidRPr="00D207EA" w:rsidRDefault="004A489F">
            <w:pPr>
              <w:rPr>
                <w:noProof/>
              </w:rPr>
            </w:pPr>
            <w:r w:rsidRPr="00D207EA">
              <w:rPr>
                <w:noProof/>
              </w:rPr>
              <w:t>Transparence</w:t>
            </w:r>
          </w:p>
        </w:tc>
        <w:tc>
          <w:tcPr>
            <w:tcW w:w="2184" w:type="dxa"/>
            <w:vAlign w:val="center"/>
          </w:tcPr>
          <w:p w14:paraId="6D4A9B37" w14:textId="77777777" w:rsidR="004A489F" w:rsidRPr="00D207EA" w:rsidRDefault="004A489F">
            <w:pPr>
              <w:rPr>
                <w:noProof/>
              </w:rPr>
            </w:pPr>
            <w:r w:rsidRPr="00D207EA">
              <w:rPr>
                <w:noProof/>
              </w:rPr>
              <w:t>Données</w:t>
            </w:r>
          </w:p>
        </w:tc>
      </w:tr>
      <w:tr w:rsidR="004A489F" w:rsidRPr="00D207EA" w14:paraId="68B9CF86" w14:textId="77777777">
        <w:trPr>
          <w:trHeight w:val="300"/>
        </w:trPr>
        <w:tc>
          <w:tcPr>
            <w:tcW w:w="2972" w:type="dxa"/>
            <w:vAlign w:val="center"/>
          </w:tcPr>
          <w:p w14:paraId="2294AF4D" w14:textId="77777777" w:rsidR="004A489F" w:rsidRPr="00D207EA" w:rsidRDefault="004A489F">
            <w:pPr>
              <w:rPr>
                <w:noProof/>
              </w:rPr>
            </w:pPr>
            <w:r w:rsidRPr="00D207EA">
              <w:rPr>
                <w:noProof/>
              </w:rPr>
              <w:t>Article 64 sur la transparence</w:t>
            </w:r>
          </w:p>
        </w:tc>
        <w:tc>
          <w:tcPr>
            <w:tcW w:w="4536" w:type="dxa"/>
            <w:vAlign w:val="center"/>
          </w:tcPr>
          <w:p w14:paraId="3D15F1F1" w14:textId="3DC4BA39" w:rsidR="004A489F" w:rsidRPr="00D207EA" w:rsidRDefault="004A489F">
            <w:pPr>
              <w:rPr>
                <w:noProof/>
              </w:rPr>
            </w:pPr>
            <w:r w:rsidRPr="00D207EA">
              <w:rPr>
                <w:noProof/>
              </w:rPr>
              <w:t>La Commission européenne publie les données visées à l’article 63 sur le site web centralisé visé au [règlement relatif à la performance].</w:t>
            </w:r>
          </w:p>
        </w:tc>
        <w:tc>
          <w:tcPr>
            <w:tcW w:w="2693" w:type="dxa"/>
            <w:vAlign w:val="center"/>
          </w:tcPr>
          <w:p w14:paraId="0DEF83A5" w14:textId="77777777" w:rsidR="004A489F" w:rsidRPr="00D207EA" w:rsidRDefault="004A489F">
            <w:pPr>
              <w:rPr>
                <w:noProof/>
              </w:rPr>
            </w:pPr>
            <w:r w:rsidRPr="00D207EA">
              <w:rPr>
                <w:noProof/>
              </w:rPr>
              <w:t>Commission européenne</w:t>
            </w:r>
          </w:p>
        </w:tc>
        <w:tc>
          <w:tcPr>
            <w:tcW w:w="1785" w:type="dxa"/>
            <w:vAlign w:val="center"/>
          </w:tcPr>
          <w:p w14:paraId="389A034B" w14:textId="77777777" w:rsidR="004A489F" w:rsidRPr="00D207EA" w:rsidRDefault="004A489F">
            <w:pPr>
              <w:rPr>
                <w:noProof/>
              </w:rPr>
            </w:pPr>
            <w:r w:rsidRPr="00D207EA">
              <w:rPr>
                <w:noProof/>
              </w:rPr>
              <w:t>Transparence</w:t>
            </w:r>
          </w:p>
        </w:tc>
        <w:tc>
          <w:tcPr>
            <w:tcW w:w="2184" w:type="dxa"/>
            <w:vAlign w:val="center"/>
          </w:tcPr>
          <w:p w14:paraId="077D307D" w14:textId="77777777" w:rsidR="004A489F" w:rsidRPr="00D207EA" w:rsidRDefault="004A489F">
            <w:pPr>
              <w:rPr>
                <w:noProof/>
              </w:rPr>
            </w:pPr>
            <w:r w:rsidRPr="00D207EA">
              <w:rPr>
                <w:noProof/>
              </w:rPr>
              <w:t>Données</w:t>
            </w:r>
          </w:p>
        </w:tc>
      </w:tr>
      <w:tr w:rsidR="004A489F" w:rsidRPr="00D207EA" w14:paraId="7DEA09CA" w14:textId="77777777">
        <w:trPr>
          <w:trHeight w:val="300"/>
        </w:trPr>
        <w:tc>
          <w:tcPr>
            <w:tcW w:w="2972" w:type="dxa"/>
            <w:vAlign w:val="center"/>
          </w:tcPr>
          <w:p w14:paraId="3B5B36A6" w14:textId="77777777" w:rsidR="004A489F" w:rsidRPr="00D207EA" w:rsidRDefault="004A489F">
            <w:pPr>
              <w:rPr>
                <w:noProof/>
              </w:rPr>
            </w:pPr>
            <w:r w:rsidRPr="00D207EA">
              <w:rPr>
                <w:noProof/>
              </w:rPr>
              <w:t>Article 58 sur les responsabilités des États membres, annexe IV sur les exigences clés pour les systèmes de gestion, de contrôle et d’audit de l’État membre et annexe XVI sur le SFC2027</w:t>
            </w:r>
          </w:p>
        </w:tc>
        <w:tc>
          <w:tcPr>
            <w:tcW w:w="4536" w:type="dxa"/>
            <w:vAlign w:val="center"/>
          </w:tcPr>
          <w:p w14:paraId="354C5885" w14:textId="77777777" w:rsidR="004A489F" w:rsidRPr="00D207EA" w:rsidRDefault="004A489F">
            <w:pPr>
              <w:rPr>
                <w:noProof/>
              </w:rPr>
            </w:pPr>
            <w:r w:rsidRPr="00D207EA">
              <w:rPr>
                <w:noProof/>
              </w:rPr>
              <w:t>Les États membres font en sorte que tous les cas présumés de fraude, de corruption et d’irrégularités, y compris les conflits d’intérêts, le double financement et les autres infractions à la législation applicable, soient signalés dans le système de gestion des irrégularités de la Commission; la Commission synthétise et publie chaque année ces informations, et les communique au Parlement européen.</w:t>
            </w:r>
          </w:p>
          <w:p w14:paraId="4CECB477" w14:textId="77777777" w:rsidR="004A489F" w:rsidRPr="00D207EA" w:rsidRDefault="004A489F">
            <w:pPr>
              <w:rPr>
                <w:noProof/>
              </w:rPr>
            </w:pPr>
            <w:r w:rsidRPr="00D207EA">
              <w:rPr>
                <w:noProof/>
              </w:rPr>
              <w:t>Les États membres s’assurent que tous les échanges officiels d’informations avec la Commission sont effectués au moyen d’un système d’échange électronique de données visé à l’annexe XVI [SFC2027: système d’échange électronique de données entre les États membres et la Commission].</w:t>
            </w:r>
          </w:p>
        </w:tc>
        <w:tc>
          <w:tcPr>
            <w:tcW w:w="2693" w:type="dxa"/>
            <w:vAlign w:val="center"/>
          </w:tcPr>
          <w:p w14:paraId="2FD42461" w14:textId="77777777" w:rsidR="004A489F" w:rsidRPr="00D207EA" w:rsidRDefault="004A489F">
            <w:pPr>
              <w:rPr>
                <w:noProof/>
              </w:rPr>
            </w:pPr>
            <w:r w:rsidRPr="00D207EA">
              <w:rPr>
                <w:noProof/>
              </w:rPr>
              <w:t>États membres, Commission européenne</w:t>
            </w:r>
          </w:p>
        </w:tc>
        <w:tc>
          <w:tcPr>
            <w:tcW w:w="1785" w:type="dxa"/>
            <w:vAlign w:val="center"/>
          </w:tcPr>
          <w:p w14:paraId="78846D55" w14:textId="77777777" w:rsidR="004A489F" w:rsidRPr="00D207EA" w:rsidRDefault="004A489F">
            <w:pPr>
              <w:rPr>
                <w:noProof/>
              </w:rPr>
            </w:pPr>
            <w:r w:rsidRPr="00D207EA">
              <w:rPr>
                <w:noProof/>
              </w:rPr>
              <w:t>Collecte et enregistrement des données</w:t>
            </w:r>
          </w:p>
        </w:tc>
        <w:tc>
          <w:tcPr>
            <w:tcW w:w="2184" w:type="dxa"/>
            <w:vAlign w:val="center"/>
          </w:tcPr>
          <w:p w14:paraId="0B635CC1" w14:textId="77777777" w:rsidR="004A489F" w:rsidRPr="00D207EA" w:rsidRDefault="004A489F">
            <w:pPr>
              <w:rPr>
                <w:noProof/>
              </w:rPr>
            </w:pPr>
            <w:r w:rsidRPr="00D207EA">
              <w:rPr>
                <w:noProof/>
              </w:rPr>
              <w:t>Données</w:t>
            </w:r>
          </w:p>
        </w:tc>
      </w:tr>
      <w:tr w:rsidR="004A489F" w:rsidRPr="00D207EA" w14:paraId="7DDE64E4" w14:textId="77777777">
        <w:trPr>
          <w:trHeight w:val="300"/>
        </w:trPr>
        <w:tc>
          <w:tcPr>
            <w:tcW w:w="2972" w:type="dxa"/>
            <w:vAlign w:val="center"/>
          </w:tcPr>
          <w:p w14:paraId="168674A2" w14:textId="77777777" w:rsidR="004A489F" w:rsidRPr="00D207EA" w:rsidRDefault="004A489F">
            <w:pPr>
              <w:rPr>
                <w:noProof/>
              </w:rPr>
            </w:pPr>
            <w:r w:rsidRPr="00D207EA">
              <w:rPr>
                <w:noProof/>
              </w:rPr>
              <w:t>Article 58 sur les responsabilités des États membres</w:t>
            </w:r>
          </w:p>
        </w:tc>
        <w:tc>
          <w:tcPr>
            <w:tcW w:w="4536" w:type="dxa"/>
            <w:vAlign w:val="center"/>
          </w:tcPr>
          <w:p w14:paraId="3F353435" w14:textId="77777777" w:rsidR="004A489F" w:rsidRPr="00D207EA" w:rsidRDefault="004A489F">
            <w:pPr>
              <w:rPr>
                <w:noProof/>
              </w:rPr>
            </w:pPr>
            <w:r w:rsidRPr="00D207EA">
              <w:rPr>
                <w:noProof/>
              </w:rPr>
              <w:t>Les États membres veillent à ce que tous les échanges d’informations entre les bénéficiaires du financement et les autorités du plan, ainsi qu’avec la Commission, soient effectués au moyen de systèmes d’échange électronique de données.</w:t>
            </w:r>
          </w:p>
        </w:tc>
        <w:tc>
          <w:tcPr>
            <w:tcW w:w="2693" w:type="dxa"/>
            <w:vAlign w:val="center"/>
          </w:tcPr>
          <w:p w14:paraId="7720A86C" w14:textId="77777777" w:rsidR="004A489F" w:rsidRPr="00D207EA" w:rsidRDefault="004A489F">
            <w:pPr>
              <w:rPr>
                <w:noProof/>
              </w:rPr>
            </w:pPr>
            <w:r w:rsidRPr="00D207EA">
              <w:rPr>
                <w:noProof/>
              </w:rPr>
              <w:t>États membres</w:t>
            </w:r>
          </w:p>
        </w:tc>
        <w:tc>
          <w:tcPr>
            <w:tcW w:w="1785" w:type="dxa"/>
            <w:vAlign w:val="center"/>
          </w:tcPr>
          <w:p w14:paraId="3AEA28E7" w14:textId="1DBC3BC8" w:rsidR="004A489F" w:rsidRPr="00D207EA" w:rsidRDefault="004A489F">
            <w:pPr>
              <w:rPr>
                <w:noProof/>
              </w:rPr>
            </w:pPr>
            <w:r w:rsidRPr="00D207EA">
              <w:rPr>
                <w:noProof/>
              </w:rPr>
              <w:t>Transition numérique des processus</w:t>
            </w:r>
          </w:p>
        </w:tc>
        <w:tc>
          <w:tcPr>
            <w:tcW w:w="2184" w:type="dxa"/>
            <w:vAlign w:val="center"/>
          </w:tcPr>
          <w:p w14:paraId="442FEE86" w14:textId="77777777" w:rsidR="004A489F" w:rsidRPr="00D207EA" w:rsidRDefault="004A489F">
            <w:pPr>
              <w:rPr>
                <w:noProof/>
              </w:rPr>
            </w:pPr>
            <w:r w:rsidRPr="00D207EA">
              <w:rPr>
                <w:noProof/>
              </w:rPr>
              <w:t>Données</w:t>
            </w:r>
          </w:p>
        </w:tc>
      </w:tr>
      <w:tr w:rsidR="004A489F" w:rsidRPr="00D207EA" w14:paraId="4B588160" w14:textId="77777777">
        <w:trPr>
          <w:trHeight w:val="300"/>
        </w:trPr>
        <w:tc>
          <w:tcPr>
            <w:tcW w:w="2972" w:type="dxa"/>
          </w:tcPr>
          <w:p w14:paraId="57D17357" w14:textId="77777777" w:rsidR="004A489F" w:rsidRPr="00D207EA" w:rsidRDefault="004A489F">
            <w:pPr>
              <w:rPr>
                <w:noProof/>
              </w:rPr>
            </w:pPr>
            <w:r w:rsidRPr="00D207EA">
              <w:rPr>
                <w:noProof/>
              </w:rPr>
              <w:t>Annexe XIV sur les actions de l’Union soutenues par la Facilité de l’UE</w:t>
            </w:r>
          </w:p>
        </w:tc>
        <w:tc>
          <w:tcPr>
            <w:tcW w:w="4536" w:type="dxa"/>
          </w:tcPr>
          <w:p w14:paraId="1942BBD5" w14:textId="77777777" w:rsidR="004A489F" w:rsidRPr="00D207EA" w:rsidRDefault="004A489F">
            <w:pPr>
              <w:rPr>
                <w:noProof/>
                <w:szCs w:val="24"/>
              </w:rPr>
            </w:pPr>
            <w:r w:rsidRPr="00D207EA">
              <w:rPr>
                <w:noProof/>
                <w:color w:val="000000" w:themeColor="text1"/>
              </w:rPr>
              <w:t>La Facilité soutient la mise en œuvre de la politique commune de la pêche, notamment en fournissant des avis scientifiques, en collectant des données et des connaissances afin de promouvoir des décisions de gestion de la pêche justifiées et efficaces; de développer et de mettre en œuvre le régime de contrôle de la pêche de l’Union, de promouvoir des océans propres et sains, de développer et de diffuser des informations sur le marché des produits de la pêche et de l’aquaculture, et de promouvoir la sûreté et la surveillance maritimes.</w:t>
            </w:r>
          </w:p>
        </w:tc>
        <w:tc>
          <w:tcPr>
            <w:tcW w:w="2693" w:type="dxa"/>
          </w:tcPr>
          <w:p w14:paraId="302C8B15" w14:textId="77777777" w:rsidR="004A489F" w:rsidRPr="00D207EA" w:rsidRDefault="004A489F">
            <w:pPr>
              <w:rPr>
                <w:noProof/>
              </w:rPr>
            </w:pPr>
            <w:r w:rsidRPr="00D207EA">
              <w:rPr>
                <w:noProof/>
              </w:rPr>
              <w:t>Commission européenne</w:t>
            </w:r>
          </w:p>
        </w:tc>
        <w:tc>
          <w:tcPr>
            <w:tcW w:w="1785" w:type="dxa"/>
          </w:tcPr>
          <w:p w14:paraId="37E08104" w14:textId="77777777" w:rsidR="004A489F" w:rsidRPr="00D207EA" w:rsidRDefault="004A489F">
            <w:pPr>
              <w:rPr>
                <w:noProof/>
              </w:rPr>
            </w:pPr>
            <w:r w:rsidRPr="00D207EA">
              <w:rPr>
                <w:noProof/>
              </w:rPr>
              <w:t>Collecte et enregistrement des données</w:t>
            </w:r>
          </w:p>
        </w:tc>
        <w:tc>
          <w:tcPr>
            <w:tcW w:w="2184" w:type="dxa"/>
          </w:tcPr>
          <w:p w14:paraId="3AC24EDF" w14:textId="77777777" w:rsidR="004A489F" w:rsidRPr="00D207EA" w:rsidRDefault="004A489F">
            <w:pPr>
              <w:rPr>
                <w:noProof/>
              </w:rPr>
            </w:pPr>
            <w:r w:rsidRPr="00D207EA">
              <w:rPr>
                <w:noProof/>
              </w:rPr>
              <w:t>Solutions numériques pour les données</w:t>
            </w:r>
          </w:p>
        </w:tc>
      </w:tr>
    </w:tbl>
    <w:p w14:paraId="1D681AD7" w14:textId="77777777" w:rsidR="004A489F" w:rsidRPr="00D207EA" w:rsidRDefault="004A489F" w:rsidP="004A489F">
      <w:pPr>
        <w:pStyle w:val="Text1"/>
        <w:ind w:left="0"/>
        <w:rPr>
          <w:rFonts w:eastAsia="Times New Roman"/>
          <w:noProof/>
          <w:szCs w:val="20"/>
          <w:lang w:eastAsia="en-IE"/>
        </w:rPr>
      </w:pPr>
    </w:p>
    <w:p w14:paraId="3DDA7136" w14:textId="77777777" w:rsidR="004A489F" w:rsidRPr="00D207EA" w:rsidRDefault="004A489F" w:rsidP="004A489F">
      <w:pPr>
        <w:pStyle w:val="ManualHeading2"/>
        <w:ind w:left="0" w:firstLine="0"/>
        <w:rPr>
          <w:rFonts w:eastAsia="Times New Roman"/>
          <w:noProof/>
        </w:rPr>
      </w:pPr>
      <w:r w:rsidRPr="00D207EA">
        <w:rPr>
          <w:noProof/>
        </w:rPr>
        <w:t>4.2. Données</w:t>
      </w:r>
    </w:p>
    <w:p w14:paraId="00360CEC" w14:textId="77777777" w:rsidR="004A489F" w:rsidRPr="00D207EA" w:rsidRDefault="004A489F" w:rsidP="004A489F">
      <w:pPr>
        <w:rPr>
          <w:i/>
          <w:noProof/>
        </w:rPr>
      </w:pPr>
      <w:r w:rsidRPr="00D207EA">
        <w:rPr>
          <w:i/>
          <w:noProof/>
        </w:rPr>
        <w:t>Description générale des données relevant du champ d’application</w:t>
      </w:r>
    </w:p>
    <w:tbl>
      <w:tblPr>
        <w:tblStyle w:val="TableGrid"/>
        <w:tblW w:w="14250" w:type="dxa"/>
        <w:tblLook w:val="04A0" w:firstRow="1" w:lastRow="0" w:firstColumn="1" w:lastColumn="0" w:noHBand="0" w:noVBand="1"/>
      </w:tblPr>
      <w:tblGrid>
        <w:gridCol w:w="5240"/>
        <w:gridCol w:w="3686"/>
        <w:gridCol w:w="5324"/>
      </w:tblGrid>
      <w:tr w:rsidR="004A489F" w:rsidRPr="00D207EA" w14:paraId="0854649B" w14:textId="77777777">
        <w:tc>
          <w:tcPr>
            <w:tcW w:w="5240" w:type="dxa"/>
          </w:tcPr>
          <w:p w14:paraId="349A6738" w14:textId="594E2AF1" w:rsidR="004A489F" w:rsidRPr="00D207EA" w:rsidRDefault="004A489F">
            <w:pPr>
              <w:jc w:val="left"/>
              <w:rPr>
                <w:b/>
                <w:noProof/>
              </w:rPr>
            </w:pPr>
            <w:r w:rsidRPr="00D207EA">
              <w:rPr>
                <w:b/>
                <w:noProof/>
              </w:rPr>
              <w:t>Type de données</w:t>
            </w:r>
          </w:p>
        </w:tc>
        <w:tc>
          <w:tcPr>
            <w:tcW w:w="3686" w:type="dxa"/>
          </w:tcPr>
          <w:p w14:paraId="22768CA4" w14:textId="77777777" w:rsidR="004A489F" w:rsidRPr="00D207EA" w:rsidRDefault="004A489F">
            <w:pPr>
              <w:jc w:val="left"/>
              <w:rPr>
                <w:b/>
                <w:noProof/>
              </w:rPr>
            </w:pPr>
            <w:r w:rsidRPr="00D207EA">
              <w:rPr>
                <w:b/>
                <w:noProof/>
              </w:rPr>
              <w:t>Référence à l’exigence ou aux exigences</w:t>
            </w:r>
          </w:p>
        </w:tc>
        <w:tc>
          <w:tcPr>
            <w:tcW w:w="5324" w:type="dxa"/>
          </w:tcPr>
          <w:p w14:paraId="38FE2168" w14:textId="77777777" w:rsidR="004A489F" w:rsidRPr="00D207EA" w:rsidRDefault="004A489F">
            <w:pPr>
              <w:jc w:val="left"/>
              <w:rPr>
                <w:b/>
                <w:noProof/>
              </w:rPr>
            </w:pPr>
            <w:r w:rsidRPr="00D207EA">
              <w:rPr>
                <w:b/>
                <w:noProof/>
              </w:rPr>
              <w:t>Norme et/ou spécification (le cas échéant)</w:t>
            </w:r>
          </w:p>
        </w:tc>
      </w:tr>
      <w:tr w:rsidR="004A489F" w:rsidRPr="00D207EA" w14:paraId="6B1AF106" w14:textId="77777777">
        <w:tc>
          <w:tcPr>
            <w:tcW w:w="5240" w:type="dxa"/>
          </w:tcPr>
          <w:p w14:paraId="28A44F46" w14:textId="77777777" w:rsidR="004A489F" w:rsidRPr="00D207EA" w:rsidRDefault="004A489F">
            <w:pPr>
              <w:jc w:val="left"/>
              <w:rPr>
                <w:noProof/>
                <w:szCs w:val="24"/>
              </w:rPr>
            </w:pPr>
            <w:r w:rsidRPr="00D207EA">
              <w:rPr>
                <w:noProof/>
              </w:rPr>
              <w:t>Données sur i) le bénéficiaire, ii) le destinataire et le destinataire final, iii) le contractant, iv) le sous-traitant, v) l’opération, vi) le développement local mené par les acteurs locaux, en relation avec chaque groupe d’action locale (GAL), vii) chaque groupe opérationnel du PEI-AGRI</w:t>
            </w:r>
          </w:p>
        </w:tc>
        <w:tc>
          <w:tcPr>
            <w:tcW w:w="3686" w:type="dxa"/>
          </w:tcPr>
          <w:p w14:paraId="4281F66A" w14:textId="77777777" w:rsidR="004A489F" w:rsidRPr="00D207EA" w:rsidRDefault="004A489F">
            <w:pPr>
              <w:jc w:val="left"/>
              <w:rPr>
                <w:noProof/>
                <w:szCs w:val="24"/>
              </w:rPr>
            </w:pPr>
            <w:r w:rsidRPr="00D207EA">
              <w:rPr>
                <w:noProof/>
              </w:rPr>
              <w:t>Article 63 sur la collecte et l’enregistrement des données</w:t>
            </w:r>
          </w:p>
        </w:tc>
        <w:tc>
          <w:tcPr>
            <w:tcW w:w="5324" w:type="dxa"/>
          </w:tcPr>
          <w:p w14:paraId="0ED70D03" w14:textId="77777777" w:rsidR="004A489F" w:rsidRPr="00D207EA" w:rsidRDefault="004A489F">
            <w:pPr>
              <w:jc w:val="left"/>
              <w:rPr>
                <w:noProof/>
                <w:szCs w:val="24"/>
              </w:rPr>
            </w:pPr>
            <w:r w:rsidRPr="00D207EA">
              <w:rPr>
                <w:noProof/>
              </w:rPr>
              <w:t>La Commission publie ces données, sous réserve des exceptions prévues par le règlement, sur un site web centralisé avec la part de la contribution de l’Union visée dans le [règlement relatif à la performance]. Les informations relatives aux nom et prénom, s’il s’agit d’une personne physique, ou au nom, s’il s’agit d’une entité juridique, ne sont pas publiées si le montant que l’une ou l’autre a perçu au cours d’une année est inférieur ou égal à 2 500 EUR.</w:t>
            </w:r>
          </w:p>
        </w:tc>
      </w:tr>
      <w:tr w:rsidR="004A489F" w:rsidRPr="00D207EA" w14:paraId="69EAEDDD" w14:textId="77777777">
        <w:tc>
          <w:tcPr>
            <w:tcW w:w="5240" w:type="dxa"/>
          </w:tcPr>
          <w:p w14:paraId="039D5138" w14:textId="26D23DBD" w:rsidR="004A489F" w:rsidRPr="00D207EA" w:rsidRDefault="004A489F">
            <w:pPr>
              <w:rPr>
                <w:noProof/>
                <w:szCs w:val="24"/>
              </w:rPr>
            </w:pPr>
            <w:r w:rsidRPr="00D207EA">
              <w:rPr>
                <w:noProof/>
              </w:rPr>
              <w:t>Informations sur les objectifs et les activités du plan de l’État membre, ainsi que sur les financements disponibles et les possibilités.</w:t>
            </w:r>
          </w:p>
          <w:p w14:paraId="45418352" w14:textId="77777777" w:rsidR="004A489F" w:rsidRPr="00D207EA" w:rsidRDefault="004A489F">
            <w:pPr>
              <w:rPr>
                <w:noProof/>
                <w:szCs w:val="24"/>
              </w:rPr>
            </w:pPr>
            <w:r w:rsidRPr="00D207EA">
              <w:rPr>
                <w:noProof/>
              </w:rPr>
              <w:t>Données sur i) le bénéficiaire, ii) le destinataire et le destinataire final, iii) le contractant, iv) le sous-traitant, v) l’opération, vi) le développement local mené par les acteurs locaux, en relation avec chaque groupe d’action locale (GAL), vii) chaque groupe opérationnel du PEI-AGRI</w:t>
            </w:r>
          </w:p>
          <w:p w14:paraId="7D57C08B" w14:textId="77777777" w:rsidR="004A489F" w:rsidRPr="00D207EA" w:rsidRDefault="004A489F">
            <w:pPr>
              <w:rPr>
                <w:noProof/>
                <w:szCs w:val="24"/>
              </w:rPr>
            </w:pPr>
            <w:r w:rsidRPr="00D207EA">
              <w:rPr>
                <w:noProof/>
              </w:rPr>
              <w:t>Informations liées aux éléments pertinents visés dans le règlement relatif à la performance en ce qui concerne les appels à propositions et les appels d’offres dans le cadre du Fonds</w:t>
            </w:r>
          </w:p>
          <w:p w14:paraId="2A8299F2" w14:textId="6A973B7F" w:rsidR="004A489F" w:rsidRPr="00D207EA" w:rsidRDefault="004A489F">
            <w:pPr>
              <w:rPr>
                <w:noProof/>
                <w:szCs w:val="24"/>
              </w:rPr>
            </w:pPr>
            <w:r w:rsidRPr="00D207EA">
              <w:rPr>
                <w:noProof/>
              </w:rPr>
              <w:t>Calendrier des appels à propositions prévus dans le cadre du Fonds.</w:t>
            </w:r>
          </w:p>
        </w:tc>
        <w:tc>
          <w:tcPr>
            <w:tcW w:w="3686" w:type="dxa"/>
          </w:tcPr>
          <w:p w14:paraId="6F589FB8" w14:textId="77777777" w:rsidR="004A489F" w:rsidRPr="00D207EA" w:rsidRDefault="004A489F">
            <w:pPr>
              <w:jc w:val="left"/>
              <w:rPr>
                <w:noProof/>
                <w:szCs w:val="24"/>
              </w:rPr>
            </w:pPr>
            <w:r w:rsidRPr="00D207EA">
              <w:rPr>
                <w:noProof/>
              </w:rPr>
              <w:t>Article 64 sur la transparence</w:t>
            </w:r>
          </w:p>
        </w:tc>
        <w:tc>
          <w:tcPr>
            <w:tcW w:w="5324" w:type="dxa"/>
          </w:tcPr>
          <w:p w14:paraId="35F448A3" w14:textId="77777777" w:rsidR="004A489F" w:rsidRPr="00D207EA" w:rsidRDefault="004A489F">
            <w:pPr>
              <w:jc w:val="left"/>
              <w:rPr>
                <w:noProof/>
                <w:szCs w:val="24"/>
              </w:rPr>
            </w:pPr>
            <w:r w:rsidRPr="00D207EA">
              <w:rPr>
                <w:noProof/>
              </w:rPr>
              <w:t>Ces données devraient être rédigées dans au moins une des langues officielles de l’État membre et/ou en anglais, en français ou en allemand, et restent disponibles sur le site web pendant deux ans à compter de la date de leur publication initiale. Les données sont publiées sur le site web dans un format adapté au numérique, ouvert, interopérable et lisible par machine, qui permet de trier, de rechercher, d’extraire, de comparer et de réutiliser les données.</w:t>
            </w:r>
          </w:p>
          <w:p w14:paraId="7793532D" w14:textId="46D26E0C" w:rsidR="004A489F" w:rsidRPr="00D207EA" w:rsidRDefault="004A489F">
            <w:pPr>
              <w:jc w:val="left"/>
              <w:rPr>
                <w:noProof/>
                <w:szCs w:val="24"/>
              </w:rPr>
            </w:pPr>
            <w:r w:rsidRPr="00D207EA">
              <w:rPr>
                <w:noProof/>
              </w:rPr>
              <w:t>Ces informations sont actualisées au moins une fois tous les six mois. Les informations relatives aux appels à propositions sont mises à jour au moins deux fois par an.</w:t>
            </w:r>
          </w:p>
        </w:tc>
      </w:tr>
      <w:tr w:rsidR="004A489F" w:rsidRPr="00D207EA" w14:paraId="31F133EB" w14:textId="77777777">
        <w:tc>
          <w:tcPr>
            <w:tcW w:w="5240" w:type="dxa"/>
          </w:tcPr>
          <w:p w14:paraId="74B435B0" w14:textId="77777777" w:rsidR="004A489F" w:rsidRPr="00D207EA" w:rsidRDefault="004A489F">
            <w:pPr>
              <w:rPr>
                <w:noProof/>
                <w:szCs w:val="24"/>
              </w:rPr>
            </w:pPr>
            <w:r w:rsidRPr="00D207EA">
              <w:rPr>
                <w:noProof/>
              </w:rPr>
              <w:t>Données pour le suivi, les rapports d’avancement, l’évaluation, les vérifications de la gestion financière et les audits</w:t>
            </w:r>
          </w:p>
        </w:tc>
        <w:tc>
          <w:tcPr>
            <w:tcW w:w="3686" w:type="dxa"/>
          </w:tcPr>
          <w:p w14:paraId="407C8B30" w14:textId="77777777" w:rsidR="004A489F" w:rsidRPr="00D207EA" w:rsidRDefault="004A489F">
            <w:pPr>
              <w:jc w:val="left"/>
              <w:rPr>
                <w:noProof/>
                <w:szCs w:val="24"/>
              </w:rPr>
            </w:pPr>
            <w:r w:rsidRPr="00D207EA">
              <w:rPr>
                <w:noProof/>
              </w:rPr>
              <w:t>Article 58 sur les responsabilités des États membres et annexe XVI sur le SFC2027</w:t>
            </w:r>
          </w:p>
        </w:tc>
        <w:tc>
          <w:tcPr>
            <w:tcW w:w="5324" w:type="dxa"/>
          </w:tcPr>
          <w:p w14:paraId="04F479CC" w14:textId="77777777" w:rsidR="004A489F" w:rsidRPr="00D207EA" w:rsidRDefault="004A489F">
            <w:pPr>
              <w:jc w:val="left"/>
              <w:rPr>
                <w:noProof/>
                <w:szCs w:val="24"/>
              </w:rPr>
            </w:pPr>
            <w:r w:rsidRPr="00D207EA">
              <w:rPr>
                <w:noProof/>
              </w:rPr>
              <w:t>Les États membres mettent en place des systèmes et des procédures pour s’assurer que toutes les pièces justificatives nécessaires à la piste d’audit relative à une mesure soutenue par le Fonds sont conservées au niveau approprié pendant une période de 10 ans à compter du 31 décembre de l’année au cours de laquelle la Commission a effectué le dernier paiement à l’État membre;  lorsqu’une procédure de recours a été engagée, qu’un appel a été interjeté ou qu’une procédure judiciaire a été entamée, les pièces justificatives sont conservées jusqu’à la clôture de ces procédures ou de toute procédure de recouvrement ultérieure;</w:t>
            </w:r>
          </w:p>
        </w:tc>
      </w:tr>
      <w:tr w:rsidR="004A489F" w:rsidRPr="00D207EA" w14:paraId="54AC9D64" w14:textId="77777777">
        <w:tc>
          <w:tcPr>
            <w:tcW w:w="5240" w:type="dxa"/>
          </w:tcPr>
          <w:p w14:paraId="0D6189AD" w14:textId="77777777" w:rsidR="004A489F" w:rsidRPr="00D207EA" w:rsidRDefault="004A489F">
            <w:pPr>
              <w:rPr>
                <w:noProof/>
                <w:szCs w:val="24"/>
              </w:rPr>
            </w:pPr>
            <w:r w:rsidRPr="00D207EA">
              <w:rPr>
                <w:noProof/>
              </w:rPr>
              <w:t>Système d’échange électronique de données</w:t>
            </w:r>
          </w:p>
        </w:tc>
        <w:tc>
          <w:tcPr>
            <w:tcW w:w="3686" w:type="dxa"/>
          </w:tcPr>
          <w:p w14:paraId="71EB7A60" w14:textId="77777777" w:rsidR="004A489F" w:rsidRPr="00D207EA" w:rsidRDefault="004A489F">
            <w:pPr>
              <w:jc w:val="left"/>
              <w:rPr>
                <w:noProof/>
                <w:szCs w:val="24"/>
              </w:rPr>
            </w:pPr>
            <w:r w:rsidRPr="00D207EA">
              <w:rPr>
                <w:noProof/>
              </w:rPr>
              <w:t>Article 58 sur les responsabilités des États membres</w:t>
            </w:r>
          </w:p>
        </w:tc>
        <w:tc>
          <w:tcPr>
            <w:tcW w:w="5324" w:type="dxa"/>
          </w:tcPr>
          <w:p w14:paraId="71C2AE7B" w14:textId="77777777" w:rsidR="004A489F" w:rsidRPr="00D207EA" w:rsidRDefault="004A489F">
            <w:pPr>
              <w:jc w:val="left"/>
              <w:rPr>
                <w:noProof/>
                <w:szCs w:val="24"/>
              </w:rPr>
            </w:pPr>
            <w:r w:rsidRPr="00D207EA">
              <w:rPr>
                <w:noProof/>
              </w:rPr>
              <w:t>Ces systèmes comprennent, entre autres, l’utilisation de formulaires et de calculs automatiques et interactifs, garantissent la conservation et le stockage des données dans le système facilitant à la fois des vérifications administratives des demandes de paiement soumises par les bénéficiaires et des audits, et permettent la synchronisation et la transmission automatiques des données entre les systèmes des bénéficiaires et ceux des États membres.</w:t>
            </w:r>
          </w:p>
        </w:tc>
      </w:tr>
    </w:tbl>
    <w:p w14:paraId="7D1EF724" w14:textId="77777777" w:rsidR="004A489F" w:rsidRPr="00D207EA" w:rsidRDefault="004A489F" w:rsidP="004A489F">
      <w:pPr>
        <w:tabs>
          <w:tab w:val="left" w:pos="11838"/>
        </w:tabs>
        <w:rPr>
          <w:rFonts w:eastAsia="Calibri"/>
          <w:noProof/>
          <w:szCs w:val="20"/>
        </w:rPr>
      </w:pPr>
      <w:r w:rsidRPr="00D207EA">
        <w:rPr>
          <w:noProof/>
        </w:rPr>
        <w:tab/>
      </w:r>
    </w:p>
    <w:p w14:paraId="27FC1CE9" w14:textId="77777777" w:rsidR="004A489F" w:rsidRPr="00D207EA" w:rsidRDefault="004A489F" w:rsidP="004A489F">
      <w:pPr>
        <w:rPr>
          <w:b/>
          <w:noProof/>
        </w:rPr>
      </w:pPr>
      <w:r w:rsidRPr="00D207EA">
        <w:rPr>
          <w:b/>
          <w:noProof/>
        </w:rPr>
        <w:t>Alignement sur la stratégie européenne pour les données</w:t>
      </w:r>
    </w:p>
    <w:p w14:paraId="0DEDE1CD" w14:textId="77777777" w:rsidR="004A489F" w:rsidRPr="00D207EA" w:rsidRDefault="004A489F" w:rsidP="004A489F">
      <w:pPr>
        <w:rPr>
          <w:i/>
          <w:noProof/>
        </w:rPr>
      </w:pPr>
      <w:r w:rsidRPr="00D207EA">
        <w:rPr>
          <w:i/>
          <w:noProof/>
        </w:rPr>
        <w:t>Expliquer comment l’exigence ou les exigences sont alignées sur la stratégie européenne pour les données</w:t>
      </w:r>
    </w:p>
    <w:tbl>
      <w:tblPr>
        <w:tblStyle w:val="TableGrid"/>
        <w:tblW w:w="0" w:type="auto"/>
        <w:tblLook w:val="04A0" w:firstRow="1" w:lastRow="0" w:firstColumn="1" w:lastColumn="0" w:noHBand="0" w:noVBand="1"/>
      </w:tblPr>
      <w:tblGrid>
        <w:gridCol w:w="13994"/>
      </w:tblGrid>
      <w:tr w:rsidR="004A489F" w:rsidRPr="00D207EA" w14:paraId="7F7A665A" w14:textId="77777777">
        <w:tc>
          <w:tcPr>
            <w:tcW w:w="13994" w:type="dxa"/>
          </w:tcPr>
          <w:p w14:paraId="79FC3010" w14:textId="77777777" w:rsidR="004A489F" w:rsidRPr="00D207EA" w:rsidRDefault="004A489F">
            <w:pPr>
              <w:rPr>
                <w:noProof/>
              </w:rPr>
            </w:pPr>
            <w:r w:rsidRPr="00D207EA">
              <w:rPr>
                <w:noProof/>
              </w:rPr>
              <w:t>Le règlement contribue aux objectifs généraux de la stratégie européenne pour les données, du fait qu’il cherche à faciliter une gestion et un partage modernes et efficaces des données, notamment dans le but de soutenir les administrations publiques et de faciliter l’élaboration de meilleures politiques. Une meilleure gestion des données de performances permettra notamment de renforcer l’orientation de la gestion des programmes.</w:t>
            </w:r>
          </w:p>
          <w:p w14:paraId="5ACCD7A9" w14:textId="77777777" w:rsidR="004A489F" w:rsidRPr="00D207EA" w:rsidRDefault="004A489F">
            <w:pPr>
              <w:rPr>
                <w:noProof/>
              </w:rPr>
            </w:pPr>
            <w:r w:rsidRPr="00D207EA">
              <w:rPr>
                <w:noProof/>
              </w:rPr>
              <w:t>Chaque État membre devra également, lors de l’élaboration de son plan de partenariat national et régional, veiller à ce qu’il soit cohérent avec sa feuille de route stratégique nationale relative à la décennie numérique en application de la décision (UE) 2022/2481.</w:t>
            </w:r>
          </w:p>
        </w:tc>
      </w:tr>
    </w:tbl>
    <w:p w14:paraId="15B5837C" w14:textId="77777777" w:rsidR="004A489F" w:rsidRPr="00D207EA" w:rsidRDefault="004A489F" w:rsidP="004A489F">
      <w:pPr>
        <w:rPr>
          <w:b/>
          <w:noProof/>
        </w:rPr>
      </w:pPr>
      <w:r w:rsidRPr="00D207EA">
        <w:rPr>
          <w:b/>
          <w:noProof/>
        </w:rPr>
        <w:t>Alignement sur le principe «une fois pour toutes»</w:t>
      </w:r>
    </w:p>
    <w:p w14:paraId="6F81D807" w14:textId="77777777" w:rsidR="004A489F" w:rsidRPr="00D207EA" w:rsidRDefault="004A489F" w:rsidP="004A489F">
      <w:pPr>
        <w:rPr>
          <w:i/>
          <w:noProof/>
        </w:rPr>
      </w:pPr>
      <w:r w:rsidRPr="00D207EA">
        <w:rPr>
          <w:i/>
          <w:noProof/>
        </w:rPr>
        <w:t>Expliquer comment le principe «une fois pour toutes» a été pris en considération et de quelle manière la possibilité de réutiliser des données existantes a été étudiée</w:t>
      </w:r>
    </w:p>
    <w:tbl>
      <w:tblPr>
        <w:tblStyle w:val="TableGrid"/>
        <w:tblW w:w="0" w:type="auto"/>
        <w:tblLook w:val="04A0" w:firstRow="1" w:lastRow="0" w:firstColumn="1" w:lastColumn="0" w:noHBand="0" w:noVBand="1"/>
      </w:tblPr>
      <w:tblGrid>
        <w:gridCol w:w="13994"/>
      </w:tblGrid>
      <w:tr w:rsidR="004A489F" w:rsidRPr="00D207EA" w14:paraId="144B9E2C" w14:textId="77777777">
        <w:tc>
          <w:tcPr>
            <w:tcW w:w="13994" w:type="dxa"/>
          </w:tcPr>
          <w:p w14:paraId="63497648" w14:textId="77777777" w:rsidR="004A489F" w:rsidRPr="00D207EA" w:rsidRDefault="004A489F">
            <w:pPr>
              <w:rPr>
                <w:noProof/>
              </w:rPr>
            </w:pPr>
            <w:r w:rsidRPr="00D207EA">
              <w:rPr>
                <w:noProof/>
              </w:rPr>
              <w:t>//</w:t>
            </w:r>
          </w:p>
        </w:tc>
      </w:tr>
    </w:tbl>
    <w:p w14:paraId="33FFB4AF" w14:textId="77777777" w:rsidR="004A489F" w:rsidRPr="00D207EA" w:rsidRDefault="004A489F" w:rsidP="004A489F">
      <w:pPr>
        <w:rPr>
          <w:i/>
          <w:noProof/>
        </w:rPr>
      </w:pPr>
      <w:r w:rsidRPr="00D207EA">
        <w:rPr>
          <w:i/>
          <w:noProof/>
        </w:rPr>
        <w:t>Expliquer comment les données nouvellement créées sont faciles à trouver, accessibles, interopérables et réutilisables, et répondent à des normes de qualité élevée</w:t>
      </w:r>
    </w:p>
    <w:tbl>
      <w:tblPr>
        <w:tblStyle w:val="TableGrid"/>
        <w:tblW w:w="0" w:type="auto"/>
        <w:tblLook w:val="04A0" w:firstRow="1" w:lastRow="0" w:firstColumn="1" w:lastColumn="0" w:noHBand="0" w:noVBand="1"/>
      </w:tblPr>
      <w:tblGrid>
        <w:gridCol w:w="13994"/>
      </w:tblGrid>
      <w:tr w:rsidR="004A489F" w:rsidRPr="00D207EA" w14:paraId="2A78C9D3" w14:textId="77777777">
        <w:tc>
          <w:tcPr>
            <w:tcW w:w="13994" w:type="dxa"/>
          </w:tcPr>
          <w:p w14:paraId="73C367FA" w14:textId="77777777" w:rsidR="004A489F" w:rsidRPr="00D207EA" w:rsidRDefault="004A489F">
            <w:pPr>
              <w:rPr>
                <w:noProof/>
              </w:rPr>
            </w:pPr>
            <w:r w:rsidRPr="00D207EA">
              <w:rPr>
                <w:noProof/>
              </w:rPr>
              <w:t>Les données sont publiées sur le site web dans un format adapté au numérique, ouvert, interopérable et lisible par machine, qui permet de trier, de rechercher, d’extraire, de comparer et de réutiliser les données.</w:t>
            </w:r>
          </w:p>
        </w:tc>
      </w:tr>
    </w:tbl>
    <w:p w14:paraId="76E35B9F" w14:textId="77777777" w:rsidR="004A489F" w:rsidRPr="00D207EA" w:rsidRDefault="004A489F" w:rsidP="004A489F">
      <w:pPr>
        <w:rPr>
          <w:b/>
          <w:noProof/>
        </w:rPr>
      </w:pPr>
    </w:p>
    <w:p w14:paraId="0B3ED6E7" w14:textId="77777777" w:rsidR="004A489F" w:rsidRPr="00D207EA" w:rsidRDefault="004A489F" w:rsidP="004A489F">
      <w:pPr>
        <w:tabs>
          <w:tab w:val="left" w:pos="5370"/>
        </w:tabs>
        <w:rPr>
          <w:b/>
          <w:noProof/>
        </w:rPr>
      </w:pPr>
      <w:r w:rsidRPr="00D207EA">
        <w:rPr>
          <w:b/>
          <w:noProof/>
        </w:rPr>
        <w:t>Flux de données</w:t>
      </w:r>
    </w:p>
    <w:p w14:paraId="04C72461" w14:textId="77777777" w:rsidR="004A489F" w:rsidRPr="00D207EA" w:rsidRDefault="004A489F" w:rsidP="004A489F">
      <w:pPr>
        <w:tabs>
          <w:tab w:val="left" w:pos="5370"/>
        </w:tabs>
        <w:rPr>
          <w:i/>
          <w:noProof/>
        </w:rPr>
      </w:pPr>
      <w:r w:rsidRPr="00D207EA">
        <w:rPr>
          <w:i/>
          <w:noProof/>
        </w:rPr>
        <w:t>Description générale des flux de données</w:t>
      </w:r>
    </w:p>
    <w:tbl>
      <w:tblPr>
        <w:tblStyle w:val="TableGrid"/>
        <w:tblW w:w="14078" w:type="dxa"/>
        <w:tblLook w:val="04A0" w:firstRow="1" w:lastRow="0" w:firstColumn="1" w:lastColumn="0" w:noHBand="0" w:noVBand="1"/>
      </w:tblPr>
      <w:tblGrid>
        <w:gridCol w:w="4202"/>
        <w:gridCol w:w="1749"/>
        <w:gridCol w:w="1884"/>
        <w:gridCol w:w="1902"/>
        <w:gridCol w:w="2169"/>
        <w:gridCol w:w="2172"/>
      </w:tblGrid>
      <w:tr w:rsidR="004A489F" w:rsidRPr="00D207EA" w14:paraId="12F307ED" w14:textId="77777777">
        <w:trPr>
          <w:trHeight w:val="300"/>
        </w:trPr>
        <w:tc>
          <w:tcPr>
            <w:tcW w:w="4202" w:type="dxa"/>
          </w:tcPr>
          <w:p w14:paraId="66CB4326" w14:textId="77777777" w:rsidR="004A489F" w:rsidRPr="00D207EA" w:rsidRDefault="004A489F">
            <w:pPr>
              <w:jc w:val="left"/>
              <w:rPr>
                <w:b/>
                <w:noProof/>
              </w:rPr>
            </w:pPr>
            <w:r w:rsidRPr="00D207EA">
              <w:rPr>
                <w:b/>
                <w:noProof/>
              </w:rPr>
              <w:t>Type de données</w:t>
            </w:r>
          </w:p>
        </w:tc>
        <w:tc>
          <w:tcPr>
            <w:tcW w:w="1749" w:type="dxa"/>
          </w:tcPr>
          <w:p w14:paraId="1EDC0590" w14:textId="77777777" w:rsidR="004A489F" w:rsidRPr="00D207EA" w:rsidRDefault="004A489F">
            <w:pPr>
              <w:jc w:val="left"/>
              <w:rPr>
                <w:b/>
                <w:noProof/>
              </w:rPr>
            </w:pPr>
            <w:r w:rsidRPr="00D207EA">
              <w:rPr>
                <w:b/>
                <w:noProof/>
              </w:rPr>
              <w:t>Référence(s) à l’exigence ou aux exigences</w:t>
            </w:r>
          </w:p>
        </w:tc>
        <w:tc>
          <w:tcPr>
            <w:tcW w:w="1884" w:type="dxa"/>
          </w:tcPr>
          <w:p w14:paraId="79CE2958" w14:textId="77777777" w:rsidR="004A489F" w:rsidRPr="00D207EA" w:rsidRDefault="004A489F">
            <w:pPr>
              <w:jc w:val="left"/>
              <w:rPr>
                <w:b/>
                <w:noProof/>
              </w:rPr>
            </w:pPr>
            <w:r w:rsidRPr="00D207EA">
              <w:rPr>
                <w:b/>
                <w:noProof/>
              </w:rPr>
              <w:t>Acteurs fournissant les données</w:t>
            </w:r>
          </w:p>
        </w:tc>
        <w:tc>
          <w:tcPr>
            <w:tcW w:w="1902" w:type="dxa"/>
          </w:tcPr>
          <w:p w14:paraId="75151279" w14:textId="77777777" w:rsidR="004A489F" w:rsidRPr="00D207EA" w:rsidRDefault="004A489F">
            <w:pPr>
              <w:jc w:val="left"/>
              <w:rPr>
                <w:b/>
                <w:noProof/>
              </w:rPr>
            </w:pPr>
            <w:r w:rsidRPr="00D207EA">
              <w:rPr>
                <w:b/>
                <w:noProof/>
              </w:rPr>
              <w:t>Acteurs recevant les données</w:t>
            </w:r>
          </w:p>
        </w:tc>
        <w:tc>
          <w:tcPr>
            <w:tcW w:w="2169" w:type="dxa"/>
          </w:tcPr>
          <w:p w14:paraId="44728F63" w14:textId="77777777" w:rsidR="004A489F" w:rsidRPr="00D207EA" w:rsidRDefault="004A489F">
            <w:pPr>
              <w:jc w:val="left"/>
              <w:rPr>
                <w:b/>
                <w:noProof/>
              </w:rPr>
            </w:pPr>
            <w:r w:rsidRPr="00D207EA">
              <w:rPr>
                <w:b/>
                <w:noProof/>
              </w:rPr>
              <w:t>Déclencheur de l’échange de données</w:t>
            </w:r>
          </w:p>
        </w:tc>
        <w:tc>
          <w:tcPr>
            <w:tcW w:w="2172" w:type="dxa"/>
          </w:tcPr>
          <w:p w14:paraId="79F3A44D" w14:textId="77777777" w:rsidR="004A489F" w:rsidRPr="00D207EA" w:rsidRDefault="004A489F">
            <w:pPr>
              <w:jc w:val="left"/>
              <w:rPr>
                <w:b/>
                <w:noProof/>
              </w:rPr>
            </w:pPr>
            <w:r w:rsidRPr="00D207EA">
              <w:rPr>
                <w:b/>
                <w:noProof/>
              </w:rPr>
              <w:t>Fréquence (le cas échéant)</w:t>
            </w:r>
          </w:p>
        </w:tc>
      </w:tr>
      <w:tr w:rsidR="004A489F" w:rsidRPr="00D207EA" w14:paraId="1AAB6C66" w14:textId="77777777">
        <w:trPr>
          <w:trHeight w:val="300"/>
        </w:trPr>
        <w:tc>
          <w:tcPr>
            <w:tcW w:w="4202" w:type="dxa"/>
          </w:tcPr>
          <w:p w14:paraId="1083BC95" w14:textId="77777777" w:rsidR="004A489F" w:rsidRPr="00D207EA" w:rsidRDefault="004A489F">
            <w:pPr>
              <w:rPr>
                <w:noProof/>
                <w:szCs w:val="24"/>
              </w:rPr>
            </w:pPr>
            <w:r w:rsidRPr="00D207EA">
              <w:rPr>
                <w:noProof/>
              </w:rPr>
              <w:t>Données sur i) le bénéficiaire, ii) le destinataire et le destinataire final, iii) le contractant, iv) le sous-traitant, v) l’opération, vi) le développement local mené par les acteurs locaux, en relation avec chaque groupe d’action locale (GAL), vii) chaque groupe opérationnel du PEI-AGRI</w:t>
            </w:r>
          </w:p>
        </w:tc>
        <w:tc>
          <w:tcPr>
            <w:tcW w:w="1749" w:type="dxa"/>
          </w:tcPr>
          <w:p w14:paraId="28E65D6C" w14:textId="77777777" w:rsidR="004A489F" w:rsidRPr="00D207EA" w:rsidRDefault="004A489F">
            <w:pPr>
              <w:jc w:val="left"/>
              <w:rPr>
                <w:noProof/>
                <w:szCs w:val="24"/>
              </w:rPr>
            </w:pPr>
            <w:r w:rsidRPr="00D207EA">
              <w:rPr>
                <w:noProof/>
              </w:rPr>
              <w:t>Article 63</w:t>
            </w:r>
          </w:p>
        </w:tc>
        <w:tc>
          <w:tcPr>
            <w:tcW w:w="1884" w:type="dxa"/>
          </w:tcPr>
          <w:p w14:paraId="289AC20A" w14:textId="77777777" w:rsidR="004A489F" w:rsidRPr="00D207EA" w:rsidRDefault="004A489F">
            <w:pPr>
              <w:jc w:val="left"/>
              <w:rPr>
                <w:noProof/>
                <w:szCs w:val="24"/>
              </w:rPr>
            </w:pPr>
            <w:r w:rsidRPr="00D207EA">
              <w:rPr>
                <w:noProof/>
              </w:rPr>
              <w:t>États membres</w:t>
            </w:r>
          </w:p>
        </w:tc>
        <w:tc>
          <w:tcPr>
            <w:tcW w:w="1902" w:type="dxa"/>
          </w:tcPr>
          <w:p w14:paraId="5412D040" w14:textId="77777777" w:rsidR="004A489F" w:rsidRPr="00D207EA" w:rsidRDefault="004A489F">
            <w:pPr>
              <w:jc w:val="left"/>
              <w:rPr>
                <w:noProof/>
                <w:szCs w:val="24"/>
              </w:rPr>
            </w:pPr>
            <w:r w:rsidRPr="00D207EA">
              <w:rPr>
                <w:noProof/>
              </w:rPr>
              <w:t>Commission européenne</w:t>
            </w:r>
          </w:p>
        </w:tc>
        <w:tc>
          <w:tcPr>
            <w:tcW w:w="2169" w:type="dxa"/>
          </w:tcPr>
          <w:p w14:paraId="70CC0030" w14:textId="11D4A651" w:rsidR="004A489F" w:rsidRPr="00D207EA" w:rsidRDefault="004A489F">
            <w:pPr>
              <w:jc w:val="left"/>
              <w:rPr>
                <w:noProof/>
                <w:szCs w:val="24"/>
              </w:rPr>
            </w:pPr>
            <w:r w:rsidRPr="00D207EA">
              <w:rPr>
                <w:noProof/>
              </w:rPr>
              <w:t>Adoption de la décision d’approbation du plan</w:t>
            </w:r>
          </w:p>
        </w:tc>
        <w:tc>
          <w:tcPr>
            <w:tcW w:w="2172" w:type="dxa"/>
          </w:tcPr>
          <w:p w14:paraId="5D302294" w14:textId="77777777" w:rsidR="004A489F" w:rsidRPr="00D207EA" w:rsidRDefault="004A489F">
            <w:pPr>
              <w:jc w:val="left"/>
              <w:rPr>
                <w:noProof/>
                <w:szCs w:val="24"/>
              </w:rPr>
            </w:pPr>
            <w:r w:rsidRPr="00D207EA">
              <w:rPr>
                <w:noProof/>
              </w:rPr>
              <w:t>Deux fois par an, annuellement pour les interventions soutenant la politique agricole commune</w:t>
            </w:r>
          </w:p>
        </w:tc>
      </w:tr>
      <w:tr w:rsidR="004A489F" w:rsidRPr="00D207EA" w14:paraId="466F490C" w14:textId="77777777">
        <w:trPr>
          <w:trHeight w:val="300"/>
        </w:trPr>
        <w:tc>
          <w:tcPr>
            <w:tcW w:w="4202" w:type="dxa"/>
          </w:tcPr>
          <w:p w14:paraId="3D6A365C" w14:textId="77777777" w:rsidR="004A489F" w:rsidRPr="00D207EA" w:rsidRDefault="004A489F">
            <w:pPr>
              <w:rPr>
                <w:noProof/>
                <w:szCs w:val="24"/>
              </w:rPr>
            </w:pPr>
            <w:r w:rsidRPr="00D207EA">
              <w:rPr>
                <w:noProof/>
              </w:rPr>
              <w:t>Données sur i) le bénéficiaire, ii) le destinataire et le destinataire final, iii) le contractant, iv) le sous-traitant, v) l’opération, vi) le développement local mené par les acteurs locaux, en relation avec chaque groupe d’action locale (GAL), vii) chaque groupe opérationnel du PEI-AGRI</w:t>
            </w:r>
          </w:p>
        </w:tc>
        <w:tc>
          <w:tcPr>
            <w:tcW w:w="1749" w:type="dxa"/>
          </w:tcPr>
          <w:p w14:paraId="2EB42ED4" w14:textId="77777777" w:rsidR="004A489F" w:rsidRPr="00D207EA" w:rsidRDefault="004A489F">
            <w:pPr>
              <w:jc w:val="left"/>
              <w:rPr>
                <w:noProof/>
                <w:szCs w:val="24"/>
              </w:rPr>
            </w:pPr>
            <w:r w:rsidRPr="00D207EA">
              <w:rPr>
                <w:noProof/>
              </w:rPr>
              <w:t>Article 64</w:t>
            </w:r>
          </w:p>
        </w:tc>
        <w:tc>
          <w:tcPr>
            <w:tcW w:w="1884" w:type="dxa"/>
          </w:tcPr>
          <w:p w14:paraId="517558D3" w14:textId="77777777" w:rsidR="004A489F" w:rsidRPr="00D207EA" w:rsidRDefault="004A489F">
            <w:pPr>
              <w:jc w:val="left"/>
              <w:rPr>
                <w:noProof/>
                <w:szCs w:val="24"/>
              </w:rPr>
            </w:pPr>
            <w:r w:rsidRPr="00D207EA">
              <w:rPr>
                <w:noProof/>
              </w:rPr>
              <w:t>Commission européenne</w:t>
            </w:r>
          </w:p>
        </w:tc>
        <w:tc>
          <w:tcPr>
            <w:tcW w:w="1902" w:type="dxa"/>
          </w:tcPr>
          <w:p w14:paraId="1DDD8061" w14:textId="77777777" w:rsidR="004A489F" w:rsidRPr="00D207EA" w:rsidRDefault="004A489F">
            <w:pPr>
              <w:jc w:val="left"/>
              <w:rPr>
                <w:noProof/>
                <w:szCs w:val="24"/>
              </w:rPr>
            </w:pPr>
            <w:r w:rsidRPr="00D207EA">
              <w:rPr>
                <w:noProof/>
              </w:rPr>
              <w:t>Le public</w:t>
            </w:r>
          </w:p>
        </w:tc>
        <w:tc>
          <w:tcPr>
            <w:tcW w:w="2169" w:type="dxa"/>
          </w:tcPr>
          <w:p w14:paraId="5592C807" w14:textId="77777777" w:rsidR="004A489F" w:rsidRPr="00D207EA" w:rsidRDefault="004A489F">
            <w:pPr>
              <w:jc w:val="left"/>
              <w:rPr>
                <w:noProof/>
                <w:szCs w:val="24"/>
              </w:rPr>
            </w:pPr>
            <w:r w:rsidRPr="00D207EA">
              <w:rPr>
                <w:noProof/>
              </w:rPr>
              <w:t>Réception des informations de l’État membre</w:t>
            </w:r>
          </w:p>
        </w:tc>
        <w:tc>
          <w:tcPr>
            <w:tcW w:w="2172" w:type="dxa"/>
          </w:tcPr>
          <w:p w14:paraId="7B10969F" w14:textId="77777777" w:rsidR="004A489F" w:rsidRPr="00D207EA" w:rsidRDefault="004A489F">
            <w:pPr>
              <w:jc w:val="left"/>
              <w:rPr>
                <w:noProof/>
                <w:szCs w:val="24"/>
              </w:rPr>
            </w:pPr>
            <w:r w:rsidRPr="00D207EA">
              <w:rPr>
                <w:noProof/>
              </w:rPr>
              <w:t>Mises à jour régulières sur la base des informations reçues des États membres</w:t>
            </w:r>
          </w:p>
        </w:tc>
      </w:tr>
      <w:tr w:rsidR="004A489F" w:rsidRPr="00D207EA" w14:paraId="38470472" w14:textId="77777777">
        <w:trPr>
          <w:trHeight w:val="300"/>
        </w:trPr>
        <w:tc>
          <w:tcPr>
            <w:tcW w:w="4202" w:type="dxa"/>
          </w:tcPr>
          <w:p w14:paraId="365231CB" w14:textId="25FD30BE" w:rsidR="004A489F" w:rsidRPr="00D207EA" w:rsidRDefault="004A489F">
            <w:pPr>
              <w:rPr>
                <w:noProof/>
                <w:szCs w:val="24"/>
              </w:rPr>
            </w:pPr>
            <w:r w:rsidRPr="00D207EA">
              <w:rPr>
                <w:noProof/>
              </w:rPr>
              <w:t>Informations sur les objectifs et les activités du plan de l’État membre, ainsi que sur les financements disponibles et les possibilités.</w:t>
            </w:r>
          </w:p>
          <w:p w14:paraId="0A4D09D2" w14:textId="77777777" w:rsidR="004A489F" w:rsidRPr="00D207EA" w:rsidRDefault="004A489F">
            <w:pPr>
              <w:rPr>
                <w:noProof/>
                <w:szCs w:val="24"/>
              </w:rPr>
            </w:pPr>
            <w:r w:rsidRPr="00D207EA">
              <w:rPr>
                <w:noProof/>
              </w:rPr>
              <w:t>Données sur i) le bénéficiaire, ii) le destinataire et le destinataire final, iii) le contractant, iv) le sous-traitant, v) l’opération, vi) le développement local mené par les acteurs locaux, en relation avec chaque groupe d’action locale (GAL), vii) chaque groupe opérationnel du PEI-AGRI</w:t>
            </w:r>
          </w:p>
          <w:p w14:paraId="487E854C" w14:textId="7D43AF27" w:rsidR="004A489F" w:rsidRPr="00D207EA" w:rsidRDefault="004A489F">
            <w:pPr>
              <w:rPr>
                <w:noProof/>
                <w:szCs w:val="24"/>
              </w:rPr>
            </w:pPr>
            <w:r w:rsidRPr="00D207EA">
              <w:rPr>
                <w:noProof/>
              </w:rPr>
              <w:t>Informations liées à l’article 10, paragraphe 3, du règlement relatif à la performance</w:t>
            </w:r>
          </w:p>
          <w:p w14:paraId="38CC7D71" w14:textId="28A36BF9" w:rsidR="004A489F" w:rsidRPr="00D207EA" w:rsidRDefault="004A489F">
            <w:pPr>
              <w:jc w:val="left"/>
              <w:rPr>
                <w:noProof/>
                <w:szCs w:val="24"/>
              </w:rPr>
            </w:pPr>
            <w:r w:rsidRPr="00D207EA">
              <w:rPr>
                <w:noProof/>
              </w:rPr>
              <w:t>Calendrier des appels à propositions prévus dans le cadre du Fonds</w:t>
            </w:r>
          </w:p>
        </w:tc>
        <w:tc>
          <w:tcPr>
            <w:tcW w:w="1749" w:type="dxa"/>
          </w:tcPr>
          <w:p w14:paraId="17F520CF" w14:textId="77777777" w:rsidR="004A489F" w:rsidRPr="00D207EA" w:rsidRDefault="004A489F">
            <w:pPr>
              <w:jc w:val="left"/>
              <w:rPr>
                <w:noProof/>
                <w:szCs w:val="24"/>
              </w:rPr>
            </w:pPr>
            <w:r w:rsidRPr="00D207EA">
              <w:rPr>
                <w:noProof/>
              </w:rPr>
              <w:t>Article 64</w:t>
            </w:r>
          </w:p>
        </w:tc>
        <w:tc>
          <w:tcPr>
            <w:tcW w:w="1884" w:type="dxa"/>
          </w:tcPr>
          <w:p w14:paraId="31F866FD" w14:textId="77777777" w:rsidR="004A489F" w:rsidRPr="00D207EA" w:rsidRDefault="004A489F">
            <w:pPr>
              <w:jc w:val="left"/>
              <w:rPr>
                <w:noProof/>
                <w:szCs w:val="24"/>
              </w:rPr>
            </w:pPr>
            <w:r w:rsidRPr="00D207EA">
              <w:rPr>
                <w:noProof/>
              </w:rPr>
              <w:t>États membres</w:t>
            </w:r>
          </w:p>
        </w:tc>
        <w:tc>
          <w:tcPr>
            <w:tcW w:w="1902" w:type="dxa"/>
          </w:tcPr>
          <w:p w14:paraId="2193BDD2" w14:textId="77777777" w:rsidR="004A489F" w:rsidRPr="00D207EA" w:rsidRDefault="004A489F">
            <w:pPr>
              <w:jc w:val="left"/>
              <w:rPr>
                <w:noProof/>
                <w:szCs w:val="24"/>
              </w:rPr>
            </w:pPr>
            <w:r w:rsidRPr="00D207EA">
              <w:rPr>
                <w:noProof/>
              </w:rPr>
              <w:t>Le public</w:t>
            </w:r>
          </w:p>
        </w:tc>
        <w:tc>
          <w:tcPr>
            <w:tcW w:w="2169" w:type="dxa"/>
          </w:tcPr>
          <w:p w14:paraId="3BE5E6D3" w14:textId="2071EC3A" w:rsidR="004A489F" w:rsidRPr="00D207EA" w:rsidRDefault="004A489F">
            <w:pPr>
              <w:jc w:val="left"/>
              <w:rPr>
                <w:noProof/>
                <w:szCs w:val="24"/>
              </w:rPr>
            </w:pPr>
            <w:r w:rsidRPr="00D207EA">
              <w:rPr>
                <w:noProof/>
              </w:rPr>
              <w:t>Adoption de la décision d’approbation du plan</w:t>
            </w:r>
          </w:p>
        </w:tc>
        <w:tc>
          <w:tcPr>
            <w:tcW w:w="2172" w:type="dxa"/>
          </w:tcPr>
          <w:p w14:paraId="7DD4F5B4" w14:textId="77777777" w:rsidR="004A489F" w:rsidRPr="00D207EA" w:rsidRDefault="004A489F">
            <w:pPr>
              <w:jc w:val="left"/>
              <w:rPr>
                <w:noProof/>
                <w:szCs w:val="24"/>
              </w:rPr>
            </w:pPr>
            <w:r w:rsidRPr="00D207EA">
              <w:rPr>
                <w:noProof/>
              </w:rPr>
              <w:t>Site web opérationnel dans les 6 mois suivant l’adoption de la décision de la Commission relative à l’approbation du plan</w:t>
            </w:r>
          </w:p>
          <w:p w14:paraId="6DE2FE69" w14:textId="77777777" w:rsidR="004A489F" w:rsidRPr="00D207EA" w:rsidRDefault="004A489F">
            <w:pPr>
              <w:jc w:val="left"/>
              <w:rPr>
                <w:noProof/>
                <w:szCs w:val="24"/>
              </w:rPr>
            </w:pPr>
            <w:r w:rsidRPr="00D207EA">
              <w:rPr>
                <w:noProof/>
              </w:rPr>
              <w:t>Les données sont actualisées tous les six mois.</w:t>
            </w:r>
          </w:p>
        </w:tc>
      </w:tr>
    </w:tbl>
    <w:p w14:paraId="17825E76" w14:textId="77777777" w:rsidR="004A489F" w:rsidRPr="00D207EA" w:rsidRDefault="004A489F" w:rsidP="004A489F">
      <w:pPr>
        <w:tabs>
          <w:tab w:val="left" w:pos="11838"/>
        </w:tabs>
        <w:rPr>
          <w:b/>
          <w:noProof/>
        </w:rPr>
      </w:pPr>
    </w:p>
    <w:p w14:paraId="7F6E8E8F" w14:textId="77777777" w:rsidR="004A489F" w:rsidRPr="00D207EA" w:rsidRDefault="004A489F" w:rsidP="004A489F">
      <w:pPr>
        <w:pStyle w:val="ManualHeading2"/>
        <w:rPr>
          <w:noProof/>
        </w:rPr>
      </w:pPr>
      <w:r w:rsidRPr="00D207EA">
        <w:rPr>
          <w:noProof/>
        </w:rPr>
        <w:t>4.3. Solutions numériques</w:t>
      </w:r>
    </w:p>
    <w:p w14:paraId="4F5FFEE8" w14:textId="77777777" w:rsidR="004A489F" w:rsidRPr="00D207EA" w:rsidRDefault="004A489F" w:rsidP="004A489F">
      <w:pPr>
        <w:rPr>
          <w:i/>
          <w:noProof/>
        </w:rPr>
      </w:pPr>
      <w:r w:rsidRPr="00D207EA">
        <w:rPr>
          <w:i/>
          <w:noProof/>
        </w:rPr>
        <w:t>Description générale des solutions numériques</w:t>
      </w:r>
    </w:p>
    <w:tbl>
      <w:tblPr>
        <w:tblStyle w:val="TableGrid"/>
        <w:tblW w:w="13993" w:type="dxa"/>
        <w:tblLook w:val="04A0" w:firstRow="1" w:lastRow="0" w:firstColumn="1" w:lastColumn="0" w:noHBand="0" w:noVBand="1"/>
      </w:tblPr>
      <w:tblGrid>
        <w:gridCol w:w="1660"/>
        <w:gridCol w:w="1749"/>
        <w:gridCol w:w="2681"/>
        <w:gridCol w:w="2649"/>
        <w:gridCol w:w="1644"/>
        <w:gridCol w:w="2140"/>
        <w:gridCol w:w="1470"/>
      </w:tblGrid>
      <w:tr w:rsidR="004A489F" w:rsidRPr="00D207EA" w14:paraId="2C989853" w14:textId="77777777">
        <w:trPr>
          <w:trHeight w:val="300"/>
        </w:trPr>
        <w:tc>
          <w:tcPr>
            <w:tcW w:w="1660" w:type="dxa"/>
            <w:vAlign w:val="center"/>
          </w:tcPr>
          <w:p w14:paraId="30C2E6F8" w14:textId="77777777" w:rsidR="004A489F" w:rsidRPr="00D207EA" w:rsidRDefault="004A489F">
            <w:pPr>
              <w:spacing w:before="0" w:after="0"/>
              <w:jc w:val="center"/>
              <w:rPr>
                <w:b/>
                <w:noProof/>
                <w:color w:val="000000"/>
                <w:szCs w:val="24"/>
              </w:rPr>
            </w:pPr>
            <w:r w:rsidRPr="00D207EA">
              <w:rPr>
                <w:b/>
                <w:noProof/>
                <w:color w:val="000000"/>
              </w:rPr>
              <w:t>Solution numérique</w:t>
            </w:r>
          </w:p>
        </w:tc>
        <w:tc>
          <w:tcPr>
            <w:tcW w:w="1749" w:type="dxa"/>
            <w:vAlign w:val="center"/>
          </w:tcPr>
          <w:p w14:paraId="40238605" w14:textId="77777777" w:rsidR="004A489F" w:rsidRPr="00D207EA" w:rsidRDefault="004A489F">
            <w:pPr>
              <w:jc w:val="center"/>
              <w:rPr>
                <w:b/>
                <w:noProof/>
                <w:szCs w:val="24"/>
              </w:rPr>
            </w:pPr>
            <w:r w:rsidRPr="00D207EA">
              <w:rPr>
                <w:b/>
                <w:noProof/>
              </w:rPr>
              <w:t>Référence(s) à l’exigence ou aux exigences</w:t>
            </w:r>
          </w:p>
        </w:tc>
        <w:tc>
          <w:tcPr>
            <w:tcW w:w="2681" w:type="dxa"/>
            <w:vAlign w:val="center"/>
          </w:tcPr>
          <w:p w14:paraId="2DD9440F" w14:textId="77777777" w:rsidR="004A489F" w:rsidRPr="00D207EA" w:rsidRDefault="004A489F">
            <w:pPr>
              <w:spacing w:before="0" w:after="0"/>
              <w:jc w:val="center"/>
              <w:rPr>
                <w:b/>
                <w:noProof/>
                <w:color w:val="000000"/>
                <w:szCs w:val="24"/>
              </w:rPr>
            </w:pPr>
            <w:r w:rsidRPr="00D207EA">
              <w:rPr>
                <w:b/>
                <w:noProof/>
                <w:color w:val="000000"/>
              </w:rPr>
              <w:t>Principales fonctionnalités requises</w:t>
            </w:r>
          </w:p>
        </w:tc>
        <w:tc>
          <w:tcPr>
            <w:tcW w:w="2649" w:type="dxa"/>
            <w:vAlign w:val="center"/>
          </w:tcPr>
          <w:p w14:paraId="0314CFEA" w14:textId="77777777" w:rsidR="004A489F" w:rsidRPr="00D207EA" w:rsidRDefault="004A489F">
            <w:pPr>
              <w:jc w:val="center"/>
              <w:rPr>
                <w:b/>
                <w:noProof/>
                <w:color w:val="000000" w:themeColor="text1"/>
                <w:szCs w:val="24"/>
              </w:rPr>
            </w:pPr>
            <w:r w:rsidRPr="00D207EA">
              <w:rPr>
                <w:b/>
                <w:noProof/>
                <w:color w:val="000000" w:themeColor="text1"/>
              </w:rPr>
              <w:t>Organisme responsable</w:t>
            </w:r>
          </w:p>
        </w:tc>
        <w:tc>
          <w:tcPr>
            <w:tcW w:w="1644" w:type="dxa"/>
            <w:vAlign w:val="center"/>
          </w:tcPr>
          <w:p w14:paraId="5078FD07" w14:textId="77777777" w:rsidR="004A489F" w:rsidRPr="00D207EA" w:rsidRDefault="004A489F">
            <w:pPr>
              <w:spacing w:before="0" w:after="0"/>
              <w:jc w:val="center"/>
              <w:rPr>
                <w:b/>
                <w:noProof/>
                <w:color w:val="000000"/>
                <w:szCs w:val="24"/>
              </w:rPr>
            </w:pPr>
            <w:r w:rsidRPr="00D207EA">
              <w:rPr>
                <w:b/>
                <w:noProof/>
                <w:color w:val="000000"/>
              </w:rPr>
              <w:t>Comment l’accessibilité est-elle prise en compte?</w:t>
            </w:r>
          </w:p>
        </w:tc>
        <w:tc>
          <w:tcPr>
            <w:tcW w:w="2140" w:type="dxa"/>
            <w:vAlign w:val="center"/>
          </w:tcPr>
          <w:p w14:paraId="4C8FD827" w14:textId="77777777" w:rsidR="004A489F" w:rsidRPr="00D207EA" w:rsidRDefault="004A489F">
            <w:pPr>
              <w:spacing w:before="0" w:after="0"/>
              <w:jc w:val="center"/>
              <w:rPr>
                <w:b/>
                <w:noProof/>
                <w:color w:val="000000"/>
                <w:szCs w:val="24"/>
              </w:rPr>
            </w:pPr>
            <w:r w:rsidRPr="00D207EA">
              <w:rPr>
                <w:b/>
                <w:noProof/>
                <w:color w:val="000000"/>
              </w:rPr>
              <w:t>Comment la possibilité de réutilisation est-elle envisagée?</w:t>
            </w:r>
          </w:p>
        </w:tc>
        <w:tc>
          <w:tcPr>
            <w:tcW w:w="1470" w:type="dxa"/>
            <w:vAlign w:val="center"/>
          </w:tcPr>
          <w:p w14:paraId="45641C25" w14:textId="77777777" w:rsidR="004A489F" w:rsidRPr="00D207EA" w:rsidRDefault="004A489F">
            <w:pPr>
              <w:spacing w:before="0" w:after="0"/>
              <w:jc w:val="center"/>
              <w:rPr>
                <w:b/>
                <w:noProof/>
                <w:color w:val="000000"/>
                <w:szCs w:val="24"/>
              </w:rPr>
            </w:pPr>
            <w:r w:rsidRPr="00D207EA">
              <w:rPr>
                <w:b/>
                <w:noProof/>
                <w:color w:val="000000"/>
              </w:rPr>
              <w:t>Utilisation des technologies de l’IA (le cas échéant)</w:t>
            </w:r>
          </w:p>
        </w:tc>
      </w:tr>
      <w:tr w:rsidR="004A489F" w:rsidRPr="00D207EA" w14:paraId="291D869C" w14:textId="77777777">
        <w:trPr>
          <w:trHeight w:val="300"/>
        </w:trPr>
        <w:tc>
          <w:tcPr>
            <w:tcW w:w="1660" w:type="dxa"/>
          </w:tcPr>
          <w:p w14:paraId="75187CAB" w14:textId="77777777" w:rsidR="004A489F" w:rsidRPr="00D207EA" w:rsidRDefault="004A489F">
            <w:pPr>
              <w:jc w:val="left"/>
              <w:rPr>
                <w:noProof/>
              </w:rPr>
            </w:pPr>
            <w:r w:rsidRPr="00D207EA">
              <w:rPr>
                <w:noProof/>
              </w:rPr>
              <w:t>//</w:t>
            </w:r>
          </w:p>
        </w:tc>
        <w:tc>
          <w:tcPr>
            <w:tcW w:w="1749" w:type="dxa"/>
          </w:tcPr>
          <w:p w14:paraId="4773A821" w14:textId="77777777" w:rsidR="004A489F" w:rsidRPr="00D207EA" w:rsidRDefault="004A489F">
            <w:pPr>
              <w:jc w:val="left"/>
              <w:rPr>
                <w:noProof/>
              </w:rPr>
            </w:pPr>
          </w:p>
        </w:tc>
        <w:tc>
          <w:tcPr>
            <w:tcW w:w="2681" w:type="dxa"/>
          </w:tcPr>
          <w:p w14:paraId="3B05C524" w14:textId="77777777" w:rsidR="004A489F" w:rsidRPr="00D207EA" w:rsidRDefault="004A489F">
            <w:pPr>
              <w:jc w:val="left"/>
              <w:rPr>
                <w:noProof/>
              </w:rPr>
            </w:pPr>
          </w:p>
        </w:tc>
        <w:tc>
          <w:tcPr>
            <w:tcW w:w="2649" w:type="dxa"/>
          </w:tcPr>
          <w:p w14:paraId="6768D709" w14:textId="77777777" w:rsidR="004A489F" w:rsidRPr="00D207EA" w:rsidRDefault="004A489F">
            <w:pPr>
              <w:jc w:val="left"/>
              <w:rPr>
                <w:noProof/>
              </w:rPr>
            </w:pPr>
          </w:p>
        </w:tc>
        <w:tc>
          <w:tcPr>
            <w:tcW w:w="1644" w:type="dxa"/>
          </w:tcPr>
          <w:p w14:paraId="3C0E4FC2" w14:textId="77777777" w:rsidR="004A489F" w:rsidRPr="00D207EA" w:rsidRDefault="004A489F">
            <w:pPr>
              <w:jc w:val="left"/>
              <w:rPr>
                <w:noProof/>
              </w:rPr>
            </w:pPr>
          </w:p>
        </w:tc>
        <w:tc>
          <w:tcPr>
            <w:tcW w:w="2140" w:type="dxa"/>
          </w:tcPr>
          <w:p w14:paraId="0C169701" w14:textId="77777777" w:rsidR="004A489F" w:rsidRPr="00D207EA" w:rsidRDefault="004A489F">
            <w:pPr>
              <w:jc w:val="left"/>
              <w:rPr>
                <w:noProof/>
              </w:rPr>
            </w:pPr>
          </w:p>
        </w:tc>
        <w:tc>
          <w:tcPr>
            <w:tcW w:w="1470" w:type="dxa"/>
          </w:tcPr>
          <w:p w14:paraId="59ABA674" w14:textId="77777777" w:rsidR="004A489F" w:rsidRPr="00D207EA" w:rsidRDefault="004A489F">
            <w:pPr>
              <w:jc w:val="left"/>
              <w:rPr>
                <w:noProof/>
              </w:rPr>
            </w:pPr>
          </w:p>
        </w:tc>
      </w:tr>
    </w:tbl>
    <w:p w14:paraId="6CC1D9AC" w14:textId="77777777" w:rsidR="004A489F" w:rsidRPr="00D207EA" w:rsidRDefault="004A489F" w:rsidP="004A489F">
      <w:pPr>
        <w:rPr>
          <w:i/>
          <w:noProof/>
        </w:rPr>
      </w:pPr>
      <w:r w:rsidRPr="00D207EA">
        <w:rPr>
          <w:i/>
          <w:noProof/>
        </w:rPr>
        <w:t>Pour chaque solution numérique, expliquer de quelle manière celle-ci se conforme aux politiques numériques et dispositions législatives applicables</w:t>
      </w:r>
    </w:p>
    <w:p w14:paraId="63C894DE" w14:textId="77777777" w:rsidR="004A489F" w:rsidRPr="00D207EA" w:rsidRDefault="004A489F" w:rsidP="004A489F">
      <w:pPr>
        <w:rPr>
          <w:b/>
          <w:noProof/>
          <w:u w:val="single"/>
        </w:rPr>
      </w:pPr>
      <w:r w:rsidRPr="00D207EA">
        <w:rPr>
          <w:noProof/>
        </w:rPr>
        <w:t>Les solutions numériques soutenues par les futurs plans de partenariat national et régional seront adaptées aux besoins et aux défis nationaux et régionaux de chaque État membre, pour assurer la réalisation effective des objectifs des plans et le respect par les États membres des obligations qui leur incombent en vertu du présent règlement. La Commission peut également développer de nouvelles solutions numériques et/ou mettre à niveau les solutions existantes, si nécessaire, pour s’acquitter des responsabilités qui lui incombent en vertu du présent règlement.</w:t>
      </w:r>
    </w:p>
    <w:p w14:paraId="2103EC61" w14:textId="77777777" w:rsidR="004A489F" w:rsidRPr="00D207EA" w:rsidRDefault="004A489F" w:rsidP="004A489F">
      <w:pPr>
        <w:rPr>
          <w:b/>
          <w:noProof/>
          <w:u w:val="single"/>
        </w:rPr>
      </w:pPr>
      <w:r w:rsidRPr="00D207EA">
        <w:rPr>
          <w:b/>
          <w:noProof/>
          <w:u w:val="single"/>
        </w:rPr>
        <w:t>Solution numérique nº 1</w:t>
      </w:r>
    </w:p>
    <w:tbl>
      <w:tblPr>
        <w:tblStyle w:val="TableGrid"/>
        <w:tblW w:w="14077" w:type="dxa"/>
        <w:tblLook w:val="04A0" w:firstRow="1" w:lastRow="0" w:firstColumn="1" w:lastColumn="0" w:noHBand="0" w:noVBand="1"/>
      </w:tblPr>
      <w:tblGrid>
        <w:gridCol w:w="5788"/>
        <w:gridCol w:w="8289"/>
      </w:tblGrid>
      <w:tr w:rsidR="004A489F" w:rsidRPr="00D207EA" w14:paraId="4092AACF" w14:textId="77777777">
        <w:tc>
          <w:tcPr>
            <w:tcW w:w="5788" w:type="dxa"/>
          </w:tcPr>
          <w:p w14:paraId="2E901603" w14:textId="77777777" w:rsidR="004A489F" w:rsidRPr="00D207EA" w:rsidRDefault="004A489F">
            <w:pPr>
              <w:jc w:val="left"/>
              <w:rPr>
                <w:b/>
                <w:noProof/>
              </w:rPr>
            </w:pPr>
            <w:r w:rsidRPr="00D207EA">
              <w:rPr>
                <w:b/>
                <w:noProof/>
              </w:rPr>
              <w:t>Politique numérique et/ou sectorielle (le cas échéant)</w:t>
            </w:r>
          </w:p>
        </w:tc>
        <w:tc>
          <w:tcPr>
            <w:tcW w:w="8289" w:type="dxa"/>
          </w:tcPr>
          <w:p w14:paraId="68A94395" w14:textId="77777777" w:rsidR="004A489F" w:rsidRPr="00D207EA" w:rsidRDefault="004A489F">
            <w:pPr>
              <w:jc w:val="left"/>
              <w:rPr>
                <w:b/>
                <w:noProof/>
              </w:rPr>
            </w:pPr>
            <w:r w:rsidRPr="00D207EA">
              <w:rPr>
                <w:b/>
                <w:noProof/>
              </w:rPr>
              <w:t>Expliquer de quelle manière la solution s’aligne sur l’élément en question</w:t>
            </w:r>
          </w:p>
        </w:tc>
      </w:tr>
      <w:tr w:rsidR="004A489F" w:rsidRPr="00D207EA" w14:paraId="4ADDCAD7" w14:textId="77777777">
        <w:tc>
          <w:tcPr>
            <w:tcW w:w="5788" w:type="dxa"/>
          </w:tcPr>
          <w:p w14:paraId="55AF8E74" w14:textId="77777777" w:rsidR="004A489F" w:rsidRPr="00D207EA" w:rsidRDefault="004A489F">
            <w:pPr>
              <w:jc w:val="left"/>
              <w:rPr>
                <w:b/>
                <w:i/>
                <w:noProof/>
              </w:rPr>
            </w:pPr>
            <w:r w:rsidRPr="00D207EA">
              <w:rPr>
                <w:b/>
                <w:i/>
                <w:noProof/>
              </w:rPr>
              <w:t>Règlement sur l’IA</w:t>
            </w:r>
          </w:p>
        </w:tc>
        <w:tc>
          <w:tcPr>
            <w:tcW w:w="8289" w:type="dxa"/>
          </w:tcPr>
          <w:p w14:paraId="4AF8EE61" w14:textId="77777777" w:rsidR="004A489F" w:rsidRPr="00D207EA" w:rsidRDefault="004A489F">
            <w:pPr>
              <w:jc w:val="left"/>
              <w:rPr>
                <w:noProof/>
              </w:rPr>
            </w:pPr>
            <w:r w:rsidRPr="00D207EA">
              <w:rPr>
                <w:noProof/>
              </w:rPr>
              <w:t>s.o.</w:t>
            </w:r>
          </w:p>
        </w:tc>
      </w:tr>
      <w:tr w:rsidR="004A489F" w:rsidRPr="00D207EA" w14:paraId="06F29278" w14:textId="77777777">
        <w:tc>
          <w:tcPr>
            <w:tcW w:w="5788" w:type="dxa"/>
          </w:tcPr>
          <w:p w14:paraId="39BB7E83" w14:textId="77777777" w:rsidR="004A489F" w:rsidRPr="00D207EA" w:rsidRDefault="004A489F">
            <w:pPr>
              <w:jc w:val="left"/>
              <w:rPr>
                <w:b/>
                <w:i/>
                <w:noProof/>
              </w:rPr>
            </w:pPr>
            <w:r w:rsidRPr="00D207EA">
              <w:rPr>
                <w:b/>
                <w:i/>
                <w:noProof/>
              </w:rPr>
              <w:t>Cadre de l’UE en matière de cybersécurité</w:t>
            </w:r>
          </w:p>
        </w:tc>
        <w:tc>
          <w:tcPr>
            <w:tcW w:w="8289" w:type="dxa"/>
          </w:tcPr>
          <w:p w14:paraId="68F12A59" w14:textId="77777777" w:rsidR="004A489F" w:rsidRPr="00D207EA" w:rsidRDefault="004A489F">
            <w:pPr>
              <w:jc w:val="left"/>
              <w:rPr>
                <w:noProof/>
              </w:rPr>
            </w:pPr>
            <w:r w:rsidRPr="00D207EA">
              <w:rPr>
                <w:noProof/>
              </w:rPr>
              <w:t>s.o.</w:t>
            </w:r>
          </w:p>
        </w:tc>
      </w:tr>
      <w:tr w:rsidR="004A489F" w:rsidRPr="00D207EA" w14:paraId="19DADDDB" w14:textId="77777777">
        <w:tc>
          <w:tcPr>
            <w:tcW w:w="5788" w:type="dxa"/>
          </w:tcPr>
          <w:p w14:paraId="22E9BBEB" w14:textId="77777777" w:rsidR="004A489F" w:rsidRPr="00D207EA" w:rsidRDefault="004A489F">
            <w:pPr>
              <w:jc w:val="left"/>
              <w:rPr>
                <w:b/>
                <w:i/>
                <w:noProof/>
              </w:rPr>
            </w:pPr>
            <w:r w:rsidRPr="00D207EA">
              <w:rPr>
                <w:b/>
                <w:i/>
                <w:noProof/>
              </w:rPr>
              <w:t>eIDAS</w:t>
            </w:r>
          </w:p>
        </w:tc>
        <w:tc>
          <w:tcPr>
            <w:tcW w:w="8289" w:type="dxa"/>
          </w:tcPr>
          <w:p w14:paraId="7BDAF44B" w14:textId="77777777" w:rsidR="004A489F" w:rsidRPr="00D207EA" w:rsidRDefault="004A489F">
            <w:pPr>
              <w:jc w:val="left"/>
              <w:rPr>
                <w:noProof/>
              </w:rPr>
            </w:pPr>
            <w:r w:rsidRPr="00D207EA">
              <w:rPr>
                <w:noProof/>
              </w:rPr>
              <w:t>s.o.</w:t>
            </w:r>
          </w:p>
        </w:tc>
      </w:tr>
      <w:tr w:rsidR="004A489F" w:rsidRPr="00D207EA" w14:paraId="5D55DB27" w14:textId="77777777">
        <w:tc>
          <w:tcPr>
            <w:tcW w:w="5788" w:type="dxa"/>
          </w:tcPr>
          <w:p w14:paraId="7C7DD0BA" w14:textId="77777777" w:rsidR="004A489F" w:rsidRPr="00D207EA" w:rsidRDefault="004A489F">
            <w:pPr>
              <w:jc w:val="left"/>
              <w:rPr>
                <w:b/>
                <w:i/>
                <w:noProof/>
              </w:rPr>
            </w:pPr>
            <w:r w:rsidRPr="00D207EA">
              <w:rPr>
                <w:b/>
                <w:i/>
                <w:noProof/>
              </w:rPr>
              <w:t>Portail numérique unique et IMI</w:t>
            </w:r>
          </w:p>
        </w:tc>
        <w:tc>
          <w:tcPr>
            <w:tcW w:w="8289" w:type="dxa"/>
          </w:tcPr>
          <w:p w14:paraId="01BD7C4A" w14:textId="77777777" w:rsidR="004A489F" w:rsidRPr="00D207EA" w:rsidRDefault="004A489F">
            <w:pPr>
              <w:jc w:val="left"/>
              <w:rPr>
                <w:noProof/>
              </w:rPr>
            </w:pPr>
            <w:r w:rsidRPr="00D207EA">
              <w:rPr>
                <w:noProof/>
              </w:rPr>
              <w:t>s.o.</w:t>
            </w:r>
          </w:p>
        </w:tc>
      </w:tr>
      <w:tr w:rsidR="004A489F" w:rsidRPr="00D207EA" w14:paraId="0CACD0AD" w14:textId="77777777">
        <w:tc>
          <w:tcPr>
            <w:tcW w:w="5788" w:type="dxa"/>
          </w:tcPr>
          <w:p w14:paraId="41C550D2" w14:textId="77777777" w:rsidR="004A489F" w:rsidRPr="00D207EA" w:rsidRDefault="004A489F">
            <w:pPr>
              <w:jc w:val="left"/>
              <w:rPr>
                <w:b/>
                <w:i/>
                <w:noProof/>
              </w:rPr>
            </w:pPr>
            <w:r w:rsidRPr="00D207EA">
              <w:rPr>
                <w:b/>
                <w:i/>
                <w:noProof/>
              </w:rPr>
              <w:t>Autres</w:t>
            </w:r>
          </w:p>
        </w:tc>
        <w:tc>
          <w:tcPr>
            <w:tcW w:w="8289" w:type="dxa"/>
          </w:tcPr>
          <w:p w14:paraId="49BA571D" w14:textId="77777777" w:rsidR="004A489F" w:rsidRPr="00D207EA" w:rsidRDefault="004A489F">
            <w:pPr>
              <w:jc w:val="left"/>
              <w:rPr>
                <w:rFonts w:eastAsia="Calibri"/>
                <w:noProof/>
              </w:rPr>
            </w:pPr>
            <w:r w:rsidRPr="00D207EA">
              <w:rPr>
                <w:noProof/>
              </w:rPr>
              <w:t>s.o.</w:t>
            </w:r>
          </w:p>
        </w:tc>
      </w:tr>
    </w:tbl>
    <w:p w14:paraId="5CCE27DB" w14:textId="77777777" w:rsidR="004A489F" w:rsidRPr="00D207EA" w:rsidRDefault="004A489F" w:rsidP="004A489F">
      <w:pPr>
        <w:rPr>
          <w:noProof/>
        </w:rPr>
      </w:pPr>
    </w:p>
    <w:p w14:paraId="6BDBE070" w14:textId="77777777" w:rsidR="004A489F" w:rsidRPr="00D207EA" w:rsidRDefault="004A489F" w:rsidP="004A489F">
      <w:pPr>
        <w:pStyle w:val="ManualHeading2"/>
        <w:rPr>
          <w:noProof/>
        </w:rPr>
      </w:pPr>
      <w:r w:rsidRPr="00D207EA">
        <w:rPr>
          <w:noProof/>
        </w:rPr>
        <w:t>4.4. Évaluation de l’interopérabilité</w:t>
      </w:r>
    </w:p>
    <w:p w14:paraId="6D3E0765" w14:textId="77777777" w:rsidR="004A489F" w:rsidRPr="00D207EA" w:rsidRDefault="004A489F" w:rsidP="004A489F">
      <w:pPr>
        <w:rPr>
          <w:i/>
          <w:noProof/>
        </w:rPr>
      </w:pPr>
      <w:r w:rsidRPr="00D207EA">
        <w:rPr>
          <w:i/>
          <w:noProof/>
        </w:rPr>
        <w:t>Description générale du (des) service(s) public(s) numérique(s) concerné(s) par les exigences</w:t>
      </w:r>
    </w:p>
    <w:tbl>
      <w:tblPr>
        <w:tblStyle w:val="TableGrid"/>
        <w:tblW w:w="14454" w:type="dxa"/>
        <w:tblLook w:val="04A0" w:firstRow="1" w:lastRow="0" w:firstColumn="1" w:lastColumn="0" w:noHBand="0" w:noVBand="1"/>
      </w:tblPr>
      <w:tblGrid>
        <w:gridCol w:w="2263"/>
        <w:gridCol w:w="3544"/>
        <w:gridCol w:w="2268"/>
        <w:gridCol w:w="2409"/>
        <w:gridCol w:w="3970"/>
      </w:tblGrid>
      <w:tr w:rsidR="004A489F" w:rsidRPr="00D207EA" w14:paraId="6743E90A" w14:textId="77777777">
        <w:trPr>
          <w:trHeight w:val="300"/>
        </w:trPr>
        <w:tc>
          <w:tcPr>
            <w:tcW w:w="2263" w:type="dxa"/>
          </w:tcPr>
          <w:p w14:paraId="7FAE9E4E" w14:textId="77777777" w:rsidR="004A489F" w:rsidRPr="00D207EA" w:rsidRDefault="004A489F">
            <w:pPr>
              <w:spacing w:before="0" w:after="0"/>
              <w:jc w:val="left"/>
              <w:rPr>
                <w:b/>
                <w:noProof/>
                <w:color w:val="000000"/>
                <w:szCs w:val="24"/>
              </w:rPr>
            </w:pPr>
            <w:r w:rsidRPr="00D207EA">
              <w:rPr>
                <w:b/>
                <w:noProof/>
                <w:color w:val="000000" w:themeColor="text1"/>
              </w:rPr>
              <w:t>Service public numérique ou catégorie de services publics numériques</w:t>
            </w:r>
          </w:p>
        </w:tc>
        <w:tc>
          <w:tcPr>
            <w:tcW w:w="3544" w:type="dxa"/>
          </w:tcPr>
          <w:p w14:paraId="68FC16D6" w14:textId="77777777" w:rsidR="004A489F" w:rsidRPr="00D207EA" w:rsidRDefault="004A489F">
            <w:pPr>
              <w:jc w:val="left"/>
              <w:rPr>
                <w:b/>
                <w:noProof/>
                <w:szCs w:val="24"/>
              </w:rPr>
            </w:pPr>
            <w:r w:rsidRPr="00D207EA">
              <w:rPr>
                <w:b/>
                <w:noProof/>
              </w:rPr>
              <w:t>Description</w:t>
            </w:r>
          </w:p>
        </w:tc>
        <w:tc>
          <w:tcPr>
            <w:tcW w:w="2268" w:type="dxa"/>
            <w:shd w:val="clear" w:color="auto" w:fill="FFFFFF" w:themeFill="background1"/>
          </w:tcPr>
          <w:p w14:paraId="2A04FD5D" w14:textId="77777777" w:rsidR="004A489F" w:rsidRPr="00D207EA" w:rsidRDefault="004A489F">
            <w:pPr>
              <w:jc w:val="left"/>
              <w:rPr>
                <w:b/>
                <w:noProof/>
                <w:szCs w:val="24"/>
              </w:rPr>
            </w:pPr>
            <w:r w:rsidRPr="00D207EA">
              <w:rPr>
                <w:b/>
                <w:noProof/>
              </w:rPr>
              <w:t>Référence(s) à l’exigence ou aux exigences</w:t>
            </w:r>
          </w:p>
        </w:tc>
        <w:tc>
          <w:tcPr>
            <w:tcW w:w="2409" w:type="dxa"/>
            <w:shd w:val="clear" w:color="auto" w:fill="FFFFFF" w:themeFill="background1"/>
          </w:tcPr>
          <w:p w14:paraId="1C78A8A9" w14:textId="4D802C76" w:rsidR="004A489F" w:rsidRPr="00D207EA" w:rsidRDefault="004A489F">
            <w:pPr>
              <w:jc w:val="left"/>
              <w:rPr>
                <w:b/>
                <w:noProof/>
                <w:szCs w:val="24"/>
              </w:rPr>
            </w:pPr>
            <w:r w:rsidRPr="00D207EA">
              <w:rPr>
                <w:b/>
                <w:noProof/>
              </w:rPr>
              <w:t>Solution(s) interopérable(s) pour l’Europe</w:t>
            </w:r>
          </w:p>
        </w:tc>
        <w:tc>
          <w:tcPr>
            <w:tcW w:w="3970" w:type="dxa"/>
            <w:shd w:val="clear" w:color="auto" w:fill="FFFFFF" w:themeFill="background1"/>
          </w:tcPr>
          <w:p w14:paraId="5BEB26FF" w14:textId="77777777" w:rsidR="004A489F" w:rsidRPr="00D207EA" w:rsidRDefault="004A489F">
            <w:pPr>
              <w:jc w:val="left"/>
              <w:rPr>
                <w:b/>
                <w:noProof/>
                <w:szCs w:val="24"/>
              </w:rPr>
            </w:pPr>
            <w:r w:rsidRPr="00D207EA">
              <w:rPr>
                <w:b/>
                <w:noProof/>
              </w:rPr>
              <w:t>Autre(s) solution(s) d’interopérabilité</w:t>
            </w:r>
          </w:p>
        </w:tc>
      </w:tr>
      <w:tr w:rsidR="004A489F" w:rsidRPr="00D207EA" w14:paraId="7E06B7EF" w14:textId="77777777">
        <w:trPr>
          <w:trHeight w:val="300"/>
        </w:trPr>
        <w:tc>
          <w:tcPr>
            <w:tcW w:w="2263" w:type="dxa"/>
          </w:tcPr>
          <w:p w14:paraId="33500DC2" w14:textId="77777777" w:rsidR="004A489F" w:rsidRPr="00D207EA" w:rsidRDefault="004A489F">
            <w:pPr>
              <w:jc w:val="left"/>
              <w:rPr>
                <w:noProof/>
                <w:szCs w:val="24"/>
              </w:rPr>
            </w:pPr>
            <w:r w:rsidRPr="00D207EA">
              <w:rPr>
                <w:noProof/>
              </w:rPr>
              <w:t>s.o.</w:t>
            </w:r>
          </w:p>
        </w:tc>
        <w:tc>
          <w:tcPr>
            <w:tcW w:w="3544" w:type="dxa"/>
          </w:tcPr>
          <w:p w14:paraId="212C9F40" w14:textId="77777777" w:rsidR="004A489F" w:rsidRPr="00D207EA" w:rsidRDefault="004A489F">
            <w:pPr>
              <w:jc w:val="left"/>
              <w:rPr>
                <w:noProof/>
                <w:szCs w:val="24"/>
              </w:rPr>
            </w:pPr>
            <w:r w:rsidRPr="00D207EA">
              <w:rPr>
                <w:noProof/>
              </w:rPr>
              <w:t>//</w:t>
            </w:r>
          </w:p>
        </w:tc>
        <w:tc>
          <w:tcPr>
            <w:tcW w:w="2268" w:type="dxa"/>
            <w:shd w:val="clear" w:color="auto" w:fill="FFFFFF" w:themeFill="background1"/>
          </w:tcPr>
          <w:p w14:paraId="47E61093" w14:textId="77777777" w:rsidR="004A489F" w:rsidRPr="00D207EA" w:rsidRDefault="004A489F">
            <w:pPr>
              <w:jc w:val="left"/>
              <w:rPr>
                <w:noProof/>
                <w:szCs w:val="24"/>
              </w:rPr>
            </w:pPr>
            <w:r w:rsidRPr="00D207EA">
              <w:rPr>
                <w:noProof/>
              </w:rPr>
              <w:t>//</w:t>
            </w:r>
          </w:p>
        </w:tc>
        <w:tc>
          <w:tcPr>
            <w:tcW w:w="2409" w:type="dxa"/>
            <w:shd w:val="clear" w:color="auto" w:fill="FFFFFF" w:themeFill="background1"/>
          </w:tcPr>
          <w:p w14:paraId="6016A553" w14:textId="77777777" w:rsidR="004A489F" w:rsidRPr="00D207EA" w:rsidRDefault="004A489F">
            <w:pPr>
              <w:jc w:val="left"/>
              <w:rPr>
                <w:noProof/>
                <w:szCs w:val="24"/>
              </w:rPr>
            </w:pPr>
            <w:r w:rsidRPr="00D207EA">
              <w:rPr>
                <w:noProof/>
              </w:rPr>
              <w:t>//</w:t>
            </w:r>
          </w:p>
        </w:tc>
        <w:tc>
          <w:tcPr>
            <w:tcW w:w="3970" w:type="dxa"/>
            <w:shd w:val="clear" w:color="auto" w:fill="FFFFFF" w:themeFill="background1"/>
          </w:tcPr>
          <w:p w14:paraId="5FD15DC2" w14:textId="77777777" w:rsidR="004A489F" w:rsidRPr="00D207EA" w:rsidRDefault="004A489F">
            <w:pPr>
              <w:jc w:val="left"/>
              <w:rPr>
                <w:noProof/>
                <w:szCs w:val="24"/>
              </w:rPr>
            </w:pPr>
            <w:r w:rsidRPr="00D207EA">
              <w:rPr>
                <w:noProof/>
              </w:rPr>
              <w:t>//</w:t>
            </w:r>
          </w:p>
        </w:tc>
      </w:tr>
    </w:tbl>
    <w:p w14:paraId="62CB5192" w14:textId="77777777" w:rsidR="004A489F" w:rsidRPr="00D207EA" w:rsidRDefault="004A489F" w:rsidP="004A489F">
      <w:pPr>
        <w:rPr>
          <w:noProof/>
          <w:szCs w:val="24"/>
        </w:rPr>
      </w:pPr>
      <w:r w:rsidRPr="00D207EA">
        <w:rPr>
          <w:noProof/>
        </w:rPr>
        <w:t>Dans l’exercice de leurs fonctions, les autorités désignées pour le plan peuvent utiliser un système intégré et interopérable unique d’information et de suivi, y compris un instrument unique d’exploration de données et de calcul du risque, tel que visé à l’article 36, paragraphe 2, point d), du règlement relatif aux règles financières applicables au budget général de l’Union, pour accéder aux données pertinentes et les analyser, en vue d’une application généralisée par les États membres.</w:t>
      </w:r>
    </w:p>
    <w:p w14:paraId="2D0530B9" w14:textId="77777777" w:rsidR="004A489F" w:rsidRPr="00D207EA" w:rsidRDefault="004A489F" w:rsidP="004A489F">
      <w:pPr>
        <w:rPr>
          <w:b/>
          <w:noProof/>
          <w:szCs w:val="24"/>
          <w:u w:val="single"/>
        </w:rPr>
      </w:pPr>
      <w:r w:rsidRPr="00D207EA">
        <w:rPr>
          <w:i/>
          <w:noProof/>
        </w:rPr>
        <w:t>Incidence de l’exigence ou des exigences sur l’interopérabilité transfrontière pour chaque service public numérique</w:t>
      </w:r>
    </w:p>
    <w:p w14:paraId="3B2AE526" w14:textId="493677F8" w:rsidR="004A489F" w:rsidRPr="00D207EA" w:rsidRDefault="004A489F" w:rsidP="004A489F">
      <w:pPr>
        <w:rPr>
          <w:b/>
          <w:noProof/>
          <w:szCs w:val="24"/>
          <w:u w:val="single"/>
        </w:rPr>
      </w:pPr>
      <w:r w:rsidRPr="00D207EA">
        <w:rPr>
          <w:b/>
          <w:noProof/>
          <w:u w:val="single"/>
        </w:rPr>
        <w:t>Service public numérique nº 1</w:t>
      </w:r>
    </w:p>
    <w:tbl>
      <w:tblPr>
        <w:tblStyle w:val="TableGrid"/>
        <w:tblW w:w="14479" w:type="dxa"/>
        <w:tblLook w:val="04A0" w:firstRow="1" w:lastRow="0" w:firstColumn="1" w:lastColumn="0" w:noHBand="0" w:noVBand="1"/>
      </w:tblPr>
      <w:tblGrid>
        <w:gridCol w:w="3964"/>
        <w:gridCol w:w="4626"/>
        <w:gridCol w:w="5889"/>
      </w:tblGrid>
      <w:tr w:rsidR="004A489F" w:rsidRPr="00D207EA" w14:paraId="6F81B301" w14:textId="77777777">
        <w:tc>
          <w:tcPr>
            <w:tcW w:w="3964" w:type="dxa"/>
          </w:tcPr>
          <w:p w14:paraId="77A5C8A1" w14:textId="77777777" w:rsidR="004A489F" w:rsidRPr="00D207EA" w:rsidRDefault="004A489F">
            <w:pPr>
              <w:jc w:val="left"/>
              <w:rPr>
                <w:b/>
                <w:noProof/>
                <w:szCs w:val="24"/>
              </w:rPr>
            </w:pPr>
            <w:r w:rsidRPr="00D207EA">
              <w:rPr>
                <w:b/>
                <w:noProof/>
              </w:rPr>
              <w:t>Évaluation</w:t>
            </w:r>
          </w:p>
        </w:tc>
        <w:tc>
          <w:tcPr>
            <w:tcW w:w="4626" w:type="dxa"/>
          </w:tcPr>
          <w:p w14:paraId="2E0EC2EC" w14:textId="77777777" w:rsidR="004A489F" w:rsidRPr="00D207EA" w:rsidRDefault="004A489F">
            <w:pPr>
              <w:jc w:val="left"/>
              <w:rPr>
                <w:b/>
                <w:noProof/>
                <w:szCs w:val="24"/>
              </w:rPr>
            </w:pPr>
            <w:r w:rsidRPr="00D207EA">
              <w:rPr>
                <w:b/>
                <w:noProof/>
              </w:rPr>
              <w:t>Mesure(s)</w:t>
            </w:r>
          </w:p>
        </w:tc>
        <w:tc>
          <w:tcPr>
            <w:tcW w:w="5889" w:type="dxa"/>
          </w:tcPr>
          <w:p w14:paraId="0758AA16" w14:textId="77777777" w:rsidR="004A489F" w:rsidRPr="00D207EA" w:rsidRDefault="004A489F">
            <w:pPr>
              <w:jc w:val="left"/>
              <w:rPr>
                <w:b/>
                <w:noProof/>
                <w:szCs w:val="24"/>
              </w:rPr>
            </w:pPr>
            <w:r w:rsidRPr="00D207EA">
              <w:rPr>
                <w:b/>
                <w:noProof/>
              </w:rPr>
              <w:t>Obstacles potentiels restants (le cas échéant)</w:t>
            </w:r>
          </w:p>
        </w:tc>
      </w:tr>
      <w:tr w:rsidR="004A489F" w:rsidRPr="00D207EA" w14:paraId="4854106F" w14:textId="77777777">
        <w:tc>
          <w:tcPr>
            <w:tcW w:w="3964" w:type="dxa"/>
          </w:tcPr>
          <w:p w14:paraId="5DBD2339" w14:textId="49A53B69" w:rsidR="004A489F" w:rsidRPr="00D207EA" w:rsidRDefault="004A489F">
            <w:pPr>
              <w:spacing w:before="0"/>
              <w:jc w:val="left"/>
              <w:rPr>
                <w:rFonts w:eastAsiaTheme="minorEastAsia"/>
                <w:b/>
                <w:noProof/>
                <w:szCs w:val="24"/>
              </w:rPr>
            </w:pPr>
            <w:r w:rsidRPr="00D207EA">
              <w:rPr>
                <w:b/>
                <w:noProof/>
              </w:rPr>
              <w:t>Alignement sur les politiques numériques et sectorielles existantes</w:t>
            </w:r>
          </w:p>
          <w:p w14:paraId="3BFD3745" w14:textId="77777777" w:rsidR="004A489F" w:rsidRPr="00D207EA" w:rsidRDefault="004A489F">
            <w:pPr>
              <w:spacing w:before="0"/>
              <w:jc w:val="left"/>
              <w:rPr>
                <w:b/>
                <w:noProof/>
                <w:szCs w:val="24"/>
              </w:rPr>
            </w:pPr>
            <w:r w:rsidRPr="00D207EA">
              <w:rPr>
                <w:b/>
                <w:noProof/>
              </w:rPr>
              <w:t>Énumérer les politiques numériques et sectorielles applicables recensées</w:t>
            </w:r>
          </w:p>
        </w:tc>
        <w:tc>
          <w:tcPr>
            <w:tcW w:w="4626" w:type="dxa"/>
          </w:tcPr>
          <w:p w14:paraId="7C3E2BAD" w14:textId="77777777" w:rsidR="004A489F" w:rsidRPr="00D207EA" w:rsidRDefault="004A489F">
            <w:pPr>
              <w:spacing w:before="0"/>
              <w:jc w:val="left"/>
              <w:rPr>
                <w:noProof/>
                <w:szCs w:val="24"/>
              </w:rPr>
            </w:pPr>
            <w:r w:rsidRPr="00D207EA">
              <w:rPr>
                <w:noProof/>
              </w:rPr>
              <w:t>s.o.</w:t>
            </w:r>
          </w:p>
        </w:tc>
        <w:tc>
          <w:tcPr>
            <w:tcW w:w="5889" w:type="dxa"/>
          </w:tcPr>
          <w:p w14:paraId="781E9557" w14:textId="77777777" w:rsidR="004A489F" w:rsidRPr="00D207EA" w:rsidRDefault="004A489F">
            <w:pPr>
              <w:tabs>
                <w:tab w:val="left" w:pos="5678"/>
              </w:tabs>
              <w:spacing w:before="0"/>
              <w:jc w:val="left"/>
              <w:rPr>
                <w:noProof/>
                <w:szCs w:val="24"/>
              </w:rPr>
            </w:pPr>
            <w:r w:rsidRPr="00D207EA">
              <w:rPr>
                <w:noProof/>
              </w:rPr>
              <w:t>s.o.</w:t>
            </w:r>
          </w:p>
        </w:tc>
      </w:tr>
      <w:tr w:rsidR="004A489F" w:rsidRPr="00D207EA" w14:paraId="446E72F1" w14:textId="77777777">
        <w:tc>
          <w:tcPr>
            <w:tcW w:w="3964" w:type="dxa"/>
          </w:tcPr>
          <w:p w14:paraId="5C074678" w14:textId="77777777" w:rsidR="004A489F" w:rsidRPr="00D207EA" w:rsidRDefault="004A489F">
            <w:pPr>
              <w:jc w:val="left"/>
              <w:rPr>
                <w:rFonts w:eastAsiaTheme="minorEastAsia"/>
                <w:b/>
                <w:noProof/>
                <w:szCs w:val="24"/>
              </w:rPr>
            </w:pPr>
            <w:r w:rsidRPr="00D207EA">
              <w:rPr>
                <w:b/>
                <w:noProof/>
              </w:rPr>
              <w:t>Mesures organisationnelles en faveur d’une fourniture transfrontière sans heurts de services publics numériques</w:t>
            </w:r>
          </w:p>
          <w:p w14:paraId="1E2742C3" w14:textId="77777777" w:rsidR="004A489F" w:rsidRPr="00D207EA" w:rsidRDefault="004A489F">
            <w:pPr>
              <w:jc w:val="left"/>
              <w:rPr>
                <w:b/>
                <w:noProof/>
                <w:szCs w:val="24"/>
              </w:rPr>
            </w:pPr>
            <w:r w:rsidRPr="00D207EA">
              <w:rPr>
                <w:b/>
                <w:noProof/>
              </w:rPr>
              <w:t>Énumérer les mesures de gouvernance prévues</w:t>
            </w:r>
          </w:p>
        </w:tc>
        <w:tc>
          <w:tcPr>
            <w:tcW w:w="4626" w:type="dxa"/>
          </w:tcPr>
          <w:p w14:paraId="6338EC28" w14:textId="77777777" w:rsidR="004A489F" w:rsidRPr="00D207EA" w:rsidRDefault="004A489F">
            <w:pPr>
              <w:spacing w:before="0"/>
              <w:jc w:val="left"/>
              <w:rPr>
                <w:noProof/>
                <w:szCs w:val="24"/>
              </w:rPr>
            </w:pPr>
            <w:r w:rsidRPr="00D207EA">
              <w:rPr>
                <w:noProof/>
              </w:rPr>
              <w:t>s.o.</w:t>
            </w:r>
          </w:p>
        </w:tc>
        <w:tc>
          <w:tcPr>
            <w:tcW w:w="5889" w:type="dxa"/>
          </w:tcPr>
          <w:p w14:paraId="19C8B903" w14:textId="77777777" w:rsidR="004A489F" w:rsidRPr="00D207EA" w:rsidRDefault="004A489F">
            <w:pPr>
              <w:spacing w:before="0"/>
              <w:jc w:val="left"/>
              <w:rPr>
                <w:noProof/>
                <w:szCs w:val="24"/>
              </w:rPr>
            </w:pPr>
            <w:r w:rsidRPr="00D207EA">
              <w:rPr>
                <w:noProof/>
              </w:rPr>
              <w:t>s.o.</w:t>
            </w:r>
          </w:p>
        </w:tc>
      </w:tr>
      <w:tr w:rsidR="004A489F" w:rsidRPr="00D207EA" w14:paraId="0CF4C10E" w14:textId="77777777">
        <w:tc>
          <w:tcPr>
            <w:tcW w:w="3964" w:type="dxa"/>
          </w:tcPr>
          <w:p w14:paraId="5C3C72FF" w14:textId="77777777" w:rsidR="004A489F" w:rsidRPr="00D207EA" w:rsidRDefault="004A489F">
            <w:pPr>
              <w:jc w:val="left"/>
              <w:rPr>
                <w:rFonts w:eastAsiaTheme="minorEastAsia"/>
                <w:b/>
                <w:noProof/>
                <w:szCs w:val="24"/>
              </w:rPr>
            </w:pPr>
            <w:r w:rsidRPr="00D207EA">
              <w:rPr>
                <w:b/>
                <w:noProof/>
              </w:rPr>
              <w:t>Mesures prises pour garantir une compréhension commune des données</w:t>
            </w:r>
          </w:p>
          <w:p w14:paraId="16148C9C" w14:textId="77777777" w:rsidR="004A489F" w:rsidRPr="00D207EA" w:rsidRDefault="004A489F">
            <w:pPr>
              <w:jc w:val="left"/>
              <w:rPr>
                <w:b/>
                <w:noProof/>
                <w:szCs w:val="24"/>
              </w:rPr>
            </w:pPr>
            <w:r w:rsidRPr="00D207EA">
              <w:rPr>
                <w:b/>
                <w:noProof/>
              </w:rPr>
              <w:t>Énumérer ces mesures</w:t>
            </w:r>
          </w:p>
        </w:tc>
        <w:tc>
          <w:tcPr>
            <w:tcW w:w="4626" w:type="dxa"/>
          </w:tcPr>
          <w:p w14:paraId="2D630CB2" w14:textId="77777777" w:rsidR="004A489F" w:rsidRPr="00D207EA" w:rsidRDefault="004A489F">
            <w:pPr>
              <w:spacing w:before="0"/>
              <w:jc w:val="left"/>
              <w:rPr>
                <w:noProof/>
                <w:szCs w:val="24"/>
              </w:rPr>
            </w:pPr>
            <w:r w:rsidRPr="00D207EA">
              <w:rPr>
                <w:noProof/>
              </w:rPr>
              <w:t>s.o.</w:t>
            </w:r>
          </w:p>
        </w:tc>
        <w:tc>
          <w:tcPr>
            <w:tcW w:w="5889" w:type="dxa"/>
          </w:tcPr>
          <w:p w14:paraId="4BEAE234" w14:textId="77777777" w:rsidR="004A489F" w:rsidRPr="00D207EA" w:rsidRDefault="004A489F">
            <w:pPr>
              <w:spacing w:before="0"/>
              <w:jc w:val="left"/>
              <w:rPr>
                <w:noProof/>
                <w:szCs w:val="24"/>
              </w:rPr>
            </w:pPr>
            <w:r w:rsidRPr="00D207EA">
              <w:rPr>
                <w:noProof/>
              </w:rPr>
              <w:t>s.o.</w:t>
            </w:r>
          </w:p>
        </w:tc>
      </w:tr>
      <w:tr w:rsidR="004A489F" w:rsidRPr="00D207EA" w14:paraId="7A7E0D3A" w14:textId="77777777">
        <w:tc>
          <w:tcPr>
            <w:tcW w:w="3964" w:type="dxa"/>
          </w:tcPr>
          <w:p w14:paraId="249EF999" w14:textId="77777777" w:rsidR="004A489F" w:rsidRPr="00D207EA" w:rsidRDefault="004A489F">
            <w:pPr>
              <w:jc w:val="left"/>
              <w:rPr>
                <w:rFonts w:eastAsiaTheme="minorEastAsia"/>
                <w:b/>
                <w:noProof/>
                <w:szCs w:val="24"/>
              </w:rPr>
            </w:pPr>
            <w:r w:rsidRPr="00D207EA">
              <w:rPr>
                <w:b/>
                <w:noProof/>
              </w:rPr>
              <w:t>Utilisation de spécifications et de normes techniques ouvertes convenues d’un commun accord</w:t>
            </w:r>
          </w:p>
          <w:p w14:paraId="01DA2F50" w14:textId="77777777" w:rsidR="004A489F" w:rsidRPr="00D207EA" w:rsidRDefault="004A489F">
            <w:pPr>
              <w:jc w:val="left"/>
              <w:rPr>
                <w:b/>
                <w:noProof/>
                <w:szCs w:val="24"/>
              </w:rPr>
            </w:pPr>
            <w:r w:rsidRPr="00D207EA">
              <w:rPr>
                <w:b/>
                <w:noProof/>
              </w:rPr>
              <w:t>Énumérer ces mesures</w:t>
            </w:r>
          </w:p>
        </w:tc>
        <w:tc>
          <w:tcPr>
            <w:tcW w:w="4626" w:type="dxa"/>
          </w:tcPr>
          <w:p w14:paraId="2A55C38A" w14:textId="77777777" w:rsidR="004A489F" w:rsidRPr="00D207EA" w:rsidRDefault="004A489F">
            <w:pPr>
              <w:spacing w:before="0"/>
              <w:jc w:val="left"/>
              <w:rPr>
                <w:noProof/>
                <w:szCs w:val="24"/>
              </w:rPr>
            </w:pPr>
            <w:r w:rsidRPr="00D207EA">
              <w:rPr>
                <w:noProof/>
              </w:rPr>
              <w:t>s.o.</w:t>
            </w:r>
          </w:p>
        </w:tc>
        <w:tc>
          <w:tcPr>
            <w:tcW w:w="5889" w:type="dxa"/>
          </w:tcPr>
          <w:p w14:paraId="373B56CF" w14:textId="77777777" w:rsidR="004A489F" w:rsidRPr="00D207EA" w:rsidRDefault="004A489F">
            <w:pPr>
              <w:spacing w:before="0"/>
              <w:jc w:val="left"/>
              <w:rPr>
                <w:noProof/>
                <w:szCs w:val="24"/>
              </w:rPr>
            </w:pPr>
            <w:r w:rsidRPr="00D207EA">
              <w:rPr>
                <w:noProof/>
              </w:rPr>
              <w:t>s.o.</w:t>
            </w:r>
          </w:p>
        </w:tc>
      </w:tr>
    </w:tbl>
    <w:p w14:paraId="50CE5597" w14:textId="77777777" w:rsidR="004A489F" w:rsidRPr="00D207EA" w:rsidRDefault="004A489F" w:rsidP="004A489F">
      <w:pPr>
        <w:rPr>
          <w:noProof/>
        </w:rPr>
      </w:pPr>
    </w:p>
    <w:p w14:paraId="16B674E0" w14:textId="77777777" w:rsidR="004A489F" w:rsidRPr="00D207EA" w:rsidRDefault="004A489F" w:rsidP="004A489F">
      <w:pPr>
        <w:rPr>
          <w:b/>
          <w:noProof/>
          <w:szCs w:val="24"/>
        </w:rPr>
      </w:pPr>
    </w:p>
    <w:p w14:paraId="70AE61E1" w14:textId="77777777" w:rsidR="004A489F" w:rsidRPr="00D207EA" w:rsidRDefault="004A489F" w:rsidP="004A489F">
      <w:pPr>
        <w:pStyle w:val="ManualHeading2"/>
        <w:rPr>
          <w:noProof/>
        </w:rPr>
      </w:pPr>
      <w:r w:rsidRPr="00D207EA">
        <w:rPr>
          <w:noProof/>
        </w:rPr>
        <w:t>4.5. Mesures de soutien de la mise en œuvre numérique</w:t>
      </w:r>
    </w:p>
    <w:p w14:paraId="6CEDF0E4" w14:textId="77777777" w:rsidR="004A489F" w:rsidRPr="00D207EA" w:rsidRDefault="004A489F" w:rsidP="004A489F">
      <w:pPr>
        <w:rPr>
          <w:i/>
          <w:noProof/>
          <w:szCs w:val="24"/>
        </w:rPr>
      </w:pPr>
      <w:r w:rsidRPr="00D207EA">
        <w:rPr>
          <w:i/>
          <w:noProof/>
        </w:rPr>
        <w:t>Description générale des mesures de soutien de la mise en œuvre numérique</w:t>
      </w:r>
    </w:p>
    <w:tbl>
      <w:tblPr>
        <w:tblStyle w:val="TableGrid"/>
        <w:tblW w:w="13887" w:type="dxa"/>
        <w:tblLook w:val="04A0" w:firstRow="1" w:lastRow="0" w:firstColumn="1" w:lastColumn="0" w:noHBand="0" w:noVBand="1"/>
      </w:tblPr>
      <w:tblGrid>
        <w:gridCol w:w="4248"/>
        <w:gridCol w:w="3544"/>
        <w:gridCol w:w="1843"/>
        <w:gridCol w:w="1842"/>
        <w:gridCol w:w="2410"/>
      </w:tblGrid>
      <w:tr w:rsidR="004A489F" w:rsidRPr="00D207EA" w14:paraId="59FD378E" w14:textId="77777777">
        <w:trPr>
          <w:trHeight w:val="300"/>
        </w:trPr>
        <w:tc>
          <w:tcPr>
            <w:tcW w:w="4248" w:type="dxa"/>
          </w:tcPr>
          <w:p w14:paraId="7F3F5A47" w14:textId="77777777" w:rsidR="004A489F" w:rsidRPr="00D207EA" w:rsidRDefault="004A489F">
            <w:pPr>
              <w:jc w:val="left"/>
              <w:rPr>
                <w:b/>
                <w:noProof/>
                <w:color w:val="000000"/>
                <w:szCs w:val="24"/>
              </w:rPr>
            </w:pPr>
            <w:r w:rsidRPr="00D207EA">
              <w:rPr>
                <w:b/>
                <w:noProof/>
              </w:rPr>
              <w:t xml:space="preserve">Description </w:t>
            </w:r>
            <w:r w:rsidRPr="00D207EA">
              <w:rPr>
                <w:b/>
                <w:noProof/>
                <w:color w:val="000000"/>
              </w:rPr>
              <w:t>de la mesure</w:t>
            </w:r>
          </w:p>
        </w:tc>
        <w:tc>
          <w:tcPr>
            <w:tcW w:w="3544" w:type="dxa"/>
          </w:tcPr>
          <w:p w14:paraId="3C7754F2" w14:textId="62E50E93" w:rsidR="004A489F" w:rsidRPr="00D207EA" w:rsidRDefault="004A489F">
            <w:pPr>
              <w:jc w:val="left"/>
              <w:rPr>
                <w:b/>
                <w:noProof/>
                <w:szCs w:val="24"/>
              </w:rPr>
            </w:pPr>
            <w:r w:rsidRPr="00D207EA">
              <w:rPr>
                <w:b/>
                <w:noProof/>
              </w:rPr>
              <w:t>Référence(s) à l’exigence ou aux exigences</w:t>
            </w:r>
          </w:p>
        </w:tc>
        <w:tc>
          <w:tcPr>
            <w:tcW w:w="1843" w:type="dxa"/>
          </w:tcPr>
          <w:p w14:paraId="4902AB32" w14:textId="086CF8AB" w:rsidR="004A489F" w:rsidRPr="00D207EA" w:rsidRDefault="004A489F">
            <w:pPr>
              <w:jc w:val="left"/>
              <w:rPr>
                <w:b/>
                <w:noProof/>
                <w:szCs w:val="24"/>
              </w:rPr>
            </w:pPr>
            <w:r w:rsidRPr="00D207EA">
              <w:rPr>
                <w:b/>
                <w:noProof/>
              </w:rPr>
              <w:t>Rôle de la Commission</w:t>
            </w:r>
          </w:p>
          <w:p w14:paraId="066E6A7E" w14:textId="77777777" w:rsidR="004A489F" w:rsidRPr="00D207EA" w:rsidRDefault="004A489F">
            <w:pPr>
              <w:jc w:val="left"/>
              <w:rPr>
                <w:b/>
                <w:noProof/>
                <w:szCs w:val="24"/>
              </w:rPr>
            </w:pPr>
            <w:r w:rsidRPr="00D207EA">
              <w:rPr>
                <w:noProof/>
              </w:rPr>
              <w:t>(le cas échéant)</w:t>
            </w:r>
          </w:p>
        </w:tc>
        <w:tc>
          <w:tcPr>
            <w:tcW w:w="1842" w:type="dxa"/>
          </w:tcPr>
          <w:p w14:paraId="54F828A2" w14:textId="77777777" w:rsidR="004A489F" w:rsidRPr="00D207EA" w:rsidRDefault="004A489F">
            <w:pPr>
              <w:jc w:val="left"/>
              <w:rPr>
                <w:b/>
                <w:noProof/>
                <w:szCs w:val="24"/>
              </w:rPr>
            </w:pPr>
            <w:r w:rsidRPr="00D207EA">
              <w:rPr>
                <w:b/>
                <w:noProof/>
              </w:rPr>
              <w:t>Acteurs à associer</w:t>
            </w:r>
          </w:p>
          <w:p w14:paraId="4F3BA5EB" w14:textId="77777777" w:rsidR="004A489F" w:rsidRPr="00D207EA" w:rsidRDefault="004A489F">
            <w:pPr>
              <w:jc w:val="left"/>
              <w:rPr>
                <w:noProof/>
                <w:szCs w:val="24"/>
              </w:rPr>
            </w:pPr>
            <w:r w:rsidRPr="00D207EA">
              <w:rPr>
                <w:noProof/>
              </w:rPr>
              <w:t>(le cas échéant)</w:t>
            </w:r>
          </w:p>
        </w:tc>
        <w:tc>
          <w:tcPr>
            <w:tcW w:w="2410" w:type="dxa"/>
          </w:tcPr>
          <w:p w14:paraId="3E5904C2" w14:textId="77777777" w:rsidR="004A489F" w:rsidRPr="00D207EA" w:rsidRDefault="004A489F">
            <w:pPr>
              <w:jc w:val="left"/>
              <w:rPr>
                <w:b/>
                <w:noProof/>
                <w:szCs w:val="24"/>
              </w:rPr>
            </w:pPr>
            <w:r w:rsidRPr="00D207EA">
              <w:rPr>
                <w:b/>
                <w:noProof/>
              </w:rPr>
              <w:t>Calendrier prévu</w:t>
            </w:r>
          </w:p>
          <w:p w14:paraId="78185EE4" w14:textId="77777777" w:rsidR="004A489F" w:rsidRPr="00D207EA" w:rsidRDefault="004A489F">
            <w:pPr>
              <w:jc w:val="left"/>
              <w:rPr>
                <w:noProof/>
                <w:szCs w:val="24"/>
              </w:rPr>
            </w:pPr>
            <w:r w:rsidRPr="00D207EA">
              <w:rPr>
                <w:noProof/>
              </w:rPr>
              <w:t>(le cas échéant)</w:t>
            </w:r>
          </w:p>
        </w:tc>
      </w:tr>
      <w:tr w:rsidR="004A489F" w:rsidRPr="00D207EA" w14:paraId="1165806C" w14:textId="77777777">
        <w:trPr>
          <w:trHeight w:val="300"/>
        </w:trPr>
        <w:tc>
          <w:tcPr>
            <w:tcW w:w="4248" w:type="dxa"/>
          </w:tcPr>
          <w:p w14:paraId="62491D9F" w14:textId="77777777" w:rsidR="004A489F" w:rsidRPr="00D207EA" w:rsidRDefault="004A489F">
            <w:pPr>
              <w:jc w:val="left"/>
              <w:rPr>
                <w:noProof/>
              </w:rPr>
            </w:pPr>
            <w:r w:rsidRPr="00D207EA">
              <w:rPr>
                <w:noProof/>
              </w:rPr>
              <w:t>//</w:t>
            </w:r>
          </w:p>
        </w:tc>
        <w:tc>
          <w:tcPr>
            <w:tcW w:w="3544" w:type="dxa"/>
          </w:tcPr>
          <w:p w14:paraId="2A025134" w14:textId="77777777" w:rsidR="004A489F" w:rsidRPr="00D207EA" w:rsidRDefault="004A489F">
            <w:pPr>
              <w:jc w:val="left"/>
              <w:rPr>
                <w:noProof/>
              </w:rPr>
            </w:pPr>
          </w:p>
        </w:tc>
        <w:tc>
          <w:tcPr>
            <w:tcW w:w="1843" w:type="dxa"/>
          </w:tcPr>
          <w:p w14:paraId="35F1F5B5" w14:textId="77777777" w:rsidR="004A489F" w:rsidRPr="00D207EA" w:rsidRDefault="004A489F">
            <w:pPr>
              <w:jc w:val="left"/>
              <w:rPr>
                <w:noProof/>
              </w:rPr>
            </w:pPr>
          </w:p>
        </w:tc>
        <w:tc>
          <w:tcPr>
            <w:tcW w:w="1842" w:type="dxa"/>
          </w:tcPr>
          <w:p w14:paraId="1E6BF4FA" w14:textId="77777777" w:rsidR="004A489F" w:rsidRPr="00D207EA" w:rsidRDefault="004A489F">
            <w:pPr>
              <w:jc w:val="left"/>
              <w:rPr>
                <w:noProof/>
              </w:rPr>
            </w:pPr>
          </w:p>
        </w:tc>
        <w:tc>
          <w:tcPr>
            <w:tcW w:w="2410" w:type="dxa"/>
          </w:tcPr>
          <w:p w14:paraId="2EA1D497" w14:textId="77777777" w:rsidR="004A489F" w:rsidRPr="00D207EA" w:rsidRDefault="004A489F">
            <w:pPr>
              <w:jc w:val="left"/>
              <w:rPr>
                <w:noProof/>
              </w:rPr>
            </w:pPr>
          </w:p>
        </w:tc>
      </w:tr>
    </w:tbl>
    <w:p w14:paraId="7DFC615C" w14:textId="77777777" w:rsidR="004A489F" w:rsidRPr="00D207EA" w:rsidRDefault="004A489F" w:rsidP="004A489F">
      <w:pPr>
        <w:rPr>
          <w:noProof/>
        </w:rPr>
      </w:pPr>
      <w:r w:rsidRPr="00D207EA">
        <w:rPr>
          <w:noProof/>
        </w:rPr>
        <w:t xml:space="preserve">Les plans de partenariat national et régional peuvent inclure des mesures spécifiques pour soutenir la mise en œuvre numérique, y compris des réformes, des programmes de formation et des investissements dans les infrastructures numériques, en fonction des besoins et des défis spécifiques constatés dans les États membres et les régions concernés. </w:t>
      </w:r>
    </w:p>
    <w:bookmarkEnd w:id="204"/>
    <w:bookmarkEnd w:id="207"/>
    <w:bookmarkEnd w:id="208"/>
    <w:p w14:paraId="562FF41E" w14:textId="77777777" w:rsidR="004A489F" w:rsidRPr="00D207EA" w:rsidRDefault="004A489F" w:rsidP="004A489F">
      <w:pPr>
        <w:rPr>
          <w:noProof/>
          <w:color w:val="008000"/>
        </w:rPr>
      </w:pPr>
    </w:p>
    <w:sectPr w:rsidR="004A489F" w:rsidRPr="00D207EA" w:rsidSect="00972E68">
      <w:headerReference w:type="default" r:id="rId24"/>
      <w:footerReference w:type="default" r:id="rId25"/>
      <w:pgSz w:w="16839" w:h="11907" w:orient="landscape"/>
      <w:pgMar w:top="1418" w:right="1134" w:bottom="1418"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B56C3" w14:textId="77777777" w:rsidR="00B236B7" w:rsidRDefault="00B236B7" w:rsidP="00186A9E">
      <w:pPr>
        <w:spacing w:before="0" w:after="0"/>
      </w:pPr>
      <w:r>
        <w:separator/>
      </w:r>
    </w:p>
  </w:endnote>
  <w:endnote w:type="continuationSeparator" w:id="0">
    <w:p w14:paraId="472A5480" w14:textId="77777777" w:rsidR="00B236B7" w:rsidRDefault="00B236B7" w:rsidP="00186A9E">
      <w:pPr>
        <w:spacing w:before="0" w:after="0"/>
      </w:pPr>
      <w:r>
        <w:continuationSeparator/>
      </w:r>
    </w:p>
  </w:endnote>
  <w:endnote w:type="continuationNotice" w:id="1">
    <w:p w14:paraId="01B9E7F7" w14:textId="77777777" w:rsidR="00B236B7" w:rsidRDefault="00B236B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EC Square Sans Cond Pro">
    <w:altName w:val="Bahnschrift Light"/>
    <w:charset w:val="00"/>
    <w:family w:val="swiss"/>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Times New Roman"/>
    <w:charset w:val="00"/>
    <w:family w:val="auto"/>
    <w:pitch w:val="variable"/>
    <w:sig w:usb0="800002EF" w:usb1="1000E0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7B710" w14:textId="164F0935" w:rsidR="00972E68" w:rsidRPr="00972E68" w:rsidRDefault="00972E68" w:rsidP="00972E68">
    <w:pPr>
      <w:pStyle w:val="Footer"/>
      <w:rPr>
        <w:rFonts w:ascii="Arial" w:hAnsi="Arial" w:cs="Arial"/>
        <w:b/>
        <w:sz w:val="48"/>
      </w:rPr>
    </w:pPr>
    <w:r w:rsidRPr="00972E68">
      <w:rPr>
        <w:rFonts w:ascii="Arial" w:hAnsi="Arial" w:cs="Arial"/>
        <w:b/>
        <w:sz w:val="48"/>
      </w:rPr>
      <w:t>FR</w:t>
    </w:r>
    <w:r w:rsidRPr="00972E68">
      <w:rPr>
        <w:rFonts w:ascii="Arial" w:hAnsi="Arial" w:cs="Arial"/>
        <w:b/>
        <w:sz w:val="48"/>
      </w:rPr>
      <w:tab/>
    </w:r>
    <w:r w:rsidRPr="00972E68">
      <w:rPr>
        <w:rFonts w:ascii="Arial" w:hAnsi="Arial" w:cs="Arial"/>
        <w:b/>
        <w:sz w:val="48"/>
      </w:rPr>
      <w:tab/>
    </w:r>
    <w:r w:rsidRPr="00972E68">
      <w:tab/>
    </w:r>
    <w:r w:rsidRPr="00972E68">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4F008" w14:textId="5A53C005" w:rsidR="00972E68" w:rsidRPr="00972E68" w:rsidRDefault="00972E68" w:rsidP="00972E68">
    <w:pPr>
      <w:pStyle w:val="Footer"/>
      <w:rPr>
        <w:rFonts w:ascii="Arial" w:hAnsi="Arial" w:cs="Arial"/>
        <w:b/>
        <w:sz w:val="48"/>
      </w:rPr>
    </w:pPr>
    <w:r w:rsidRPr="00972E68">
      <w:rPr>
        <w:rFonts w:ascii="Arial" w:hAnsi="Arial" w:cs="Arial"/>
        <w:b/>
        <w:sz w:val="48"/>
      </w:rPr>
      <w:t>FR</w:t>
    </w:r>
    <w:r w:rsidRPr="00972E68">
      <w:rPr>
        <w:rFonts w:ascii="Arial" w:hAnsi="Arial" w:cs="Arial"/>
        <w:b/>
        <w:sz w:val="48"/>
      </w:rPr>
      <w:tab/>
    </w:r>
    <w:r w:rsidRPr="00972E68">
      <w:rPr>
        <w:rFonts w:ascii="Arial" w:hAnsi="Arial" w:cs="Arial"/>
        <w:b/>
        <w:sz w:val="48"/>
      </w:rPr>
      <w:tab/>
    </w:r>
    <w:r w:rsidRPr="00972E68">
      <w:tab/>
    </w:r>
    <w:r w:rsidRPr="00972E68">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7549B" w14:textId="77777777" w:rsidR="00972E68" w:rsidRDefault="00972E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F8ADB" w14:textId="74781A62" w:rsidR="00972E68" w:rsidRPr="00972E68" w:rsidRDefault="00972E68" w:rsidP="00972E68">
    <w:pPr>
      <w:pStyle w:val="Footer"/>
      <w:rPr>
        <w:rFonts w:ascii="Arial" w:hAnsi="Arial" w:cs="Arial"/>
        <w:b/>
        <w:sz w:val="48"/>
      </w:rPr>
    </w:pPr>
    <w:r w:rsidRPr="00972E68">
      <w:rPr>
        <w:rFonts w:ascii="Arial" w:hAnsi="Arial" w:cs="Arial"/>
        <w:b/>
        <w:sz w:val="48"/>
      </w:rPr>
      <w:t>FR</w:t>
    </w:r>
    <w:r w:rsidRPr="00972E68">
      <w:rPr>
        <w:rFonts w:ascii="Arial" w:hAnsi="Arial" w:cs="Arial"/>
        <w:b/>
        <w:sz w:val="48"/>
      </w:rPr>
      <w:tab/>
    </w:r>
    <w:r>
      <w:fldChar w:fldCharType="begin"/>
    </w:r>
    <w:r>
      <w:instrText xml:space="preserve"> PAGE  \* MERGEFORMAT </w:instrText>
    </w:r>
    <w:r>
      <w:fldChar w:fldCharType="separate"/>
    </w:r>
    <w:r w:rsidR="00816642">
      <w:rPr>
        <w:noProof/>
      </w:rPr>
      <w:t>130</w:t>
    </w:r>
    <w:r>
      <w:fldChar w:fldCharType="end"/>
    </w:r>
    <w:r>
      <w:tab/>
    </w:r>
    <w:r w:rsidRPr="00972E68">
      <w:tab/>
    </w:r>
    <w:r w:rsidRPr="00972E68">
      <w:rPr>
        <w:rFonts w:ascii="Arial" w:hAnsi="Arial" w:cs="Arial"/>
        <w:b/>
        <w:sz w:val="48"/>
      </w:rPr>
      <w:t>FR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1E10F" w14:textId="77777777" w:rsidR="00972E68" w:rsidRDefault="00972E68" w:rsidP="00972E68">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ACF21" w14:textId="420A2B75" w:rsidR="00972E68" w:rsidRPr="00972E68" w:rsidRDefault="00972E68" w:rsidP="00972E68">
    <w:pPr>
      <w:pStyle w:val="FooterLandscape"/>
      <w:rPr>
        <w:rFonts w:ascii="Arial" w:hAnsi="Arial" w:cs="Arial"/>
        <w:b/>
        <w:sz w:val="48"/>
      </w:rPr>
    </w:pPr>
    <w:r w:rsidRPr="00972E68">
      <w:rPr>
        <w:rFonts w:ascii="Arial" w:hAnsi="Arial" w:cs="Arial"/>
        <w:b/>
        <w:sz w:val="48"/>
      </w:rPr>
      <w:t>FR</w:t>
    </w:r>
    <w:r w:rsidRPr="00972E6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72E68">
      <w:tab/>
    </w:r>
    <w:r w:rsidRPr="00972E68">
      <w:rPr>
        <w:rFonts w:ascii="Arial" w:hAnsi="Arial" w:cs="Arial"/>
        <w:b/>
        <w:sz w:val="48"/>
      </w:rPr>
      <w:t>FR</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5FEA9" w14:textId="3EE9B602" w:rsidR="00972E68" w:rsidRPr="00972E68" w:rsidRDefault="00972E68" w:rsidP="00972E68">
    <w:pPr>
      <w:pStyle w:val="Footer"/>
      <w:rPr>
        <w:rFonts w:ascii="Arial" w:hAnsi="Arial" w:cs="Arial"/>
        <w:b/>
        <w:sz w:val="48"/>
      </w:rPr>
    </w:pPr>
    <w:r w:rsidRPr="00972E68">
      <w:rPr>
        <w:rFonts w:ascii="Arial" w:hAnsi="Arial" w:cs="Arial"/>
        <w:b/>
        <w:sz w:val="48"/>
      </w:rPr>
      <w:t>FR</w:t>
    </w:r>
    <w:r w:rsidRPr="00972E68">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972E68">
      <w:tab/>
    </w:r>
    <w:r w:rsidRPr="00972E68">
      <w:rPr>
        <w:rFonts w:ascii="Arial" w:hAnsi="Arial" w:cs="Arial"/>
        <w:b/>
        <w:sz w:val="48"/>
      </w:rPr>
      <w:t>FR</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FF4B9" w14:textId="30EE57EA" w:rsidR="00972E68" w:rsidRPr="00972E68" w:rsidRDefault="00972E68" w:rsidP="00972E68">
    <w:pPr>
      <w:pStyle w:val="FooterLandscape"/>
      <w:rPr>
        <w:rFonts w:ascii="Arial" w:hAnsi="Arial" w:cs="Arial"/>
        <w:b/>
        <w:sz w:val="48"/>
      </w:rPr>
    </w:pPr>
    <w:r w:rsidRPr="00972E68">
      <w:rPr>
        <w:rFonts w:ascii="Arial" w:hAnsi="Arial" w:cs="Arial"/>
        <w:b/>
        <w:sz w:val="48"/>
      </w:rPr>
      <w:t>FR</w:t>
    </w:r>
    <w:r w:rsidRPr="00972E68">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972E68">
      <w:tab/>
    </w:r>
    <w:r w:rsidRPr="00972E68">
      <w:rPr>
        <w:rFonts w:ascii="Arial" w:hAnsi="Arial" w:cs="Arial"/>
        <w:b/>
        <w:sz w:val="48"/>
      </w:rPr>
      <w:t>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35E2C" w14:textId="77777777" w:rsidR="00B236B7" w:rsidRDefault="00B236B7" w:rsidP="00186A9E">
      <w:pPr>
        <w:spacing w:before="0" w:after="0"/>
      </w:pPr>
      <w:r>
        <w:separator/>
      </w:r>
    </w:p>
  </w:footnote>
  <w:footnote w:type="continuationSeparator" w:id="0">
    <w:p w14:paraId="49D3C7C2" w14:textId="77777777" w:rsidR="00B236B7" w:rsidRDefault="00B236B7" w:rsidP="00186A9E">
      <w:pPr>
        <w:spacing w:before="0" w:after="0"/>
      </w:pPr>
      <w:r>
        <w:continuationSeparator/>
      </w:r>
    </w:p>
  </w:footnote>
  <w:footnote w:type="continuationNotice" w:id="1">
    <w:p w14:paraId="7F20327A" w14:textId="77777777" w:rsidR="00B236B7" w:rsidRDefault="00B236B7">
      <w:pPr>
        <w:spacing w:before="0" w:after="0"/>
      </w:pPr>
    </w:p>
  </w:footnote>
  <w:footnote w:id="2">
    <w:p w14:paraId="13A3A56F" w14:textId="77777777" w:rsidR="00794A16" w:rsidRPr="00947B1D" w:rsidRDefault="00794A16" w:rsidP="00794A16">
      <w:pPr>
        <w:pStyle w:val="FootnoteText"/>
        <w:rPr>
          <w:lang w:val="pt-PT"/>
        </w:rPr>
      </w:pPr>
      <w:r>
        <w:rPr>
          <w:rStyle w:val="FootnoteReference"/>
        </w:rPr>
        <w:footnoteRef/>
      </w:r>
      <w:r w:rsidRPr="00947B1D">
        <w:rPr>
          <w:lang w:val="pt-PT"/>
        </w:rPr>
        <w:tab/>
        <w:t>COM(2025) 47 final.</w:t>
      </w:r>
    </w:p>
  </w:footnote>
  <w:footnote w:id="3">
    <w:p w14:paraId="080E4109" w14:textId="77777777" w:rsidR="00794A16" w:rsidRPr="00947B1D" w:rsidRDefault="00794A16" w:rsidP="00794A16">
      <w:pPr>
        <w:pStyle w:val="FootnoteText"/>
        <w:rPr>
          <w:lang w:val="pt-PT"/>
        </w:rPr>
      </w:pPr>
      <w:r>
        <w:rPr>
          <w:rStyle w:val="FootnoteReference"/>
        </w:rPr>
        <w:footnoteRef/>
      </w:r>
      <w:r w:rsidRPr="00947B1D">
        <w:rPr>
          <w:lang w:val="pt-PT"/>
        </w:rPr>
        <w:tab/>
        <w:t>COM(2025) 30 final.</w:t>
      </w:r>
    </w:p>
  </w:footnote>
  <w:footnote w:id="4">
    <w:p w14:paraId="25E1A21B" w14:textId="77777777" w:rsidR="00794A16" w:rsidRPr="00947B1D" w:rsidRDefault="00794A16" w:rsidP="00794A16">
      <w:pPr>
        <w:pStyle w:val="FootnoteText"/>
        <w:rPr>
          <w:lang w:val="pt-PT"/>
        </w:rPr>
      </w:pPr>
      <w:r>
        <w:rPr>
          <w:rStyle w:val="FootnoteReference"/>
        </w:rPr>
        <w:footnoteRef/>
      </w:r>
      <w:r w:rsidRPr="00947B1D">
        <w:rPr>
          <w:lang w:val="pt-PT"/>
        </w:rPr>
        <w:tab/>
        <w:t>COM(2025) 85 final.</w:t>
      </w:r>
    </w:p>
  </w:footnote>
  <w:footnote w:id="5">
    <w:p w14:paraId="5C14A340" w14:textId="77777777" w:rsidR="00794A16" w:rsidRPr="00947B1D" w:rsidRDefault="00794A16" w:rsidP="00794A16">
      <w:pPr>
        <w:pStyle w:val="FootnoteText"/>
        <w:rPr>
          <w:rFonts w:ascii="EC Square Sans Cond Pro" w:hAnsi="EC Square Sans Cond Pro"/>
          <w:lang w:val="pt-PT"/>
        </w:rPr>
      </w:pPr>
      <w:r>
        <w:rPr>
          <w:rStyle w:val="FootnoteReference"/>
        </w:rPr>
        <w:footnoteRef/>
      </w:r>
      <w:r w:rsidRPr="00947B1D">
        <w:rPr>
          <w:rFonts w:ascii="EC Square Sans Cond Pro" w:hAnsi="EC Square Sans Cond Pro"/>
          <w:lang w:val="pt-PT"/>
        </w:rPr>
        <w:tab/>
      </w:r>
      <w:r w:rsidRPr="00947B1D">
        <w:rPr>
          <w:lang w:val="pt-PT"/>
        </w:rPr>
        <w:t>COM (2025) 79 final.</w:t>
      </w:r>
    </w:p>
  </w:footnote>
  <w:footnote w:id="6">
    <w:p w14:paraId="1EC7A5FE" w14:textId="77777777" w:rsidR="00794A16" w:rsidRPr="00947B1D" w:rsidRDefault="00794A16" w:rsidP="00794A16">
      <w:pPr>
        <w:pStyle w:val="FootnoteText"/>
        <w:rPr>
          <w:lang w:val="pt-PT"/>
        </w:rPr>
      </w:pPr>
      <w:r>
        <w:rPr>
          <w:rStyle w:val="FootnoteReference"/>
        </w:rPr>
        <w:footnoteRef/>
      </w:r>
      <w:r w:rsidRPr="00947B1D">
        <w:rPr>
          <w:rFonts w:ascii="EC Square Sans Cond Pro" w:hAnsi="EC Square Sans Cond Pro"/>
          <w:lang w:val="pt-PT"/>
        </w:rPr>
        <w:tab/>
      </w:r>
      <w:r w:rsidRPr="00947B1D">
        <w:rPr>
          <w:lang w:val="pt-PT"/>
        </w:rPr>
        <w:t>COM (2025) 90 final.</w:t>
      </w:r>
    </w:p>
  </w:footnote>
  <w:footnote w:id="7">
    <w:p w14:paraId="6C37CFA5" w14:textId="77777777" w:rsidR="00794A16" w:rsidRPr="00947B1D" w:rsidRDefault="00794A16" w:rsidP="00794A16">
      <w:pPr>
        <w:pStyle w:val="FootnoteText"/>
        <w:rPr>
          <w:rFonts w:ascii="EC Square Sans Cond Pro" w:hAnsi="EC Square Sans Cond Pro"/>
          <w:lang w:val="pt-PT"/>
        </w:rPr>
      </w:pPr>
      <w:r>
        <w:rPr>
          <w:rStyle w:val="FootnoteReference"/>
        </w:rPr>
        <w:footnoteRef/>
      </w:r>
      <w:r w:rsidRPr="00947B1D">
        <w:rPr>
          <w:rFonts w:ascii="EC Square Sans Cond Pro" w:hAnsi="EC Square Sans Cond Pro"/>
          <w:lang w:val="pt-PT"/>
        </w:rPr>
        <w:tab/>
      </w:r>
      <w:r w:rsidRPr="00947B1D">
        <w:rPr>
          <w:lang w:val="pt-PT"/>
        </w:rPr>
        <w:t>COM (2025) 75 final.</w:t>
      </w:r>
    </w:p>
  </w:footnote>
  <w:footnote w:id="8">
    <w:p w14:paraId="3425ECFF" w14:textId="578C74BD" w:rsidR="000C70BB" w:rsidRPr="00947B1D" w:rsidRDefault="000C70BB" w:rsidP="000C70BB">
      <w:pPr>
        <w:pStyle w:val="FootnoteText"/>
        <w:rPr>
          <w:lang w:val="fr-BE"/>
        </w:rPr>
      </w:pPr>
      <w:r>
        <w:rPr>
          <w:rStyle w:val="FootnoteReference"/>
        </w:rPr>
        <w:footnoteRef/>
      </w:r>
      <w:r w:rsidRPr="00947B1D">
        <w:rPr>
          <w:lang w:val="fr-BE"/>
        </w:rPr>
        <w:tab/>
        <w:t>Omnibus 1 et 2 du 26 février 2025.</w:t>
      </w:r>
    </w:p>
  </w:footnote>
  <w:footnote w:id="9">
    <w:p w14:paraId="2E01B673" w14:textId="77777777" w:rsidR="002962F6" w:rsidRPr="00947B1D" w:rsidRDefault="002962F6" w:rsidP="002962F6">
      <w:pPr>
        <w:pStyle w:val="FootnoteText"/>
        <w:rPr>
          <w:lang w:val="fr-BE"/>
        </w:rPr>
      </w:pPr>
      <w:r>
        <w:rPr>
          <w:rStyle w:val="FootnoteReference"/>
        </w:rPr>
        <w:footnoteRef/>
      </w:r>
      <w:r w:rsidRPr="00947B1D">
        <w:rPr>
          <w:lang w:val="fr-BE"/>
        </w:rPr>
        <w:tab/>
        <w:t>COM(2025) 124 final.</w:t>
      </w:r>
    </w:p>
  </w:footnote>
  <w:footnote w:id="10">
    <w:p w14:paraId="12C11C04" w14:textId="77777777" w:rsidR="00950B10" w:rsidRPr="00947B1D" w:rsidRDefault="00950B10">
      <w:pPr>
        <w:pStyle w:val="FootnoteText"/>
        <w:rPr>
          <w:lang w:val="fr-BE"/>
        </w:rPr>
      </w:pPr>
      <w:r>
        <w:rPr>
          <w:rStyle w:val="FootnoteReference"/>
        </w:rPr>
        <w:footnoteRef/>
      </w:r>
      <w:r w:rsidRPr="00947B1D">
        <w:rPr>
          <w:lang w:val="fr-BE"/>
        </w:rPr>
        <w:tab/>
        <w:t>Règlement délégué (UE) nº 240/2014 de la Commission du 7 janvier 2014 relatif au code de conduite européen sur le partenariat dans le cadre des Fonds structurels et d’investissement européens (JO L 74 du 14.3.2014, p. 1).</w:t>
      </w:r>
    </w:p>
  </w:footnote>
  <w:footnote w:id="11">
    <w:p w14:paraId="155C8ED0" w14:textId="77777777" w:rsidR="00FD14FB" w:rsidRPr="00947B1D" w:rsidRDefault="00FD14FB" w:rsidP="00FD14FB">
      <w:pPr>
        <w:pStyle w:val="FootnoteText"/>
        <w:rPr>
          <w:lang w:val="fr-BE"/>
        </w:rPr>
      </w:pPr>
      <w:r>
        <w:rPr>
          <w:rStyle w:val="FootnoteReference"/>
        </w:rPr>
        <w:footnoteRef/>
      </w:r>
      <w:r w:rsidRPr="00947B1D">
        <w:rPr>
          <w:lang w:val="fr-BE"/>
        </w:rPr>
        <w:tab/>
        <w:t>Règlement (UE, Euratom) 2020/2092 du Parlement européen et du Conseil du 16 décembre 2020 relatif à un régime général de conditionnalité pour la protection du budget de l’Union (JO L 433 I, 22.12.2020, p. 1, ELI: http://data.europa.eu/eli/reg/2020/2092/oj)</w:t>
      </w:r>
    </w:p>
  </w:footnote>
  <w:footnote w:id="12">
    <w:p w14:paraId="1ADF6E5F" w14:textId="77777777" w:rsidR="005F3BC6" w:rsidRPr="00947B1D" w:rsidRDefault="005F3BC6" w:rsidP="005F3BC6">
      <w:pPr>
        <w:pStyle w:val="FootnoteText"/>
        <w:rPr>
          <w:lang w:val="fr-BE"/>
        </w:rPr>
      </w:pPr>
      <w:r>
        <w:rPr>
          <w:rStyle w:val="FootnoteReference"/>
        </w:rPr>
        <w:footnoteRef/>
      </w:r>
      <w:r w:rsidRPr="00947B1D">
        <w:rPr>
          <w:lang w:val="fr-BE"/>
        </w:rPr>
        <w:tab/>
        <w:t>Règlement (UE, Euratom) 2024/2509 du Parlement européen et du Conseil du 23 septembre 2024 relatif aux règles financières applicables au budget général de l’Union (JO L, 2024/2509, 26.9.2024, ELI: </w:t>
      </w:r>
      <w:hyperlink r:id="rId1" w:tgtFrame="_blank" w:tooltip="Donne accès à ce document par l’intermédiaire de son URI ELI." w:history="1">
        <w:r w:rsidRPr="00947B1D">
          <w:rPr>
            <w:rStyle w:val="Hyperlink"/>
            <w:lang w:val="fr-BE"/>
          </w:rPr>
          <w:t>http://data.europa.eu/eli/reg/2024/2509/oj</w:t>
        </w:r>
      </w:hyperlink>
      <w:r w:rsidRPr="00947B1D">
        <w:rPr>
          <w:lang w:val="fr-BE"/>
        </w:rPr>
        <w:t>).</w:t>
      </w:r>
    </w:p>
  </w:footnote>
  <w:footnote w:id="13">
    <w:p w14:paraId="0899FDD2" w14:textId="77777777" w:rsidR="002F7808" w:rsidRPr="00947B1D" w:rsidRDefault="002F7808" w:rsidP="002F7808">
      <w:pPr>
        <w:pStyle w:val="FootnoteText"/>
        <w:rPr>
          <w:lang w:val="fr-BE"/>
        </w:rPr>
      </w:pPr>
      <w:r>
        <w:rPr>
          <w:rStyle w:val="FootnoteReference"/>
        </w:rPr>
        <w:footnoteRef/>
      </w:r>
      <w:r w:rsidRPr="00947B1D">
        <w:rPr>
          <w:lang w:val="fr-BE"/>
        </w:rPr>
        <w:tab/>
        <w:t>Règlement (UE) 2023/955 du Parlement européen et du Conseil du 10 mai 2023 instituant un Fonds social pour le climat et modifiant le règlement (UE) 2021/1060 (JO L 130 du 16.5.2023, p. 1).</w:t>
      </w:r>
    </w:p>
  </w:footnote>
  <w:footnote w:id="14">
    <w:p w14:paraId="16AB0376" w14:textId="77777777" w:rsidR="008726A1" w:rsidRPr="00947B1D" w:rsidRDefault="008726A1" w:rsidP="008726A1">
      <w:pPr>
        <w:pStyle w:val="FootnoteText"/>
        <w:rPr>
          <w:lang w:val="fr-BE"/>
        </w:rPr>
      </w:pPr>
      <w:r>
        <w:rPr>
          <w:rStyle w:val="FootnoteReference"/>
        </w:rPr>
        <w:footnoteRef/>
      </w:r>
      <w:r w:rsidRPr="00947B1D">
        <w:rPr>
          <w:lang w:val="fr-BE"/>
        </w:rPr>
        <w:tab/>
        <w:t>JO L 123 du 12.5.2016, p. 1,</w:t>
      </w:r>
      <w:r w:rsidRPr="00947B1D">
        <w:rPr>
          <w:rFonts w:ascii="Segoe UI" w:hAnsi="Segoe UI"/>
          <w:color w:val="333333"/>
          <w:sz w:val="21"/>
          <w:shd w:val="clear" w:color="auto" w:fill="FFFFFF"/>
          <w:lang w:val="fr-BE"/>
        </w:rPr>
        <w:t xml:space="preserve"> </w:t>
      </w:r>
      <w:r w:rsidRPr="00947B1D">
        <w:rPr>
          <w:lang w:val="fr-BE"/>
        </w:rPr>
        <w:t>ELI: </w:t>
      </w:r>
      <w:hyperlink r:id="rId2" w:tooltip="Donne accès à ce document par l’intermédiaire de son URI ELI." w:history="1">
        <w:r w:rsidRPr="00947B1D">
          <w:rPr>
            <w:rStyle w:val="Hyperlink"/>
            <w:lang w:val="fr-BE"/>
          </w:rPr>
          <w:t>http://data.europa.eu/eli/agree_interinstit/2016/512/oj</w:t>
        </w:r>
      </w:hyperlink>
    </w:p>
  </w:footnote>
  <w:footnote w:id="15">
    <w:p w14:paraId="39B072C0" w14:textId="77777777" w:rsidR="004A3954" w:rsidRPr="00947B1D" w:rsidRDefault="004A3954" w:rsidP="004A3954">
      <w:pPr>
        <w:pStyle w:val="FootnoteText"/>
        <w:rPr>
          <w:lang w:val="fr-BE"/>
        </w:rPr>
      </w:pPr>
      <w:r>
        <w:rPr>
          <w:rStyle w:val="FootnoteReference"/>
        </w:rPr>
        <w:footnoteRef/>
      </w:r>
      <w:r w:rsidRPr="00947B1D">
        <w:rPr>
          <w:lang w:val="fr-BE"/>
        </w:rPr>
        <w:tab/>
        <w:t>Règlement (UE) nº 182/2011 du Parlement européen et du Conseil du 16 février 2011 établissant les règles et principes généraux relatifs aux modalités de contrôle par les États membres de l’exercice des compétences d’exécution par la Commission (JO L 55 du 28.2.2011, p. 13, ELI: http://data.europa.eu/eli/reg/2011/182/oj).</w:t>
      </w:r>
    </w:p>
  </w:footnote>
  <w:footnote w:id="16">
    <w:p w14:paraId="412F0206" w14:textId="77777777" w:rsidR="00F92249" w:rsidRPr="00947B1D" w:rsidRDefault="00F92249">
      <w:pPr>
        <w:pStyle w:val="FootnoteText"/>
        <w:rPr>
          <w:lang w:val="fr-BE"/>
        </w:rPr>
      </w:pPr>
      <w:r>
        <w:rPr>
          <w:rStyle w:val="FootnoteReference"/>
        </w:rPr>
        <w:footnoteRef/>
      </w:r>
      <w:r w:rsidRPr="00947B1D">
        <w:rPr>
          <w:lang w:val="fr-BE"/>
        </w:rPr>
        <w:tab/>
        <w:t xml:space="preserve">Règlement (UE) nº 1308/2013 du Parlement européen et du Conseil du 17 décembre 2013 portant organisation commune des marchés des produits agricoles et abrogeant les règlements (CEE) nº 922/72, (CEE) nº 234/79, (CE) nº 1037/2001 et (CE) nº 1234/2007 du Conseil (JO L 347 du 20.12.2013, p. 671, ELI: </w:t>
      </w:r>
      <w:hyperlink r:id="rId3" w:history="1">
        <w:r w:rsidRPr="00947B1D">
          <w:rPr>
            <w:rStyle w:val="Hyperlink"/>
            <w:lang w:val="fr-BE"/>
          </w:rPr>
          <w:t>http://data.europa.eu/eli/reg/2013/1308/oj</w:t>
        </w:r>
      </w:hyperlink>
      <w:r w:rsidRPr="00947B1D">
        <w:rPr>
          <w:lang w:val="fr-BE"/>
        </w:rPr>
        <w:t>).</w:t>
      </w:r>
    </w:p>
  </w:footnote>
  <w:footnote w:id="17">
    <w:p w14:paraId="436D6497" w14:textId="77777777" w:rsidR="00D04C54" w:rsidRPr="00947B1D" w:rsidRDefault="00D04C54">
      <w:pPr>
        <w:pStyle w:val="FootnoteText"/>
        <w:rPr>
          <w:lang w:val="fr-BE"/>
        </w:rPr>
      </w:pPr>
      <w:r>
        <w:rPr>
          <w:rStyle w:val="FootnoteReference"/>
        </w:rPr>
        <w:footnoteRef/>
      </w:r>
      <w:r w:rsidRPr="00947B1D">
        <w:rPr>
          <w:lang w:val="fr-BE"/>
        </w:rPr>
        <w:tab/>
        <w:t>Règlement (UE) 2018/848 du Parlement européen et du Conseil du 30 mai 2018 relatif à la production biologique et à l’étiquetage des produits biologiques et abrogeant le règlement (CE) nº 834/2007 du Conseil (JO L 150 du 14.6.2018, p. 1).</w:t>
      </w:r>
    </w:p>
  </w:footnote>
  <w:footnote w:id="18">
    <w:p w14:paraId="56B8C879" w14:textId="2F83BBF1" w:rsidR="00DF7A6C" w:rsidRPr="00947B1D" w:rsidRDefault="00DF7A6C">
      <w:pPr>
        <w:pStyle w:val="FootnoteText"/>
        <w:rPr>
          <w:lang w:val="fr-BE"/>
        </w:rPr>
      </w:pPr>
      <w:r>
        <w:rPr>
          <w:rStyle w:val="FootnoteReference"/>
        </w:rPr>
        <w:footnoteRef/>
      </w:r>
      <w:r w:rsidRPr="00947B1D">
        <w:rPr>
          <w:lang w:val="fr-BE"/>
        </w:rPr>
        <w:tab/>
        <w:t>Règlement (UE) 2024/1991 du Parlement européen et du Conseil du 24 juin 2024 relatif à la restauration de la nature et modifiant le règlement (UE) 2022/869 (JO L</w:t>
      </w:r>
      <w:r w:rsidR="00947B1D">
        <w:rPr>
          <w:lang w:val="fr-BE"/>
        </w:rPr>
        <w:t xml:space="preserve">, </w:t>
      </w:r>
      <w:r w:rsidRPr="00947B1D">
        <w:rPr>
          <w:lang w:val="fr-BE"/>
        </w:rPr>
        <w:t>2024/1991</w:t>
      </w:r>
      <w:r w:rsidR="00947B1D">
        <w:rPr>
          <w:lang w:val="fr-BE"/>
        </w:rPr>
        <w:t>,</w:t>
      </w:r>
      <w:r w:rsidRPr="00947B1D">
        <w:rPr>
          <w:lang w:val="fr-BE"/>
        </w:rPr>
        <w:t xml:space="preserve"> 29.7.2024, ELI: http://data.europa.eu/eli/reg/2024/1991/oj).</w:t>
      </w:r>
    </w:p>
  </w:footnote>
  <w:footnote w:id="19">
    <w:p w14:paraId="09EFBF13" w14:textId="09CDBED3" w:rsidR="00B24F29" w:rsidRPr="00947B1D" w:rsidRDefault="00B24F29">
      <w:pPr>
        <w:pStyle w:val="FootnoteText"/>
        <w:rPr>
          <w:lang w:val="fr-BE"/>
        </w:rPr>
      </w:pPr>
      <w:r>
        <w:rPr>
          <w:rStyle w:val="FootnoteReference"/>
        </w:rPr>
        <w:footnoteRef/>
      </w:r>
      <w:r w:rsidRPr="00947B1D">
        <w:rPr>
          <w:lang w:val="fr-BE"/>
        </w:rPr>
        <w:tab/>
        <w:t>Règlement (UE) 2018/1999 du Parlement européen et du Conseil du 11 décembre 2018 sur la gouvernance de l’union de l’énergie et de l’action pour le climat, modifiant les règlements (CE) n</w:t>
      </w:r>
      <w:r w:rsidR="002E4C21">
        <w:rPr>
          <w:lang w:val="fr-BE"/>
        </w:rPr>
        <w:t>º</w:t>
      </w:r>
      <w:r w:rsidRPr="00947B1D">
        <w:rPr>
          <w:lang w:val="fr-BE"/>
        </w:rPr>
        <w:t> 663/2009 et (CE) n</w:t>
      </w:r>
      <w:r w:rsidR="002E4C21">
        <w:rPr>
          <w:lang w:val="fr-BE"/>
        </w:rPr>
        <w:t>º</w:t>
      </w:r>
      <w:r w:rsidRPr="00947B1D">
        <w:rPr>
          <w:lang w:val="fr-BE"/>
        </w:rPr>
        <w:t> 715/2009 du Parlement européen et du Conseil, les directives 94/22/CE, 98/70/CE, 2009/31/CE, 2009/73/CE, 2010/31/UE, 2012/27/UE et 2013/30/UE du Parlement européen et du Conseil, les directives 2009/119/CE et (UE) 2015/652 du Conseil et abrogeant le règlement (UE) no 525/2013 du Parlement européen et du Conseil (JO L 328 du 21.12.2018, p. 1, ELI: http://data.europa.eu/eli/reg/2018/1999/oj).</w:t>
      </w:r>
    </w:p>
  </w:footnote>
  <w:footnote w:id="20">
    <w:p w14:paraId="4D81EBB5" w14:textId="77777777" w:rsidR="005F6B94" w:rsidRPr="00947B1D" w:rsidRDefault="005F6B94">
      <w:pPr>
        <w:pStyle w:val="FootnoteText"/>
        <w:rPr>
          <w:lang w:val="fr-BE"/>
        </w:rPr>
      </w:pPr>
      <w:r>
        <w:rPr>
          <w:rStyle w:val="FootnoteReference"/>
        </w:rPr>
        <w:footnoteRef/>
      </w:r>
      <w:r w:rsidRPr="00947B1D">
        <w:rPr>
          <w:lang w:val="fr-BE"/>
        </w:rPr>
        <w:tab/>
        <w:t>Décision (UE) 2022/2481 du Parlement européen et du Conseil du 14 décembre 2022 établissant le programme d’action pour la décennie numérique à l’horizon 2030 (JO L 323 du 19.12.2022, p. 4, ELI: http://data.europa.eu/eli/dec/2022/2481/oj).</w:t>
      </w:r>
    </w:p>
  </w:footnote>
  <w:footnote w:id="21">
    <w:p w14:paraId="0C3C5440" w14:textId="77777777" w:rsidR="009B032B" w:rsidRPr="00947B1D" w:rsidRDefault="009B032B">
      <w:pPr>
        <w:pStyle w:val="FootnoteText"/>
        <w:rPr>
          <w:lang w:val="fr-BE"/>
        </w:rPr>
      </w:pPr>
      <w:r>
        <w:rPr>
          <w:rStyle w:val="FootnoteReference"/>
        </w:rPr>
        <w:footnoteRef/>
      </w:r>
      <w:r w:rsidRPr="00947B1D">
        <w:rPr>
          <w:lang w:val="fr-BE"/>
        </w:rPr>
        <w:tab/>
        <w:t>Règlement (UE) 2024/1679 du Parlement européen et du Conseil du 13 juin 2024 sur les orientations de l’Union pour le développement du réseau transeuropéen de transport, modifiant les règlements (UE) 2021/1153 et (UE) nº 913/2010 et abrogeant le règlement (UE) nº 1315/2013 (JO L, 2024/1679, 28.6.2024, ELI: http://data.europa.eu/eli/reg/2024/1679/oj).</w:t>
      </w:r>
    </w:p>
  </w:footnote>
  <w:footnote w:id="22">
    <w:p w14:paraId="0178D865" w14:textId="77777777" w:rsidR="002452F0" w:rsidRPr="00947B1D" w:rsidRDefault="002452F0">
      <w:pPr>
        <w:pStyle w:val="FootnoteText"/>
        <w:rPr>
          <w:lang w:val="fr-BE"/>
        </w:rPr>
      </w:pPr>
      <w:r>
        <w:rPr>
          <w:rStyle w:val="FootnoteReference"/>
        </w:rPr>
        <w:footnoteRef/>
      </w:r>
      <w:r w:rsidRPr="00947B1D">
        <w:rPr>
          <w:lang w:val="fr-BE"/>
        </w:rPr>
        <w:tab/>
        <w:t>Règlement (UE) 2022/869 du Parlement européen et du Conseil du 30 mai 2022 concernant des orientations pour les infrastructures énergétiques transeuropéennes, modifiant les règlements (CE) nº 715/2009, (UE) 2019/942 et (UE) 2019/943 et les directives 2009/73/CE et (UE) 2019/944, et abrogeant le règlement (UE) nº 347/2013 (JO L 152 du 3.6.2022, p. 45, ELI: http://data.europa.eu/eli/reg/2022/869/oj).</w:t>
      </w:r>
    </w:p>
  </w:footnote>
  <w:footnote w:id="23">
    <w:p w14:paraId="14125690" w14:textId="77777777" w:rsidR="00BF0308" w:rsidRPr="00947B1D" w:rsidRDefault="00BF0308">
      <w:pPr>
        <w:pStyle w:val="FootnoteText"/>
        <w:rPr>
          <w:lang w:val="fr-BE"/>
        </w:rPr>
      </w:pPr>
      <w:r>
        <w:rPr>
          <w:rStyle w:val="FootnoteReference"/>
        </w:rPr>
        <w:footnoteRef/>
      </w:r>
      <w:r w:rsidRPr="00947B1D">
        <w:rPr>
          <w:lang w:val="fr-BE"/>
        </w:rPr>
        <w:tab/>
        <w:t>Règlement délégué (UE) nº 240/2014 de la Commission du 7 janvier 2014 relatif au code de conduite européen sur le partenariat dans le cadre des Fonds structurels et d’investissement européens (JO L 74 du 14.3.2014, p. 1).</w:t>
      </w:r>
    </w:p>
  </w:footnote>
  <w:footnote w:id="24">
    <w:p w14:paraId="1E8F8AD0" w14:textId="77777777" w:rsidR="00DF506D" w:rsidRPr="00947B1D" w:rsidRDefault="00DF506D" w:rsidP="00DF506D">
      <w:pPr>
        <w:pStyle w:val="FootnoteText"/>
        <w:rPr>
          <w:lang w:val="fr-BE"/>
        </w:rPr>
      </w:pPr>
      <w:r>
        <w:rPr>
          <w:rStyle w:val="FootnoteReference"/>
        </w:rPr>
        <w:footnoteRef/>
      </w:r>
      <w:r w:rsidRPr="00947B1D">
        <w:rPr>
          <w:lang w:val="fr-BE"/>
        </w:rPr>
        <w:tab/>
        <w:t>Directive (UE) 2015/849 du Parlement européen et du Conseil du 20 mai 2015 relative à la prévention de l’utilisation du système financier aux fins du blanchiment de capitaux ou du financement du terrorisme, modifiant le règlement (UE) nº 648/2012 du Parlement européen et du Conseil et abrogeant la directive 2005/60/CE du Parlement européen et du Conseil et la directive 2006/70/CE de la Commission (JO L 141 du 5.6.2015, p. 73, ELI: http://data.europa.eu/eli/dir/2015/849/oj).</w:t>
      </w:r>
    </w:p>
  </w:footnote>
  <w:footnote w:id="25">
    <w:p w14:paraId="03CD0AE5" w14:textId="77777777" w:rsidR="001D67EF" w:rsidRPr="00947B1D" w:rsidRDefault="001D67EF">
      <w:pPr>
        <w:pStyle w:val="FootnoteText"/>
        <w:rPr>
          <w:lang w:val="fr-BE"/>
        </w:rPr>
      </w:pPr>
      <w:r>
        <w:rPr>
          <w:rStyle w:val="FootnoteReference"/>
        </w:rPr>
        <w:footnoteRef/>
      </w:r>
      <w:r w:rsidRPr="00947B1D">
        <w:rPr>
          <w:lang w:val="fr-BE"/>
        </w:rPr>
        <w:tab/>
        <w:t>Telle que désignée dans la directive 91/676/CEE du Conseil du 12 décembre 1991 concernant la protection des eaux contre la pollution par les nitrates à partir de sources agricoles (JO L 375 du 31.12.1991, p. 1, ELI: http://data.europa.eu/eli/dir/1991/676/oj).</w:t>
      </w:r>
    </w:p>
  </w:footnote>
  <w:footnote w:id="26">
    <w:p w14:paraId="6C27AD4C" w14:textId="77777777" w:rsidR="00606892" w:rsidRPr="00947B1D" w:rsidRDefault="00606892">
      <w:pPr>
        <w:pStyle w:val="FootnoteText"/>
        <w:rPr>
          <w:lang w:val="fr-BE"/>
        </w:rPr>
      </w:pPr>
      <w:r>
        <w:rPr>
          <w:rStyle w:val="FootnoteReference"/>
        </w:rPr>
        <w:footnoteRef/>
      </w:r>
      <w:r w:rsidRPr="00947B1D">
        <w:rPr>
          <w:lang w:val="fr-BE"/>
        </w:rPr>
        <w:tab/>
        <w:t>Telle que définie dans la typologie des exploitations de l’Union visée à l’article 5 </w:t>
      </w:r>
      <w:r w:rsidRPr="00947B1D">
        <w:rPr>
          <w:i/>
          <w:iCs/>
          <w:lang w:val="fr-BE"/>
        </w:rPr>
        <w:t>ter</w:t>
      </w:r>
      <w:r w:rsidRPr="00947B1D">
        <w:rPr>
          <w:lang w:val="fr-BE"/>
        </w:rPr>
        <w:t xml:space="preserve"> du règlement (CE) nº 1217/2009 du Conseil du 30 novembre 2009 portant création d’un réseau d’information comptable agricole sur les revenus et l’économie des exploitations agricoles dans la Communauté européenne (JO L 328 du 15.12.2009, p. 27, ELI: </w:t>
      </w:r>
      <w:hyperlink r:id="rId4" w:tooltip="Donne accès à ce document par l’intermédiaire de son URI ELI." w:history="1">
        <w:r w:rsidRPr="00947B1D">
          <w:rPr>
            <w:lang w:val="fr-BE"/>
          </w:rPr>
          <w:t>http://data.europa.eu/eli/reg/2009/1217/oj</w:t>
        </w:r>
      </w:hyperlink>
      <w:r w:rsidRPr="00947B1D">
        <w:rPr>
          <w:lang w:val="fr-BE"/>
        </w:rPr>
        <w:t>).</w:t>
      </w:r>
    </w:p>
  </w:footnote>
  <w:footnote w:id="27">
    <w:p w14:paraId="49302459" w14:textId="77777777" w:rsidR="0059065F" w:rsidRPr="00947B1D" w:rsidRDefault="0059065F">
      <w:pPr>
        <w:pStyle w:val="FootnoteText"/>
        <w:rPr>
          <w:lang w:val="fr-BE"/>
        </w:rPr>
      </w:pPr>
      <w:r>
        <w:rPr>
          <w:rStyle w:val="FootnoteReference"/>
        </w:rPr>
        <w:footnoteRef/>
      </w:r>
      <w:r w:rsidRPr="00947B1D">
        <w:rPr>
          <w:lang w:val="fr-BE"/>
        </w:rPr>
        <w:tab/>
        <w:t>Telle qu’énoncée dans le règlement (UE) 2018/848 du Parlement européen et du Conseil du 30 mai 2018 relatif à la production biologique et à l’étiquetage des produits biologiques et abrogeant le règlement (CE) nº 834/2007 du Conseil (JO L 150 du 14.6.2018, p. 1, ELI: http://data.europa.eu/eli/reg/2018/848/oj).</w:t>
      </w:r>
    </w:p>
  </w:footnote>
  <w:footnote w:id="28">
    <w:p w14:paraId="56EF4392" w14:textId="77777777" w:rsidR="00042960" w:rsidRPr="00947B1D" w:rsidRDefault="00042960">
      <w:pPr>
        <w:pStyle w:val="FootnoteText"/>
        <w:rPr>
          <w:lang w:val="fr-BE"/>
        </w:rPr>
      </w:pPr>
      <w:r>
        <w:rPr>
          <w:rStyle w:val="FootnoteReference"/>
        </w:rPr>
        <w:footnoteRef/>
      </w:r>
      <w:r w:rsidRPr="00947B1D">
        <w:rPr>
          <w:lang w:val="fr-BE"/>
        </w:rPr>
        <w:tab/>
        <w:t>Directive 2014/24/UE du Parlement européen et du Conseil du 26 février 2014 sur la passation des marchés publics et abrogeant la directive 2004/18/CE (JO L 94 du 28.3.2014, p. 65, ELI: http://data.europa.eu/eli/dir/2014/24/oj).</w:t>
      </w:r>
    </w:p>
  </w:footnote>
  <w:footnote w:id="29">
    <w:p w14:paraId="34001EB1" w14:textId="77777777" w:rsidR="00180A5F" w:rsidRPr="00947B1D" w:rsidRDefault="00180A5F">
      <w:pPr>
        <w:pStyle w:val="FootnoteText"/>
        <w:rPr>
          <w:lang w:val="fr-BE"/>
        </w:rPr>
      </w:pPr>
      <w:r>
        <w:rPr>
          <w:rStyle w:val="FootnoteReference"/>
        </w:rPr>
        <w:footnoteRef/>
      </w:r>
      <w:r w:rsidRPr="00947B1D">
        <w:rPr>
          <w:lang w:val="fr-BE"/>
        </w:rPr>
        <w:tab/>
        <w:t>Règlement (CE) nº 1184/2006 du Conseil du 24 juillet 2006 portant application de certaines règles de concurrence à la production et au commerce des produits agricoles (JO L 214, 4.8.2006, p. 7, ELI: http://data.europa.eu/eli/reg/2006/1184/oj).</w:t>
      </w:r>
    </w:p>
  </w:footnote>
  <w:footnote w:id="30">
    <w:p w14:paraId="03A6404D" w14:textId="77777777" w:rsidR="00E2310C" w:rsidRPr="00947B1D" w:rsidRDefault="00E2310C">
      <w:pPr>
        <w:pStyle w:val="FootnoteText"/>
        <w:rPr>
          <w:lang w:val="fr-BE"/>
        </w:rPr>
      </w:pPr>
      <w:r>
        <w:rPr>
          <w:rStyle w:val="FootnoteReference"/>
        </w:rPr>
        <w:footnoteRef/>
      </w:r>
      <w:r w:rsidRPr="00947B1D">
        <w:rPr>
          <w:lang w:val="fr-BE"/>
        </w:rPr>
        <w:tab/>
        <w:t>Règlement (UE) nº 1303/2013 du Parlement européen et du Conseil du 17 décembre 2013 portant dispositions communes relatives au Fonds européen de développement régional, au Fonds social européen, au Fonds de cohésion, au Fonds européen agricole pour le développement rural et au Fonds européen pour les affaires maritimes et la pêche, portant dispositions générales applicables au Fonds européen de développement régional, au Fonds social européen, au Fonds de cohésion et au Fonds européen pour les affaires maritimes et la pêche, et abrogeant le règlement (CE) nº 1083/2006 du Conseil (JO L 347 du 20.12.2013, p. 320, ELI: http://data.europa.eu/eli/reg/2013/1303/oj).</w:t>
      </w:r>
    </w:p>
  </w:footnote>
  <w:footnote w:id="31">
    <w:p w14:paraId="1BFD6ED7" w14:textId="77777777" w:rsidR="004A489F" w:rsidRPr="00947B1D" w:rsidRDefault="004A489F" w:rsidP="004A489F">
      <w:pPr>
        <w:pStyle w:val="FootnoteText"/>
        <w:rPr>
          <w:lang w:val="fr-BE"/>
        </w:rPr>
      </w:pPr>
      <w:r>
        <w:rPr>
          <w:rStyle w:val="FootnoteReference"/>
        </w:rPr>
        <w:footnoteRef/>
      </w:r>
      <w:r w:rsidRPr="00947B1D">
        <w:rPr>
          <w:lang w:val="fr-BE"/>
        </w:rPr>
        <w:tab/>
        <w:t>Tel(le) que visé(e) à l’article 58, paragraphe 2, point a) ou b), du règlement financier.</w:t>
      </w:r>
    </w:p>
  </w:footnote>
  <w:footnote w:id="32">
    <w:p w14:paraId="6491EFAA" w14:textId="77777777" w:rsidR="004A489F" w:rsidRPr="00947B1D" w:rsidRDefault="004A489F" w:rsidP="004A489F">
      <w:pPr>
        <w:pStyle w:val="FootnoteText"/>
        <w:rPr>
          <w:lang w:val="fr-BE"/>
        </w:rPr>
      </w:pPr>
      <w:r>
        <w:rPr>
          <w:rStyle w:val="FootnoteReference"/>
        </w:rPr>
        <w:footnoteRef/>
      </w:r>
      <w:r w:rsidRPr="00947B1D">
        <w:rPr>
          <w:lang w:val="fr-BE"/>
        </w:rPr>
        <w:tab/>
        <w:t>Le Fonds pourrait être (partiellement) délégué à une agence exécutive, sous réserve du résultat de l’analyse coûts/bénéfices et des décisions correspondantes à prendre, et les crédits administratifs correspondants pour la mise en œuvre du programme par la Commission et l’agence exécutive seraient dès lors adaptés en conséquence.</w:t>
      </w:r>
    </w:p>
  </w:footnote>
  <w:footnote w:id="33">
    <w:p w14:paraId="4DA44A7D" w14:textId="77777777" w:rsidR="004A489F" w:rsidRPr="00947B1D" w:rsidRDefault="004A489F" w:rsidP="004A489F">
      <w:pPr>
        <w:pStyle w:val="FootnoteText"/>
        <w:rPr>
          <w:szCs w:val="24"/>
          <w:lang w:val="fr-BE"/>
        </w:rPr>
      </w:pPr>
      <w:r>
        <w:rPr>
          <w:rStyle w:val="FootnoteReference"/>
        </w:rPr>
        <w:footnoteRef/>
      </w:r>
      <w:r w:rsidRPr="00947B1D">
        <w:rPr>
          <w:lang w:val="fr-BE"/>
        </w:rPr>
        <w:tab/>
        <w:t>En ce qui concerne les ressources propres traditionnelles (droits de douane, cotisations sur le sucre), les montants indiqués doivent être des montants nets, c’est-à-dire des montants bruts après déduction de 20 % de frais de perception.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CB7CB" w14:textId="77777777" w:rsidR="00972E68" w:rsidRDefault="00972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9297D" w14:textId="77777777" w:rsidR="00972E68" w:rsidRDefault="00972E68" w:rsidP="00972E68">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3EB91" w14:textId="77777777" w:rsidR="00972E68" w:rsidRPr="00972E68" w:rsidRDefault="00972E68" w:rsidP="00972E68">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97A7E" w14:textId="77777777" w:rsidR="00972E68" w:rsidRPr="00972E68" w:rsidRDefault="00972E68" w:rsidP="00972E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960AA" w14:textId="77777777" w:rsidR="00972E68" w:rsidRPr="00972E68" w:rsidRDefault="00972E68" w:rsidP="00972E68">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A45757"/>
    <w:multiLevelType w:val="hybridMultilevel"/>
    <w:tmpl w:val="91CCCDE0"/>
    <w:lvl w:ilvl="0" w:tplc="16ECB62E">
      <w:start w:val="1"/>
      <w:numFmt w:val="lowerRoman"/>
      <w:lvlText w:val="%1)"/>
      <w:lvlJc w:val="left"/>
      <w:pPr>
        <w:ind w:left="780" w:hanging="720"/>
      </w:pPr>
      <w:rPr>
        <w:rFonts w:hint="default"/>
        <w:color w:val="auto"/>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175B43"/>
    <w:multiLevelType w:val="hybridMultilevel"/>
    <w:tmpl w:val="4C0E105E"/>
    <w:lvl w:ilvl="0" w:tplc="24ECC1F8">
      <w:start w:val="1"/>
      <w:numFmt w:val="lowerRoman"/>
      <w:pStyle w:val="Point2n"/>
      <w:lvlText w:val="(%1)"/>
      <w:lvlJc w:val="right"/>
      <w:pPr>
        <w:ind w:left="1920" w:hanging="360"/>
      </w:pPr>
      <w:rPr>
        <w:rFonts w:hint="default"/>
      </w:rPr>
    </w:lvl>
    <w:lvl w:ilvl="1" w:tplc="175C81F4">
      <w:start w:val="1"/>
      <w:numFmt w:val="lowerLetter"/>
      <w:lvlText w:val="%2."/>
      <w:lvlJc w:val="left"/>
      <w:pPr>
        <w:ind w:left="2640" w:hanging="360"/>
      </w:pPr>
    </w:lvl>
    <w:lvl w:ilvl="2" w:tplc="F2C057F0">
      <w:start w:val="1"/>
      <w:numFmt w:val="lowerRoman"/>
      <w:lvlText w:val="%3."/>
      <w:lvlJc w:val="right"/>
      <w:pPr>
        <w:ind w:left="3360" w:hanging="180"/>
      </w:pPr>
    </w:lvl>
    <w:lvl w:ilvl="3" w:tplc="E954F0FA">
      <w:start w:val="1"/>
      <w:numFmt w:val="decimal"/>
      <w:lvlText w:val="%4."/>
      <w:lvlJc w:val="left"/>
      <w:pPr>
        <w:ind w:left="360" w:hanging="360"/>
      </w:pPr>
    </w:lvl>
    <w:lvl w:ilvl="4" w:tplc="510A454E">
      <w:start w:val="1"/>
      <w:numFmt w:val="lowerLetter"/>
      <w:lvlText w:val="%5."/>
      <w:lvlJc w:val="left"/>
      <w:pPr>
        <w:ind w:left="4800" w:hanging="360"/>
      </w:pPr>
    </w:lvl>
    <w:lvl w:ilvl="5" w:tplc="39F4A8CA">
      <w:start w:val="1"/>
      <w:numFmt w:val="lowerRoman"/>
      <w:lvlText w:val="%6."/>
      <w:lvlJc w:val="right"/>
      <w:pPr>
        <w:ind w:left="5520" w:hanging="180"/>
      </w:pPr>
    </w:lvl>
    <w:lvl w:ilvl="6" w:tplc="D7E4E56A">
      <w:start w:val="1"/>
      <w:numFmt w:val="decimal"/>
      <w:lvlText w:val="%7."/>
      <w:lvlJc w:val="left"/>
      <w:pPr>
        <w:ind w:left="6240" w:hanging="360"/>
      </w:pPr>
    </w:lvl>
    <w:lvl w:ilvl="7" w:tplc="935E04F6">
      <w:start w:val="1"/>
      <w:numFmt w:val="lowerLetter"/>
      <w:lvlText w:val="%8."/>
      <w:lvlJc w:val="left"/>
      <w:pPr>
        <w:ind w:left="6960" w:hanging="360"/>
      </w:pPr>
    </w:lvl>
    <w:lvl w:ilvl="8" w:tplc="B994D646">
      <w:start w:val="1"/>
      <w:numFmt w:val="lowerRoman"/>
      <w:lvlText w:val="%9."/>
      <w:lvlJc w:val="right"/>
      <w:pPr>
        <w:ind w:left="7680" w:hanging="18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6AD07083"/>
    <w:multiLevelType w:val="multilevel"/>
    <w:tmpl w:val="FEE0A2DC"/>
    <w:lvl w:ilvl="0">
      <w:start w:val="8"/>
      <w:numFmt w:val="decimal"/>
      <w:pStyle w:val="Letter0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D48D00"/>
    <w:multiLevelType w:val="multilevel"/>
    <w:tmpl w:val="6BD42436"/>
    <w:lvl w:ilvl="0">
      <w:start w:val="1"/>
      <w:numFmt w:val="lowerLetter"/>
      <w:pStyle w:val="Ponit1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3"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8"/>
  </w:num>
  <w:num w:numId="4">
    <w:abstractNumId w:val="18"/>
  </w:num>
  <w:num w:numId="5">
    <w:abstractNumId w:val="17"/>
  </w:num>
  <w:num w:numId="6">
    <w:abstractNumId w:val="31"/>
  </w:num>
  <w:num w:numId="7">
    <w:abstractNumId w:val="25"/>
  </w:num>
  <w:num w:numId="8">
    <w:abstractNumId w:val="32"/>
  </w:num>
  <w:num w:numId="9">
    <w:abstractNumId w:val="33"/>
  </w:num>
  <w:num w:numId="10">
    <w:abstractNumId w:val="1"/>
  </w:num>
  <w:num w:numId="11">
    <w:abstractNumId w:val="10"/>
  </w:num>
  <w:num w:numId="12">
    <w:abstractNumId w:val="2"/>
  </w:num>
  <w:num w:numId="13">
    <w:abstractNumId w:val="11"/>
  </w:num>
  <w:num w:numId="14">
    <w:abstractNumId w:val="9"/>
  </w:num>
  <w:num w:numId="15">
    <w:abstractNumId w:val="19"/>
  </w:num>
  <w:num w:numId="16">
    <w:abstractNumId w:val="7"/>
  </w:num>
  <w:num w:numId="17">
    <w:abstractNumId w:val="2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lvlOverride w:ilvl="0">
      <w:startOverride w:val="1"/>
    </w:lvlOverride>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lvlOverride w:ilvl="0">
      <w:startOverride w:val="1"/>
    </w:lvlOverride>
  </w:num>
  <w:num w:numId="55">
    <w:abstractNumId w:val="27"/>
    <w:lvlOverride w:ilvl="0">
      <w:startOverride w:val="1"/>
    </w:lvlOverride>
  </w:num>
  <w:num w:numId="56">
    <w:abstractNumId w:val="27"/>
    <w:lvlOverride w:ilvl="0">
      <w:startOverride w:val="1"/>
    </w:lvlOverride>
  </w:num>
  <w:num w:numId="57">
    <w:abstractNumId w:val="27"/>
    <w:lvlOverride w:ilvl="0">
      <w:startOverride w:val="1"/>
    </w:lvlOverride>
  </w:num>
  <w:num w:numId="58">
    <w:abstractNumId w:val="27"/>
    <w:lvlOverride w:ilvl="0">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lvlOverride w:ilvl="0">
      <w:startOverride w:val="1"/>
    </w:lvlOverride>
  </w:num>
  <w:num w:numId="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7"/>
    <w:lvlOverride w:ilvl="0">
      <w:startOverride w:val="1"/>
    </w:lvlOverride>
  </w:num>
  <w:num w:numId="64">
    <w:abstractNumId w:val="27"/>
    <w:lvlOverride w:ilvl="0">
      <w:startOverride w:val="1"/>
    </w:lvlOverride>
  </w:num>
  <w:num w:numId="65">
    <w:abstractNumId w:val="27"/>
    <w:lvlOverride w:ilvl="0">
      <w:startOverride w:val="1"/>
    </w:lvlOverride>
  </w:num>
  <w:num w:numId="66">
    <w:abstractNumId w:val="5"/>
    <w:lvlOverride w:ilvl="0">
      <w:startOverride w:val="1"/>
    </w:lvlOverride>
  </w:num>
  <w:num w:numId="67">
    <w:abstractNumId w:val="27"/>
    <w:lvlOverride w:ilvl="0">
      <w:startOverride w:val="1"/>
    </w:lvlOverride>
  </w:num>
  <w:num w:numId="68">
    <w:abstractNumId w:val="27"/>
    <w:lvlOverride w:ilvl="0">
      <w:startOverride w:val="1"/>
    </w:lvlOverride>
  </w:num>
  <w:num w:numId="69">
    <w:abstractNumId w:val="27"/>
    <w:lvlOverride w:ilvl="0">
      <w:startOverride w:val="1"/>
    </w:lvlOverride>
  </w:num>
  <w:num w:numId="70">
    <w:abstractNumId w:val="27"/>
    <w:lvlOverride w:ilvl="0">
      <w:startOverride w:val="1"/>
    </w:lvlOverride>
  </w:num>
  <w:num w:numId="71">
    <w:abstractNumId w:val="27"/>
    <w:lvlOverride w:ilvl="0">
      <w:startOverride w:val="1"/>
    </w:lvlOverride>
  </w:num>
  <w:num w:numId="72">
    <w:abstractNumId w:val="27"/>
    <w:lvlOverride w:ilvl="0">
      <w:startOverride w:val="1"/>
    </w:lvlOverride>
  </w:num>
  <w:num w:numId="73">
    <w:abstractNumId w:val="27"/>
    <w:lvlOverride w:ilvl="0">
      <w:startOverride w:val="1"/>
    </w:lvlOverride>
  </w:num>
  <w:num w:numId="74">
    <w:abstractNumId w:val="27"/>
    <w:lvlOverride w:ilvl="0">
      <w:startOverride w:val="1"/>
    </w:lvlOverride>
  </w:num>
  <w:num w:numId="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
  </w:num>
  <w:num w:numId="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7"/>
    <w:lvlOverride w:ilvl="0">
      <w:startOverride w:val="1"/>
    </w:lvlOverride>
  </w:num>
  <w:num w:numId="144">
    <w:abstractNumId w:val="27"/>
    <w:lvlOverride w:ilvl="0">
      <w:startOverride w:val="1"/>
    </w:lvlOverride>
  </w:num>
  <w:num w:numId="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
    <w:lvlOverride w:ilvl="0">
      <w:startOverride w:val="1"/>
    </w:lvlOverride>
  </w:num>
  <w:num w:numId="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7"/>
    <w:lvlOverride w:ilvl="0">
      <w:startOverride w:val="1"/>
    </w:lvlOverride>
  </w:num>
  <w:num w:numId="175">
    <w:abstractNumId w:val="27"/>
    <w:lvlOverride w:ilvl="0">
      <w:startOverride w:val="1"/>
    </w:lvlOverride>
  </w:num>
  <w:num w:numId="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7"/>
  </w:num>
  <w:num w:numId="178">
    <w:abstractNumId w:val="27"/>
    <w:lvlOverride w:ilvl="0">
      <w:startOverride w:val="1"/>
    </w:lvlOverride>
  </w:num>
  <w:num w:numId="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3"/>
  </w:num>
  <w:num w:numId="184">
    <w:abstractNumId w:val="27"/>
    <w:lvlOverride w:ilvl="0">
      <w:startOverride w:val="1"/>
    </w:lvlOverride>
  </w:num>
  <w:num w:numId="185">
    <w:abstractNumId w:val="27"/>
    <w:lvlOverride w:ilvl="0">
      <w:startOverride w:val="1"/>
    </w:lvlOverride>
  </w:num>
  <w:num w:numId="186">
    <w:abstractNumId w:val="27"/>
    <w:lvlOverride w:ilvl="0">
      <w:startOverride w:val="1"/>
    </w:lvlOverride>
  </w:num>
  <w:num w:numId="187">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7"/>
    <w:lvlOverride w:ilvl="0">
      <w:startOverride w:val="1"/>
    </w:lvlOverride>
  </w:num>
  <w:num w:numId="1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7"/>
    <w:lvlOverride w:ilvl="0">
      <w:startOverride w:val="1"/>
    </w:lvlOverride>
  </w:num>
  <w:num w:numId="193">
    <w:abstractNumId w:val="27"/>
    <w:lvlOverride w:ilvl="0">
      <w:startOverride w:val="1"/>
    </w:lvlOverride>
  </w:num>
  <w:num w:numId="194">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
    <w:lvlOverride w:ilvl="0">
      <w:startOverride w:val="1"/>
    </w:lvlOverride>
  </w:num>
  <w:num w:numId="197">
    <w:abstractNumId w:val="5"/>
    <w:lvlOverride w:ilvl="0">
      <w:startOverride w:val="1"/>
    </w:lvlOverride>
  </w:num>
  <w:num w:numId="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3"/>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3"/>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4"/>
  </w:num>
  <w:num w:numId="209">
    <w:abstractNumId w:val="12"/>
  </w:num>
  <w:num w:numId="210">
    <w:abstractNumId w:val="28"/>
  </w:num>
  <w:num w:numId="211">
    <w:abstractNumId w:val="6"/>
  </w:num>
  <w:num w:numId="212">
    <w:abstractNumId w:val="14"/>
  </w:num>
  <w:num w:numId="213">
    <w:abstractNumId w:val="15"/>
  </w:num>
  <w:num w:numId="214">
    <w:abstractNumId w:val="4"/>
  </w:num>
  <w:num w:numId="215">
    <w:abstractNumId w:val="26"/>
  </w:num>
  <w:num w:numId="216">
    <w:abstractNumId w:val="3"/>
  </w:num>
  <w:num w:numId="217">
    <w:abstractNumId w:val="16"/>
  </w:num>
  <w:num w:numId="218">
    <w:abstractNumId w:val="22"/>
  </w:num>
  <w:num w:numId="219">
    <w:abstractNumId w:val="23"/>
  </w:num>
  <w:num w:numId="220">
    <w:abstractNumId w:val="5"/>
  </w:num>
  <w:num w:numId="221">
    <w:abstractNumId w:val="20"/>
  </w:num>
  <w:num w:numId="222">
    <w:abstractNumId w:val="3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08 17:57:4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C5C8311-AD72-4389-926C-EDCB713A6C72"/>
    <w:docVar w:name="LW_COVERPAGE_TYPE" w:val="1"/>
    <w:docVar w:name="LW_CreatedUtc" w:val="2025-06-26T12:15:25.2555477Z"/>
    <w:docVar w:name="LW_CROSSREFERENCE" w:val="{SWD(2025) 565 final}"/>
    <w:docVar w:name="LW_DocType" w:val="COM"/>
    <w:docVar w:name="LW_EMISSION" w:val="16.7.2025"/>
    <w:docVar w:name="LW_EMISSION_ISODATE" w:val="2025-07-16"/>
    <w:docVar w:name="LW_EMISSION_LOCATION" w:val="BRX"/>
    <w:docVar w:name="LW_EMISSION_PREFIX" w:val="Bruxelles, le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240"/>
    <w:docVar w:name="LW_REF.II.NEW.CP_YEAR" w:val="2025"/>
    <w:docVar w:name="LW_REF.INST.NEW" w:val="COM"/>
    <w:docVar w:name="LW_REF.INST.NEW_ADOPTED" w:val="final"/>
    <w:docVar w:name="LW_REF.INST.NEW_TEXT" w:val="(2025) 5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lt;FMT:Style_Marker&gt;établissant le Fonds européen pour la cohésion économique, sociale et territoriale, l\u8217?agriculture et les zones rurales, la pêche et les affaires maritimes ainsi que la prospérité et la sécurité pour la période 2028\u8211?2034 et modifiant le règlement (UE) 2023/955 ainsi que le règlement (UE, Euratom) 2024/2509&lt;/FMT&gt;"/>
    <w:docVar w:name="LW_TYPE.DOC.CP" w:val="RÈGLEMENT DU PARLEMENT EUROPÉEN ET DU CONSEIL"/>
    <w:docVar w:name="LwApiVersions" w:val="LW4CoDe 1.24.5.0; LW 9.0, Build 20240221"/>
  </w:docVars>
  <w:rsids>
    <w:rsidRoot w:val="00186A9E"/>
    <w:rsid w:val="00000093"/>
    <w:rsid w:val="000001EC"/>
    <w:rsid w:val="00000227"/>
    <w:rsid w:val="000002C7"/>
    <w:rsid w:val="000002DF"/>
    <w:rsid w:val="00000331"/>
    <w:rsid w:val="00000384"/>
    <w:rsid w:val="0000069C"/>
    <w:rsid w:val="000007D2"/>
    <w:rsid w:val="000007D6"/>
    <w:rsid w:val="0000084A"/>
    <w:rsid w:val="000009E1"/>
    <w:rsid w:val="00000A38"/>
    <w:rsid w:val="00000C0E"/>
    <w:rsid w:val="00000CC8"/>
    <w:rsid w:val="00000CDB"/>
    <w:rsid w:val="00000D74"/>
    <w:rsid w:val="00000DA0"/>
    <w:rsid w:val="00000E0C"/>
    <w:rsid w:val="00000E3C"/>
    <w:rsid w:val="00000E59"/>
    <w:rsid w:val="00000E5A"/>
    <w:rsid w:val="00000F8A"/>
    <w:rsid w:val="00000FC7"/>
    <w:rsid w:val="00000FCA"/>
    <w:rsid w:val="00001008"/>
    <w:rsid w:val="00001191"/>
    <w:rsid w:val="00001193"/>
    <w:rsid w:val="0000120A"/>
    <w:rsid w:val="0000124A"/>
    <w:rsid w:val="00001332"/>
    <w:rsid w:val="000014A9"/>
    <w:rsid w:val="00001527"/>
    <w:rsid w:val="00001556"/>
    <w:rsid w:val="0000168D"/>
    <w:rsid w:val="000016AD"/>
    <w:rsid w:val="00001820"/>
    <w:rsid w:val="00001892"/>
    <w:rsid w:val="00001895"/>
    <w:rsid w:val="000018A6"/>
    <w:rsid w:val="00001A71"/>
    <w:rsid w:val="00001AAB"/>
    <w:rsid w:val="00001AE2"/>
    <w:rsid w:val="00001C74"/>
    <w:rsid w:val="00001D34"/>
    <w:rsid w:val="00001D7B"/>
    <w:rsid w:val="00001DB1"/>
    <w:rsid w:val="00001E17"/>
    <w:rsid w:val="00001E6B"/>
    <w:rsid w:val="00001EE3"/>
    <w:rsid w:val="00001F61"/>
    <w:rsid w:val="00001F8C"/>
    <w:rsid w:val="00002003"/>
    <w:rsid w:val="0000204A"/>
    <w:rsid w:val="0000205E"/>
    <w:rsid w:val="000020D1"/>
    <w:rsid w:val="00002173"/>
    <w:rsid w:val="0000217C"/>
    <w:rsid w:val="000021A0"/>
    <w:rsid w:val="000021DA"/>
    <w:rsid w:val="000023B6"/>
    <w:rsid w:val="000023FD"/>
    <w:rsid w:val="0000241E"/>
    <w:rsid w:val="0000262A"/>
    <w:rsid w:val="000026A5"/>
    <w:rsid w:val="0000273D"/>
    <w:rsid w:val="0000279A"/>
    <w:rsid w:val="0000281B"/>
    <w:rsid w:val="00002835"/>
    <w:rsid w:val="000028E7"/>
    <w:rsid w:val="000029B0"/>
    <w:rsid w:val="00002A68"/>
    <w:rsid w:val="00002ABE"/>
    <w:rsid w:val="00002B3E"/>
    <w:rsid w:val="00002B6A"/>
    <w:rsid w:val="00002EC2"/>
    <w:rsid w:val="00002EFB"/>
    <w:rsid w:val="00003379"/>
    <w:rsid w:val="00003481"/>
    <w:rsid w:val="000034F2"/>
    <w:rsid w:val="00003801"/>
    <w:rsid w:val="000038D1"/>
    <w:rsid w:val="00003939"/>
    <w:rsid w:val="00003972"/>
    <w:rsid w:val="00003998"/>
    <w:rsid w:val="0000399C"/>
    <w:rsid w:val="000039FE"/>
    <w:rsid w:val="00003A34"/>
    <w:rsid w:val="00003B17"/>
    <w:rsid w:val="00003C10"/>
    <w:rsid w:val="00003CAC"/>
    <w:rsid w:val="00003F69"/>
    <w:rsid w:val="00004002"/>
    <w:rsid w:val="00004009"/>
    <w:rsid w:val="0000411B"/>
    <w:rsid w:val="0000413D"/>
    <w:rsid w:val="00004296"/>
    <w:rsid w:val="000042FA"/>
    <w:rsid w:val="00004469"/>
    <w:rsid w:val="00004583"/>
    <w:rsid w:val="0000462B"/>
    <w:rsid w:val="00004723"/>
    <w:rsid w:val="00004757"/>
    <w:rsid w:val="000048F7"/>
    <w:rsid w:val="00004905"/>
    <w:rsid w:val="00004AB4"/>
    <w:rsid w:val="00004B73"/>
    <w:rsid w:val="00004D0B"/>
    <w:rsid w:val="00004DA7"/>
    <w:rsid w:val="00004DD8"/>
    <w:rsid w:val="00005061"/>
    <w:rsid w:val="0000506A"/>
    <w:rsid w:val="000050B2"/>
    <w:rsid w:val="000052ED"/>
    <w:rsid w:val="000053CE"/>
    <w:rsid w:val="000053F9"/>
    <w:rsid w:val="00005674"/>
    <w:rsid w:val="0000567B"/>
    <w:rsid w:val="00005BE7"/>
    <w:rsid w:val="00005D0D"/>
    <w:rsid w:val="00005EDD"/>
    <w:rsid w:val="00005FA0"/>
    <w:rsid w:val="00006001"/>
    <w:rsid w:val="00006057"/>
    <w:rsid w:val="000060F2"/>
    <w:rsid w:val="000060FE"/>
    <w:rsid w:val="0000611C"/>
    <w:rsid w:val="00006183"/>
    <w:rsid w:val="000062C4"/>
    <w:rsid w:val="0000635C"/>
    <w:rsid w:val="00006433"/>
    <w:rsid w:val="000064CA"/>
    <w:rsid w:val="00006695"/>
    <w:rsid w:val="000066A0"/>
    <w:rsid w:val="00006735"/>
    <w:rsid w:val="0000678B"/>
    <w:rsid w:val="000067BD"/>
    <w:rsid w:val="0000692E"/>
    <w:rsid w:val="00006A5E"/>
    <w:rsid w:val="00006A84"/>
    <w:rsid w:val="00006DA8"/>
    <w:rsid w:val="00006DB6"/>
    <w:rsid w:val="00006DD7"/>
    <w:rsid w:val="00006E60"/>
    <w:rsid w:val="00007036"/>
    <w:rsid w:val="00007055"/>
    <w:rsid w:val="0000709F"/>
    <w:rsid w:val="0000713B"/>
    <w:rsid w:val="000071E6"/>
    <w:rsid w:val="0000726E"/>
    <w:rsid w:val="00007329"/>
    <w:rsid w:val="00007368"/>
    <w:rsid w:val="000073D9"/>
    <w:rsid w:val="0000740A"/>
    <w:rsid w:val="0000741F"/>
    <w:rsid w:val="00007461"/>
    <w:rsid w:val="0000749A"/>
    <w:rsid w:val="000074CA"/>
    <w:rsid w:val="0000768B"/>
    <w:rsid w:val="000076CD"/>
    <w:rsid w:val="00007742"/>
    <w:rsid w:val="00007790"/>
    <w:rsid w:val="000078E3"/>
    <w:rsid w:val="00007A13"/>
    <w:rsid w:val="00007B2D"/>
    <w:rsid w:val="00007B40"/>
    <w:rsid w:val="00007B9A"/>
    <w:rsid w:val="00007DA2"/>
    <w:rsid w:val="00007E69"/>
    <w:rsid w:val="00007F34"/>
    <w:rsid w:val="00007F39"/>
    <w:rsid w:val="000102A9"/>
    <w:rsid w:val="000103A8"/>
    <w:rsid w:val="00010445"/>
    <w:rsid w:val="00010508"/>
    <w:rsid w:val="00010616"/>
    <w:rsid w:val="00010622"/>
    <w:rsid w:val="0001067E"/>
    <w:rsid w:val="000106D4"/>
    <w:rsid w:val="000107AA"/>
    <w:rsid w:val="00010955"/>
    <w:rsid w:val="00010A83"/>
    <w:rsid w:val="00010A8F"/>
    <w:rsid w:val="00010C58"/>
    <w:rsid w:val="00010CCD"/>
    <w:rsid w:val="00011011"/>
    <w:rsid w:val="0001126E"/>
    <w:rsid w:val="000112EC"/>
    <w:rsid w:val="000112FC"/>
    <w:rsid w:val="00011378"/>
    <w:rsid w:val="000114A3"/>
    <w:rsid w:val="0001160F"/>
    <w:rsid w:val="00011627"/>
    <w:rsid w:val="000116A9"/>
    <w:rsid w:val="00011732"/>
    <w:rsid w:val="00011779"/>
    <w:rsid w:val="0001191A"/>
    <w:rsid w:val="00011BC8"/>
    <w:rsid w:val="00011CF3"/>
    <w:rsid w:val="00011D06"/>
    <w:rsid w:val="00011D1D"/>
    <w:rsid w:val="00011DDA"/>
    <w:rsid w:val="00011E61"/>
    <w:rsid w:val="00011F2F"/>
    <w:rsid w:val="00012160"/>
    <w:rsid w:val="00012177"/>
    <w:rsid w:val="0001217C"/>
    <w:rsid w:val="0001218E"/>
    <w:rsid w:val="0001237B"/>
    <w:rsid w:val="000123BD"/>
    <w:rsid w:val="000124CE"/>
    <w:rsid w:val="000124F1"/>
    <w:rsid w:val="00012534"/>
    <w:rsid w:val="00012571"/>
    <w:rsid w:val="00012573"/>
    <w:rsid w:val="0001268C"/>
    <w:rsid w:val="000126CD"/>
    <w:rsid w:val="0001272D"/>
    <w:rsid w:val="0001275B"/>
    <w:rsid w:val="00012785"/>
    <w:rsid w:val="000128C8"/>
    <w:rsid w:val="00012A6C"/>
    <w:rsid w:val="00012B5E"/>
    <w:rsid w:val="00012C52"/>
    <w:rsid w:val="00012D43"/>
    <w:rsid w:val="00012E01"/>
    <w:rsid w:val="00012E41"/>
    <w:rsid w:val="00012E4D"/>
    <w:rsid w:val="00012E5B"/>
    <w:rsid w:val="00012EC3"/>
    <w:rsid w:val="00013227"/>
    <w:rsid w:val="0001323F"/>
    <w:rsid w:val="00013284"/>
    <w:rsid w:val="000134B5"/>
    <w:rsid w:val="00013533"/>
    <w:rsid w:val="00013584"/>
    <w:rsid w:val="0001358C"/>
    <w:rsid w:val="00013664"/>
    <w:rsid w:val="000136A3"/>
    <w:rsid w:val="000137F5"/>
    <w:rsid w:val="0001385C"/>
    <w:rsid w:val="000138EB"/>
    <w:rsid w:val="00013972"/>
    <w:rsid w:val="0001398F"/>
    <w:rsid w:val="000139C5"/>
    <w:rsid w:val="00013A8A"/>
    <w:rsid w:val="00013BD4"/>
    <w:rsid w:val="00013C03"/>
    <w:rsid w:val="00013CDC"/>
    <w:rsid w:val="00013DB4"/>
    <w:rsid w:val="00013DF8"/>
    <w:rsid w:val="00013F5C"/>
    <w:rsid w:val="000140F9"/>
    <w:rsid w:val="00014186"/>
    <w:rsid w:val="00014484"/>
    <w:rsid w:val="0001453A"/>
    <w:rsid w:val="0001459C"/>
    <w:rsid w:val="0001488A"/>
    <w:rsid w:val="0001491A"/>
    <w:rsid w:val="00014924"/>
    <w:rsid w:val="00014970"/>
    <w:rsid w:val="00014AE2"/>
    <w:rsid w:val="00014B12"/>
    <w:rsid w:val="00014C6B"/>
    <w:rsid w:val="00014CBA"/>
    <w:rsid w:val="00014D56"/>
    <w:rsid w:val="00014D7F"/>
    <w:rsid w:val="00014E1E"/>
    <w:rsid w:val="00014ECD"/>
    <w:rsid w:val="00014F1B"/>
    <w:rsid w:val="00015135"/>
    <w:rsid w:val="00015357"/>
    <w:rsid w:val="000153F9"/>
    <w:rsid w:val="0001549C"/>
    <w:rsid w:val="00015503"/>
    <w:rsid w:val="00015538"/>
    <w:rsid w:val="00015675"/>
    <w:rsid w:val="000157F8"/>
    <w:rsid w:val="00015824"/>
    <w:rsid w:val="00015B70"/>
    <w:rsid w:val="00015C06"/>
    <w:rsid w:val="00016004"/>
    <w:rsid w:val="0001603B"/>
    <w:rsid w:val="00016086"/>
    <w:rsid w:val="000160FB"/>
    <w:rsid w:val="00016114"/>
    <w:rsid w:val="00016387"/>
    <w:rsid w:val="000163B9"/>
    <w:rsid w:val="000163C6"/>
    <w:rsid w:val="000163E7"/>
    <w:rsid w:val="0001654E"/>
    <w:rsid w:val="000165C3"/>
    <w:rsid w:val="000166CE"/>
    <w:rsid w:val="0001670E"/>
    <w:rsid w:val="000167ED"/>
    <w:rsid w:val="00016AED"/>
    <w:rsid w:val="00016B3A"/>
    <w:rsid w:val="00016C0F"/>
    <w:rsid w:val="00016CD5"/>
    <w:rsid w:val="00016D54"/>
    <w:rsid w:val="00016DAE"/>
    <w:rsid w:val="00017282"/>
    <w:rsid w:val="000172BE"/>
    <w:rsid w:val="00017390"/>
    <w:rsid w:val="00017493"/>
    <w:rsid w:val="0001757A"/>
    <w:rsid w:val="000175A9"/>
    <w:rsid w:val="00017655"/>
    <w:rsid w:val="0001767D"/>
    <w:rsid w:val="00017768"/>
    <w:rsid w:val="00017786"/>
    <w:rsid w:val="00017790"/>
    <w:rsid w:val="000177ED"/>
    <w:rsid w:val="000177F2"/>
    <w:rsid w:val="00017867"/>
    <w:rsid w:val="000179A3"/>
    <w:rsid w:val="00017A3B"/>
    <w:rsid w:val="00017A82"/>
    <w:rsid w:val="00017AAC"/>
    <w:rsid w:val="00017B06"/>
    <w:rsid w:val="00017BB0"/>
    <w:rsid w:val="00017BB1"/>
    <w:rsid w:val="00017CA1"/>
    <w:rsid w:val="00017CEE"/>
    <w:rsid w:val="00017D35"/>
    <w:rsid w:val="00017FC5"/>
    <w:rsid w:val="0002006B"/>
    <w:rsid w:val="00020186"/>
    <w:rsid w:val="00020216"/>
    <w:rsid w:val="0002023E"/>
    <w:rsid w:val="000202B0"/>
    <w:rsid w:val="000202D6"/>
    <w:rsid w:val="000202F8"/>
    <w:rsid w:val="0002038C"/>
    <w:rsid w:val="0002042B"/>
    <w:rsid w:val="0002061F"/>
    <w:rsid w:val="00020731"/>
    <w:rsid w:val="0002076D"/>
    <w:rsid w:val="00020799"/>
    <w:rsid w:val="00020988"/>
    <w:rsid w:val="00020A42"/>
    <w:rsid w:val="00020A8E"/>
    <w:rsid w:val="00020B1D"/>
    <w:rsid w:val="00020C12"/>
    <w:rsid w:val="00020D2D"/>
    <w:rsid w:val="00020D7E"/>
    <w:rsid w:val="00020DB5"/>
    <w:rsid w:val="00020DE6"/>
    <w:rsid w:val="00020E13"/>
    <w:rsid w:val="00020E37"/>
    <w:rsid w:val="00020E43"/>
    <w:rsid w:val="0002101C"/>
    <w:rsid w:val="00021056"/>
    <w:rsid w:val="000210A4"/>
    <w:rsid w:val="000210E1"/>
    <w:rsid w:val="0002122F"/>
    <w:rsid w:val="0002140E"/>
    <w:rsid w:val="00021569"/>
    <w:rsid w:val="00021634"/>
    <w:rsid w:val="0002166E"/>
    <w:rsid w:val="000216CE"/>
    <w:rsid w:val="00021937"/>
    <w:rsid w:val="00021993"/>
    <w:rsid w:val="00021A3C"/>
    <w:rsid w:val="00021A71"/>
    <w:rsid w:val="00021C1F"/>
    <w:rsid w:val="00021C5F"/>
    <w:rsid w:val="00021CC9"/>
    <w:rsid w:val="00021CD6"/>
    <w:rsid w:val="00021D8F"/>
    <w:rsid w:val="00021DB3"/>
    <w:rsid w:val="00021DD0"/>
    <w:rsid w:val="00021EF3"/>
    <w:rsid w:val="00021F3D"/>
    <w:rsid w:val="00021FC2"/>
    <w:rsid w:val="00021FF1"/>
    <w:rsid w:val="0002200B"/>
    <w:rsid w:val="00022038"/>
    <w:rsid w:val="000220D7"/>
    <w:rsid w:val="00022111"/>
    <w:rsid w:val="0002212D"/>
    <w:rsid w:val="00022293"/>
    <w:rsid w:val="000222A1"/>
    <w:rsid w:val="000222DD"/>
    <w:rsid w:val="0002233E"/>
    <w:rsid w:val="0002238E"/>
    <w:rsid w:val="00022464"/>
    <w:rsid w:val="000224BD"/>
    <w:rsid w:val="00022606"/>
    <w:rsid w:val="00022609"/>
    <w:rsid w:val="000226B0"/>
    <w:rsid w:val="000226BE"/>
    <w:rsid w:val="00022792"/>
    <w:rsid w:val="000229D8"/>
    <w:rsid w:val="00022A4D"/>
    <w:rsid w:val="00022BA6"/>
    <w:rsid w:val="00022CA7"/>
    <w:rsid w:val="00022CE5"/>
    <w:rsid w:val="00022D5A"/>
    <w:rsid w:val="00022D90"/>
    <w:rsid w:val="00022F21"/>
    <w:rsid w:val="00023033"/>
    <w:rsid w:val="00023081"/>
    <w:rsid w:val="000231AD"/>
    <w:rsid w:val="000231B9"/>
    <w:rsid w:val="00023236"/>
    <w:rsid w:val="00023249"/>
    <w:rsid w:val="0002331E"/>
    <w:rsid w:val="00023325"/>
    <w:rsid w:val="00023341"/>
    <w:rsid w:val="000233B9"/>
    <w:rsid w:val="00023527"/>
    <w:rsid w:val="00023564"/>
    <w:rsid w:val="000235A3"/>
    <w:rsid w:val="00023615"/>
    <w:rsid w:val="00023735"/>
    <w:rsid w:val="0002374D"/>
    <w:rsid w:val="00023779"/>
    <w:rsid w:val="000237C6"/>
    <w:rsid w:val="000237CB"/>
    <w:rsid w:val="000238A2"/>
    <w:rsid w:val="00023B81"/>
    <w:rsid w:val="00023C4B"/>
    <w:rsid w:val="00023CA7"/>
    <w:rsid w:val="00023CBE"/>
    <w:rsid w:val="00023D8C"/>
    <w:rsid w:val="00023DBD"/>
    <w:rsid w:val="00023DD1"/>
    <w:rsid w:val="00023DFB"/>
    <w:rsid w:val="00023E02"/>
    <w:rsid w:val="00023E10"/>
    <w:rsid w:val="00023E75"/>
    <w:rsid w:val="00023E89"/>
    <w:rsid w:val="00023EEA"/>
    <w:rsid w:val="00023F09"/>
    <w:rsid w:val="00023F3A"/>
    <w:rsid w:val="00024008"/>
    <w:rsid w:val="00024028"/>
    <w:rsid w:val="0002402D"/>
    <w:rsid w:val="0002420D"/>
    <w:rsid w:val="00024274"/>
    <w:rsid w:val="000243B9"/>
    <w:rsid w:val="000243C8"/>
    <w:rsid w:val="00024574"/>
    <w:rsid w:val="000245E3"/>
    <w:rsid w:val="000245EC"/>
    <w:rsid w:val="0002461F"/>
    <w:rsid w:val="000246BE"/>
    <w:rsid w:val="00024804"/>
    <w:rsid w:val="000248AC"/>
    <w:rsid w:val="00024B0B"/>
    <w:rsid w:val="00024BF5"/>
    <w:rsid w:val="00024ECA"/>
    <w:rsid w:val="00024FEB"/>
    <w:rsid w:val="00025001"/>
    <w:rsid w:val="000251A3"/>
    <w:rsid w:val="00025446"/>
    <w:rsid w:val="000255D4"/>
    <w:rsid w:val="000255E4"/>
    <w:rsid w:val="000256B0"/>
    <w:rsid w:val="000258C0"/>
    <w:rsid w:val="000258DE"/>
    <w:rsid w:val="00025932"/>
    <w:rsid w:val="000259CB"/>
    <w:rsid w:val="00025C62"/>
    <w:rsid w:val="00025C8C"/>
    <w:rsid w:val="00025D31"/>
    <w:rsid w:val="00025D39"/>
    <w:rsid w:val="00025DA4"/>
    <w:rsid w:val="00025DB7"/>
    <w:rsid w:val="00025DBC"/>
    <w:rsid w:val="00025E2F"/>
    <w:rsid w:val="00026151"/>
    <w:rsid w:val="0002617F"/>
    <w:rsid w:val="000263D9"/>
    <w:rsid w:val="00026404"/>
    <w:rsid w:val="00026522"/>
    <w:rsid w:val="00026573"/>
    <w:rsid w:val="0002683D"/>
    <w:rsid w:val="00026967"/>
    <w:rsid w:val="00026B12"/>
    <w:rsid w:val="00026C6B"/>
    <w:rsid w:val="00026CFE"/>
    <w:rsid w:val="00026FDB"/>
    <w:rsid w:val="0002703D"/>
    <w:rsid w:val="00027415"/>
    <w:rsid w:val="0002759C"/>
    <w:rsid w:val="000275F8"/>
    <w:rsid w:val="000276B1"/>
    <w:rsid w:val="000276FE"/>
    <w:rsid w:val="00027728"/>
    <w:rsid w:val="0002774C"/>
    <w:rsid w:val="000277EF"/>
    <w:rsid w:val="00027850"/>
    <w:rsid w:val="0002790B"/>
    <w:rsid w:val="000279A5"/>
    <w:rsid w:val="000279C5"/>
    <w:rsid w:val="000279FA"/>
    <w:rsid w:val="00027A93"/>
    <w:rsid w:val="00027C75"/>
    <w:rsid w:val="00027EA0"/>
    <w:rsid w:val="00027F65"/>
    <w:rsid w:val="00027FF1"/>
    <w:rsid w:val="00030012"/>
    <w:rsid w:val="0003004E"/>
    <w:rsid w:val="0003006F"/>
    <w:rsid w:val="000300E5"/>
    <w:rsid w:val="00030127"/>
    <w:rsid w:val="000301E8"/>
    <w:rsid w:val="0003026B"/>
    <w:rsid w:val="000302B8"/>
    <w:rsid w:val="0003053F"/>
    <w:rsid w:val="000305C4"/>
    <w:rsid w:val="00030682"/>
    <w:rsid w:val="000308F5"/>
    <w:rsid w:val="000309F9"/>
    <w:rsid w:val="00030A12"/>
    <w:rsid w:val="00030A37"/>
    <w:rsid w:val="00030B31"/>
    <w:rsid w:val="00030BAE"/>
    <w:rsid w:val="00030BF6"/>
    <w:rsid w:val="00030C86"/>
    <w:rsid w:val="00030D38"/>
    <w:rsid w:val="00030D9D"/>
    <w:rsid w:val="00030E9D"/>
    <w:rsid w:val="00030ED7"/>
    <w:rsid w:val="00030F19"/>
    <w:rsid w:val="00030F7C"/>
    <w:rsid w:val="00031074"/>
    <w:rsid w:val="000311E4"/>
    <w:rsid w:val="0003122B"/>
    <w:rsid w:val="0003131C"/>
    <w:rsid w:val="000313C0"/>
    <w:rsid w:val="00031596"/>
    <w:rsid w:val="00031687"/>
    <w:rsid w:val="000316AA"/>
    <w:rsid w:val="00031892"/>
    <w:rsid w:val="0003190D"/>
    <w:rsid w:val="00031929"/>
    <w:rsid w:val="00031A12"/>
    <w:rsid w:val="00031AF1"/>
    <w:rsid w:val="00031B15"/>
    <w:rsid w:val="00031B56"/>
    <w:rsid w:val="00031C0B"/>
    <w:rsid w:val="00031C24"/>
    <w:rsid w:val="00031D08"/>
    <w:rsid w:val="00031DCE"/>
    <w:rsid w:val="00031EA5"/>
    <w:rsid w:val="000320EF"/>
    <w:rsid w:val="00032207"/>
    <w:rsid w:val="000322C7"/>
    <w:rsid w:val="000322D7"/>
    <w:rsid w:val="000323D7"/>
    <w:rsid w:val="000324B7"/>
    <w:rsid w:val="000324CC"/>
    <w:rsid w:val="000325C9"/>
    <w:rsid w:val="000326FC"/>
    <w:rsid w:val="00032706"/>
    <w:rsid w:val="00032711"/>
    <w:rsid w:val="00032732"/>
    <w:rsid w:val="00032849"/>
    <w:rsid w:val="00032B6D"/>
    <w:rsid w:val="00032C64"/>
    <w:rsid w:val="00032D77"/>
    <w:rsid w:val="00032D9D"/>
    <w:rsid w:val="00032F34"/>
    <w:rsid w:val="00032F54"/>
    <w:rsid w:val="00032FF3"/>
    <w:rsid w:val="0003309D"/>
    <w:rsid w:val="000330B7"/>
    <w:rsid w:val="00033211"/>
    <w:rsid w:val="00033285"/>
    <w:rsid w:val="00033290"/>
    <w:rsid w:val="00033316"/>
    <w:rsid w:val="0003339E"/>
    <w:rsid w:val="00033426"/>
    <w:rsid w:val="0003350E"/>
    <w:rsid w:val="0003351C"/>
    <w:rsid w:val="00033587"/>
    <w:rsid w:val="0003368C"/>
    <w:rsid w:val="000336E9"/>
    <w:rsid w:val="000337E0"/>
    <w:rsid w:val="00033952"/>
    <w:rsid w:val="00033EB4"/>
    <w:rsid w:val="00033F4D"/>
    <w:rsid w:val="0003406C"/>
    <w:rsid w:val="000340C4"/>
    <w:rsid w:val="000340FB"/>
    <w:rsid w:val="0003413A"/>
    <w:rsid w:val="000341D3"/>
    <w:rsid w:val="000341E8"/>
    <w:rsid w:val="00034227"/>
    <w:rsid w:val="000342DA"/>
    <w:rsid w:val="0003435C"/>
    <w:rsid w:val="000343C6"/>
    <w:rsid w:val="000343D0"/>
    <w:rsid w:val="00034611"/>
    <w:rsid w:val="00034779"/>
    <w:rsid w:val="00034816"/>
    <w:rsid w:val="000348F4"/>
    <w:rsid w:val="00034930"/>
    <w:rsid w:val="00034972"/>
    <w:rsid w:val="0003498A"/>
    <w:rsid w:val="000349A9"/>
    <w:rsid w:val="00034AEF"/>
    <w:rsid w:val="00034BBC"/>
    <w:rsid w:val="00034C2F"/>
    <w:rsid w:val="00034CAA"/>
    <w:rsid w:val="00034CB5"/>
    <w:rsid w:val="00034CBB"/>
    <w:rsid w:val="00034D31"/>
    <w:rsid w:val="00034F3D"/>
    <w:rsid w:val="00034F74"/>
    <w:rsid w:val="000351EB"/>
    <w:rsid w:val="00035270"/>
    <w:rsid w:val="00035280"/>
    <w:rsid w:val="000352CA"/>
    <w:rsid w:val="000354C9"/>
    <w:rsid w:val="000354EB"/>
    <w:rsid w:val="000354FE"/>
    <w:rsid w:val="00035553"/>
    <w:rsid w:val="0003559B"/>
    <w:rsid w:val="000355F0"/>
    <w:rsid w:val="0003565A"/>
    <w:rsid w:val="00035688"/>
    <w:rsid w:val="000356D8"/>
    <w:rsid w:val="000356F1"/>
    <w:rsid w:val="000356F8"/>
    <w:rsid w:val="000358BF"/>
    <w:rsid w:val="0003592F"/>
    <w:rsid w:val="000359C7"/>
    <w:rsid w:val="00035A7D"/>
    <w:rsid w:val="00035B8D"/>
    <w:rsid w:val="00035D46"/>
    <w:rsid w:val="00035E5E"/>
    <w:rsid w:val="00035F32"/>
    <w:rsid w:val="00035F82"/>
    <w:rsid w:val="00036115"/>
    <w:rsid w:val="0003615A"/>
    <w:rsid w:val="00036235"/>
    <w:rsid w:val="00036431"/>
    <w:rsid w:val="00036470"/>
    <w:rsid w:val="0003664F"/>
    <w:rsid w:val="0003667B"/>
    <w:rsid w:val="000366D5"/>
    <w:rsid w:val="00036924"/>
    <w:rsid w:val="0003698D"/>
    <w:rsid w:val="000369AA"/>
    <w:rsid w:val="00036A0E"/>
    <w:rsid w:val="00036A79"/>
    <w:rsid w:val="00036B6F"/>
    <w:rsid w:val="00036CA7"/>
    <w:rsid w:val="00036E8E"/>
    <w:rsid w:val="00036EA8"/>
    <w:rsid w:val="00036F31"/>
    <w:rsid w:val="00036F70"/>
    <w:rsid w:val="00036FCC"/>
    <w:rsid w:val="0003705A"/>
    <w:rsid w:val="000370DF"/>
    <w:rsid w:val="0003729B"/>
    <w:rsid w:val="000372A0"/>
    <w:rsid w:val="000372BE"/>
    <w:rsid w:val="00037301"/>
    <w:rsid w:val="00037332"/>
    <w:rsid w:val="00037502"/>
    <w:rsid w:val="000375D5"/>
    <w:rsid w:val="00037684"/>
    <w:rsid w:val="000376D2"/>
    <w:rsid w:val="000377CA"/>
    <w:rsid w:val="00037C58"/>
    <w:rsid w:val="00037D04"/>
    <w:rsid w:val="00037DC8"/>
    <w:rsid w:val="00037F81"/>
    <w:rsid w:val="00037FE7"/>
    <w:rsid w:val="0004005A"/>
    <w:rsid w:val="0004023A"/>
    <w:rsid w:val="000403A5"/>
    <w:rsid w:val="0004040C"/>
    <w:rsid w:val="000404D1"/>
    <w:rsid w:val="0004058F"/>
    <w:rsid w:val="000406F6"/>
    <w:rsid w:val="000407DB"/>
    <w:rsid w:val="000408E3"/>
    <w:rsid w:val="00040914"/>
    <w:rsid w:val="000409BA"/>
    <w:rsid w:val="00040A7F"/>
    <w:rsid w:val="00040B12"/>
    <w:rsid w:val="00040B1D"/>
    <w:rsid w:val="00040BC5"/>
    <w:rsid w:val="00040D0C"/>
    <w:rsid w:val="00040E2C"/>
    <w:rsid w:val="000410AC"/>
    <w:rsid w:val="000410F6"/>
    <w:rsid w:val="00041294"/>
    <w:rsid w:val="0004132B"/>
    <w:rsid w:val="0004136B"/>
    <w:rsid w:val="00041398"/>
    <w:rsid w:val="000413FF"/>
    <w:rsid w:val="00041409"/>
    <w:rsid w:val="000414CF"/>
    <w:rsid w:val="000414E7"/>
    <w:rsid w:val="000414F2"/>
    <w:rsid w:val="000415C5"/>
    <w:rsid w:val="000416AD"/>
    <w:rsid w:val="00041730"/>
    <w:rsid w:val="000417F3"/>
    <w:rsid w:val="0004193F"/>
    <w:rsid w:val="00041AA4"/>
    <w:rsid w:val="00041ADC"/>
    <w:rsid w:val="00041C39"/>
    <w:rsid w:val="00041C64"/>
    <w:rsid w:val="00041DB1"/>
    <w:rsid w:val="00041E4F"/>
    <w:rsid w:val="00041E53"/>
    <w:rsid w:val="00041F12"/>
    <w:rsid w:val="00041F1A"/>
    <w:rsid w:val="00041F62"/>
    <w:rsid w:val="00042036"/>
    <w:rsid w:val="0004203C"/>
    <w:rsid w:val="0004207B"/>
    <w:rsid w:val="0004213A"/>
    <w:rsid w:val="00042178"/>
    <w:rsid w:val="000421E6"/>
    <w:rsid w:val="00042334"/>
    <w:rsid w:val="00042346"/>
    <w:rsid w:val="000423BF"/>
    <w:rsid w:val="000423C7"/>
    <w:rsid w:val="0004242D"/>
    <w:rsid w:val="00042474"/>
    <w:rsid w:val="0004257E"/>
    <w:rsid w:val="0004259C"/>
    <w:rsid w:val="000425C1"/>
    <w:rsid w:val="000428F8"/>
    <w:rsid w:val="00042960"/>
    <w:rsid w:val="00042A5F"/>
    <w:rsid w:val="00042AC0"/>
    <w:rsid w:val="00042AFF"/>
    <w:rsid w:val="00042C32"/>
    <w:rsid w:val="00042C80"/>
    <w:rsid w:val="00042C8D"/>
    <w:rsid w:val="00042CBE"/>
    <w:rsid w:val="00042CC7"/>
    <w:rsid w:val="00042D08"/>
    <w:rsid w:val="00042DBB"/>
    <w:rsid w:val="00042DFA"/>
    <w:rsid w:val="00042E48"/>
    <w:rsid w:val="00042E62"/>
    <w:rsid w:val="00043116"/>
    <w:rsid w:val="000431C1"/>
    <w:rsid w:val="000432BD"/>
    <w:rsid w:val="000433C2"/>
    <w:rsid w:val="0004343B"/>
    <w:rsid w:val="00043466"/>
    <w:rsid w:val="000435B0"/>
    <w:rsid w:val="00043751"/>
    <w:rsid w:val="00043AF5"/>
    <w:rsid w:val="00043B0F"/>
    <w:rsid w:val="00043B42"/>
    <w:rsid w:val="00043B97"/>
    <w:rsid w:val="00043BDA"/>
    <w:rsid w:val="00043BFF"/>
    <w:rsid w:val="00043CCA"/>
    <w:rsid w:val="00043D6F"/>
    <w:rsid w:val="00043EA1"/>
    <w:rsid w:val="00043EDD"/>
    <w:rsid w:val="00043FA6"/>
    <w:rsid w:val="0004401C"/>
    <w:rsid w:val="000440DB"/>
    <w:rsid w:val="000441E3"/>
    <w:rsid w:val="00044213"/>
    <w:rsid w:val="0004423F"/>
    <w:rsid w:val="00044429"/>
    <w:rsid w:val="00044494"/>
    <w:rsid w:val="00044512"/>
    <w:rsid w:val="0004462F"/>
    <w:rsid w:val="00044678"/>
    <w:rsid w:val="00044686"/>
    <w:rsid w:val="000447A8"/>
    <w:rsid w:val="00044939"/>
    <w:rsid w:val="000449FC"/>
    <w:rsid w:val="00044AD1"/>
    <w:rsid w:val="00044B11"/>
    <w:rsid w:val="00044B99"/>
    <w:rsid w:val="00044ECD"/>
    <w:rsid w:val="00044F1F"/>
    <w:rsid w:val="00044FAB"/>
    <w:rsid w:val="000451A7"/>
    <w:rsid w:val="000451D4"/>
    <w:rsid w:val="00045222"/>
    <w:rsid w:val="000452FA"/>
    <w:rsid w:val="000453A5"/>
    <w:rsid w:val="000453D0"/>
    <w:rsid w:val="000455EC"/>
    <w:rsid w:val="0004567F"/>
    <w:rsid w:val="00045779"/>
    <w:rsid w:val="000458B2"/>
    <w:rsid w:val="0004591A"/>
    <w:rsid w:val="000459A7"/>
    <w:rsid w:val="00045AEE"/>
    <w:rsid w:val="00045B7D"/>
    <w:rsid w:val="00045BA9"/>
    <w:rsid w:val="00045C55"/>
    <w:rsid w:val="00045C9C"/>
    <w:rsid w:val="00045D64"/>
    <w:rsid w:val="00045DD3"/>
    <w:rsid w:val="00045E62"/>
    <w:rsid w:val="00046045"/>
    <w:rsid w:val="0004604B"/>
    <w:rsid w:val="00046223"/>
    <w:rsid w:val="00046274"/>
    <w:rsid w:val="00046295"/>
    <w:rsid w:val="000463A5"/>
    <w:rsid w:val="00046444"/>
    <w:rsid w:val="00046562"/>
    <w:rsid w:val="00046733"/>
    <w:rsid w:val="0004677C"/>
    <w:rsid w:val="000468B8"/>
    <w:rsid w:val="00046910"/>
    <w:rsid w:val="00046943"/>
    <w:rsid w:val="000469A7"/>
    <w:rsid w:val="00046A0E"/>
    <w:rsid w:val="00046A31"/>
    <w:rsid w:val="00046A70"/>
    <w:rsid w:val="00046A8F"/>
    <w:rsid w:val="00046C8A"/>
    <w:rsid w:val="00046CDA"/>
    <w:rsid w:val="00046D0F"/>
    <w:rsid w:val="00046D59"/>
    <w:rsid w:val="00046E4A"/>
    <w:rsid w:val="00046F25"/>
    <w:rsid w:val="00046F5A"/>
    <w:rsid w:val="00047036"/>
    <w:rsid w:val="0004703C"/>
    <w:rsid w:val="000470B7"/>
    <w:rsid w:val="000470FC"/>
    <w:rsid w:val="00047144"/>
    <w:rsid w:val="00047196"/>
    <w:rsid w:val="000471D6"/>
    <w:rsid w:val="0004732C"/>
    <w:rsid w:val="00047351"/>
    <w:rsid w:val="00047398"/>
    <w:rsid w:val="0004749C"/>
    <w:rsid w:val="00047532"/>
    <w:rsid w:val="000476F5"/>
    <w:rsid w:val="000477AE"/>
    <w:rsid w:val="00047868"/>
    <w:rsid w:val="00047A9F"/>
    <w:rsid w:val="00047CD4"/>
    <w:rsid w:val="00047E02"/>
    <w:rsid w:val="00047E09"/>
    <w:rsid w:val="00047E12"/>
    <w:rsid w:val="0005002E"/>
    <w:rsid w:val="00050046"/>
    <w:rsid w:val="0005006E"/>
    <w:rsid w:val="00050139"/>
    <w:rsid w:val="00050192"/>
    <w:rsid w:val="00050229"/>
    <w:rsid w:val="00050327"/>
    <w:rsid w:val="0005034D"/>
    <w:rsid w:val="000503AB"/>
    <w:rsid w:val="0005046A"/>
    <w:rsid w:val="0005048F"/>
    <w:rsid w:val="000504DB"/>
    <w:rsid w:val="0005068E"/>
    <w:rsid w:val="0005099D"/>
    <w:rsid w:val="00050A79"/>
    <w:rsid w:val="00050A8D"/>
    <w:rsid w:val="00050AAF"/>
    <w:rsid w:val="00050C8B"/>
    <w:rsid w:val="00050CEA"/>
    <w:rsid w:val="00050D0E"/>
    <w:rsid w:val="00050D4C"/>
    <w:rsid w:val="00050DE1"/>
    <w:rsid w:val="00050E91"/>
    <w:rsid w:val="00050F04"/>
    <w:rsid w:val="00050FE5"/>
    <w:rsid w:val="000510F5"/>
    <w:rsid w:val="0005117C"/>
    <w:rsid w:val="000511C2"/>
    <w:rsid w:val="00051203"/>
    <w:rsid w:val="00051407"/>
    <w:rsid w:val="0005146E"/>
    <w:rsid w:val="000514A7"/>
    <w:rsid w:val="000514FD"/>
    <w:rsid w:val="00051597"/>
    <w:rsid w:val="000515AD"/>
    <w:rsid w:val="0005174D"/>
    <w:rsid w:val="00051883"/>
    <w:rsid w:val="00051902"/>
    <w:rsid w:val="00051985"/>
    <w:rsid w:val="00051999"/>
    <w:rsid w:val="00051AB4"/>
    <w:rsid w:val="00051B9B"/>
    <w:rsid w:val="00051C3C"/>
    <w:rsid w:val="00051CF2"/>
    <w:rsid w:val="00051D1A"/>
    <w:rsid w:val="00051D66"/>
    <w:rsid w:val="00051DCB"/>
    <w:rsid w:val="00051E46"/>
    <w:rsid w:val="00051F34"/>
    <w:rsid w:val="00051FB0"/>
    <w:rsid w:val="00052162"/>
    <w:rsid w:val="00052195"/>
    <w:rsid w:val="00052308"/>
    <w:rsid w:val="0005238B"/>
    <w:rsid w:val="000523B9"/>
    <w:rsid w:val="000523E1"/>
    <w:rsid w:val="00052439"/>
    <w:rsid w:val="000524B4"/>
    <w:rsid w:val="000525C1"/>
    <w:rsid w:val="000525D1"/>
    <w:rsid w:val="00052752"/>
    <w:rsid w:val="000528CF"/>
    <w:rsid w:val="000528ED"/>
    <w:rsid w:val="00052940"/>
    <w:rsid w:val="00052946"/>
    <w:rsid w:val="0005298A"/>
    <w:rsid w:val="00052A4D"/>
    <w:rsid w:val="00052B5B"/>
    <w:rsid w:val="00052B6D"/>
    <w:rsid w:val="00052BCA"/>
    <w:rsid w:val="00052C54"/>
    <w:rsid w:val="00052D5E"/>
    <w:rsid w:val="00052E43"/>
    <w:rsid w:val="00052FCA"/>
    <w:rsid w:val="00052FE5"/>
    <w:rsid w:val="00053082"/>
    <w:rsid w:val="000530AA"/>
    <w:rsid w:val="000530AC"/>
    <w:rsid w:val="000531ED"/>
    <w:rsid w:val="000532CE"/>
    <w:rsid w:val="0005340F"/>
    <w:rsid w:val="00053476"/>
    <w:rsid w:val="000536E3"/>
    <w:rsid w:val="0005371E"/>
    <w:rsid w:val="00053828"/>
    <w:rsid w:val="0005382B"/>
    <w:rsid w:val="00053968"/>
    <w:rsid w:val="00053981"/>
    <w:rsid w:val="00053BB7"/>
    <w:rsid w:val="00053BE1"/>
    <w:rsid w:val="00053C2F"/>
    <w:rsid w:val="00053C5D"/>
    <w:rsid w:val="00053C68"/>
    <w:rsid w:val="00053CB3"/>
    <w:rsid w:val="000541D4"/>
    <w:rsid w:val="000542C9"/>
    <w:rsid w:val="00054307"/>
    <w:rsid w:val="0005430C"/>
    <w:rsid w:val="00054344"/>
    <w:rsid w:val="000543F4"/>
    <w:rsid w:val="000544E4"/>
    <w:rsid w:val="000545A8"/>
    <w:rsid w:val="000545E2"/>
    <w:rsid w:val="00054655"/>
    <w:rsid w:val="000546A0"/>
    <w:rsid w:val="000546C1"/>
    <w:rsid w:val="00054983"/>
    <w:rsid w:val="000549EC"/>
    <w:rsid w:val="00054A09"/>
    <w:rsid w:val="00054A37"/>
    <w:rsid w:val="00054B85"/>
    <w:rsid w:val="00054BE6"/>
    <w:rsid w:val="00054CA4"/>
    <w:rsid w:val="00054D3F"/>
    <w:rsid w:val="00054D7B"/>
    <w:rsid w:val="00054E84"/>
    <w:rsid w:val="00054EC3"/>
    <w:rsid w:val="00054F1C"/>
    <w:rsid w:val="00054F94"/>
    <w:rsid w:val="000550E1"/>
    <w:rsid w:val="00055106"/>
    <w:rsid w:val="000551DE"/>
    <w:rsid w:val="00055283"/>
    <w:rsid w:val="00055296"/>
    <w:rsid w:val="00055385"/>
    <w:rsid w:val="000554BC"/>
    <w:rsid w:val="00055520"/>
    <w:rsid w:val="0005552B"/>
    <w:rsid w:val="000555D2"/>
    <w:rsid w:val="000556DD"/>
    <w:rsid w:val="000556F8"/>
    <w:rsid w:val="00055758"/>
    <w:rsid w:val="0005585B"/>
    <w:rsid w:val="00055924"/>
    <w:rsid w:val="00055973"/>
    <w:rsid w:val="000559CD"/>
    <w:rsid w:val="00055B4C"/>
    <w:rsid w:val="00055BBE"/>
    <w:rsid w:val="00055CF3"/>
    <w:rsid w:val="00055D48"/>
    <w:rsid w:val="00055E87"/>
    <w:rsid w:val="000560AB"/>
    <w:rsid w:val="00056200"/>
    <w:rsid w:val="000562E2"/>
    <w:rsid w:val="0005634D"/>
    <w:rsid w:val="00056368"/>
    <w:rsid w:val="000563E7"/>
    <w:rsid w:val="000563F7"/>
    <w:rsid w:val="0005659E"/>
    <w:rsid w:val="00056762"/>
    <w:rsid w:val="000568DC"/>
    <w:rsid w:val="0005694E"/>
    <w:rsid w:val="00056960"/>
    <w:rsid w:val="000569A3"/>
    <w:rsid w:val="00056A10"/>
    <w:rsid w:val="00056A58"/>
    <w:rsid w:val="00056A94"/>
    <w:rsid w:val="00056CC6"/>
    <w:rsid w:val="00056CD8"/>
    <w:rsid w:val="00056E3D"/>
    <w:rsid w:val="00056EEF"/>
    <w:rsid w:val="00056F6F"/>
    <w:rsid w:val="0005700E"/>
    <w:rsid w:val="000570EC"/>
    <w:rsid w:val="00057188"/>
    <w:rsid w:val="000573AA"/>
    <w:rsid w:val="0005745F"/>
    <w:rsid w:val="0005749B"/>
    <w:rsid w:val="0005752C"/>
    <w:rsid w:val="00057627"/>
    <w:rsid w:val="00057635"/>
    <w:rsid w:val="00057838"/>
    <w:rsid w:val="00057939"/>
    <w:rsid w:val="00057A16"/>
    <w:rsid w:val="00057AB6"/>
    <w:rsid w:val="00057AD5"/>
    <w:rsid w:val="00057CFF"/>
    <w:rsid w:val="00057D09"/>
    <w:rsid w:val="00057D53"/>
    <w:rsid w:val="00057EB7"/>
    <w:rsid w:val="00057EDD"/>
    <w:rsid w:val="00057EF3"/>
    <w:rsid w:val="00060008"/>
    <w:rsid w:val="00060077"/>
    <w:rsid w:val="000600A5"/>
    <w:rsid w:val="000600D7"/>
    <w:rsid w:val="000601A2"/>
    <w:rsid w:val="000601B3"/>
    <w:rsid w:val="000601CA"/>
    <w:rsid w:val="000602F0"/>
    <w:rsid w:val="00060358"/>
    <w:rsid w:val="0006037A"/>
    <w:rsid w:val="00060381"/>
    <w:rsid w:val="00060609"/>
    <w:rsid w:val="0006061D"/>
    <w:rsid w:val="00060683"/>
    <w:rsid w:val="00060928"/>
    <w:rsid w:val="00060A41"/>
    <w:rsid w:val="00060B9E"/>
    <w:rsid w:val="00060D89"/>
    <w:rsid w:val="00060D98"/>
    <w:rsid w:val="00060DC8"/>
    <w:rsid w:val="00060E0F"/>
    <w:rsid w:val="00060EC9"/>
    <w:rsid w:val="00060F40"/>
    <w:rsid w:val="00061000"/>
    <w:rsid w:val="00061025"/>
    <w:rsid w:val="00061096"/>
    <w:rsid w:val="00061149"/>
    <w:rsid w:val="0006129F"/>
    <w:rsid w:val="0006132D"/>
    <w:rsid w:val="000613E5"/>
    <w:rsid w:val="0006150B"/>
    <w:rsid w:val="00061524"/>
    <w:rsid w:val="00061592"/>
    <w:rsid w:val="000617B2"/>
    <w:rsid w:val="00061802"/>
    <w:rsid w:val="00061813"/>
    <w:rsid w:val="00061832"/>
    <w:rsid w:val="00061846"/>
    <w:rsid w:val="000619C8"/>
    <w:rsid w:val="00061A2D"/>
    <w:rsid w:val="00061B60"/>
    <w:rsid w:val="00061C49"/>
    <w:rsid w:val="00061D53"/>
    <w:rsid w:val="00061D7F"/>
    <w:rsid w:val="00061EE4"/>
    <w:rsid w:val="00061F86"/>
    <w:rsid w:val="00061FD4"/>
    <w:rsid w:val="000620E5"/>
    <w:rsid w:val="00062111"/>
    <w:rsid w:val="000621AF"/>
    <w:rsid w:val="000621D6"/>
    <w:rsid w:val="0006231E"/>
    <w:rsid w:val="000623C1"/>
    <w:rsid w:val="0006252D"/>
    <w:rsid w:val="00062567"/>
    <w:rsid w:val="0006262B"/>
    <w:rsid w:val="00062690"/>
    <w:rsid w:val="00062704"/>
    <w:rsid w:val="0006274E"/>
    <w:rsid w:val="000627C9"/>
    <w:rsid w:val="00062804"/>
    <w:rsid w:val="00062806"/>
    <w:rsid w:val="000628F3"/>
    <w:rsid w:val="000629C8"/>
    <w:rsid w:val="00062A56"/>
    <w:rsid w:val="00062ABF"/>
    <w:rsid w:val="00062B12"/>
    <w:rsid w:val="00062B37"/>
    <w:rsid w:val="00062D02"/>
    <w:rsid w:val="00062D87"/>
    <w:rsid w:val="00062DED"/>
    <w:rsid w:val="0006306A"/>
    <w:rsid w:val="00063200"/>
    <w:rsid w:val="00063390"/>
    <w:rsid w:val="000633BE"/>
    <w:rsid w:val="000633C3"/>
    <w:rsid w:val="000636C4"/>
    <w:rsid w:val="00063797"/>
    <w:rsid w:val="000637A1"/>
    <w:rsid w:val="000637A7"/>
    <w:rsid w:val="00063876"/>
    <w:rsid w:val="00063923"/>
    <w:rsid w:val="00063A46"/>
    <w:rsid w:val="00063C61"/>
    <w:rsid w:val="00063E00"/>
    <w:rsid w:val="00063ECF"/>
    <w:rsid w:val="00063EF9"/>
    <w:rsid w:val="00063F08"/>
    <w:rsid w:val="00063F88"/>
    <w:rsid w:val="00063F9D"/>
    <w:rsid w:val="0006416F"/>
    <w:rsid w:val="00064241"/>
    <w:rsid w:val="00064262"/>
    <w:rsid w:val="000642C4"/>
    <w:rsid w:val="00064583"/>
    <w:rsid w:val="00064694"/>
    <w:rsid w:val="00064879"/>
    <w:rsid w:val="0006491E"/>
    <w:rsid w:val="00064937"/>
    <w:rsid w:val="00064B89"/>
    <w:rsid w:val="00064BA4"/>
    <w:rsid w:val="00064C33"/>
    <w:rsid w:val="00064C78"/>
    <w:rsid w:val="00064CE4"/>
    <w:rsid w:val="00064E23"/>
    <w:rsid w:val="00064F68"/>
    <w:rsid w:val="00064FF6"/>
    <w:rsid w:val="00065000"/>
    <w:rsid w:val="000650C7"/>
    <w:rsid w:val="00065348"/>
    <w:rsid w:val="000653D5"/>
    <w:rsid w:val="000653DE"/>
    <w:rsid w:val="000655C4"/>
    <w:rsid w:val="00065774"/>
    <w:rsid w:val="00065843"/>
    <w:rsid w:val="00065891"/>
    <w:rsid w:val="0006591A"/>
    <w:rsid w:val="00065A31"/>
    <w:rsid w:val="00065B1D"/>
    <w:rsid w:val="00065B4E"/>
    <w:rsid w:val="00065BBB"/>
    <w:rsid w:val="00065C83"/>
    <w:rsid w:val="00065CCE"/>
    <w:rsid w:val="00065CE1"/>
    <w:rsid w:val="00065DC1"/>
    <w:rsid w:val="00065DD9"/>
    <w:rsid w:val="00065E21"/>
    <w:rsid w:val="00065E67"/>
    <w:rsid w:val="00065F6A"/>
    <w:rsid w:val="00066044"/>
    <w:rsid w:val="000661C9"/>
    <w:rsid w:val="0006624C"/>
    <w:rsid w:val="000662B7"/>
    <w:rsid w:val="000662F8"/>
    <w:rsid w:val="0006634D"/>
    <w:rsid w:val="000663FB"/>
    <w:rsid w:val="00066487"/>
    <w:rsid w:val="0006651E"/>
    <w:rsid w:val="00066534"/>
    <w:rsid w:val="000665B4"/>
    <w:rsid w:val="0006660E"/>
    <w:rsid w:val="00066754"/>
    <w:rsid w:val="000667BC"/>
    <w:rsid w:val="000667FA"/>
    <w:rsid w:val="00066832"/>
    <w:rsid w:val="00066930"/>
    <w:rsid w:val="00066A20"/>
    <w:rsid w:val="00066A2A"/>
    <w:rsid w:val="00066A2D"/>
    <w:rsid w:val="00066B6E"/>
    <w:rsid w:val="00066B8F"/>
    <w:rsid w:val="00066CA2"/>
    <w:rsid w:val="00066DD1"/>
    <w:rsid w:val="00066EA8"/>
    <w:rsid w:val="00066FB6"/>
    <w:rsid w:val="00067041"/>
    <w:rsid w:val="000671EA"/>
    <w:rsid w:val="00067387"/>
    <w:rsid w:val="000673AF"/>
    <w:rsid w:val="00067494"/>
    <w:rsid w:val="0006763A"/>
    <w:rsid w:val="000676B5"/>
    <w:rsid w:val="00067718"/>
    <w:rsid w:val="00067AA2"/>
    <w:rsid w:val="00067C8F"/>
    <w:rsid w:val="00067C95"/>
    <w:rsid w:val="00067D6A"/>
    <w:rsid w:val="00067DED"/>
    <w:rsid w:val="00067E09"/>
    <w:rsid w:val="00067F8D"/>
    <w:rsid w:val="00067FD4"/>
    <w:rsid w:val="0007013F"/>
    <w:rsid w:val="00070171"/>
    <w:rsid w:val="00070188"/>
    <w:rsid w:val="0007026D"/>
    <w:rsid w:val="0007038C"/>
    <w:rsid w:val="00070433"/>
    <w:rsid w:val="00070485"/>
    <w:rsid w:val="0007050C"/>
    <w:rsid w:val="000705CC"/>
    <w:rsid w:val="000705FE"/>
    <w:rsid w:val="00070842"/>
    <w:rsid w:val="0007095E"/>
    <w:rsid w:val="00070A10"/>
    <w:rsid w:val="00070A32"/>
    <w:rsid w:val="00070A4A"/>
    <w:rsid w:val="00070A72"/>
    <w:rsid w:val="00070B11"/>
    <w:rsid w:val="00070D84"/>
    <w:rsid w:val="00070DB6"/>
    <w:rsid w:val="00070EA4"/>
    <w:rsid w:val="00071009"/>
    <w:rsid w:val="00071041"/>
    <w:rsid w:val="0007106A"/>
    <w:rsid w:val="0007128E"/>
    <w:rsid w:val="000712B8"/>
    <w:rsid w:val="000712E7"/>
    <w:rsid w:val="0007130A"/>
    <w:rsid w:val="000714B8"/>
    <w:rsid w:val="000715B1"/>
    <w:rsid w:val="00071740"/>
    <w:rsid w:val="00071769"/>
    <w:rsid w:val="00071782"/>
    <w:rsid w:val="00071825"/>
    <w:rsid w:val="000719D6"/>
    <w:rsid w:val="00071BD8"/>
    <w:rsid w:val="00071C71"/>
    <w:rsid w:val="00071D40"/>
    <w:rsid w:val="00071E34"/>
    <w:rsid w:val="00071F60"/>
    <w:rsid w:val="0007206C"/>
    <w:rsid w:val="00072182"/>
    <w:rsid w:val="0007219A"/>
    <w:rsid w:val="00072206"/>
    <w:rsid w:val="00072398"/>
    <w:rsid w:val="000724B5"/>
    <w:rsid w:val="000724B7"/>
    <w:rsid w:val="000724EC"/>
    <w:rsid w:val="00072534"/>
    <w:rsid w:val="000728BC"/>
    <w:rsid w:val="000728EA"/>
    <w:rsid w:val="00072976"/>
    <w:rsid w:val="000729F0"/>
    <w:rsid w:val="00072AA4"/>
    <w:rsid w:val="00072D8F"/>
    <w:rsid w:val="00072EEC"/>
    <w:rsid w:val="00072F4F"/>
    <w:rsid w:val="00073083"/>
    <w:rsid w:val="0007309C"/>
    <w:rsid w:val="0007318D"/>
    <w:rsid w:val="00073320"/>
    <w:rsid w:val="00073366"/>
    <w:rsid w:val="00073379"/>
    <w:rsid w:val="00073574"/>
    <w:rsid w:val="00073892"/>
    <w:rsid w:val="000738E7"/>
    <w:rsid w:val="00073908"/>
    <w:rsid w:val="00073BAB"/>
    <w:rsid w:val="00073BCF"/>
    <w:rsid w:val="00073CB5"/>
    <w:rsid w:val="00073D41"/>
    <w:rsid w:val="00073D5D"/>
    <w:rsid w:val="00073E1F"/>
    <w:rsid w:val="00073F64"/>
    <w:rsid w:val="0007400D"/>
    <w:rsid w:val="00074010"/>
    <w:rsid w:val="000740CD"/>
    <w:rsid w:val="00074164"/>
    <w:rsid w:val="00074166"/>
    <w:rsid w:val="00074187"/>
    <w:rsid w:val="000741B1"/>
    <w:rsid w:val="000741F9"/>
    <w:rsid w:val="00074232"/>
    <w:rsid w:val="00074292"/>
    <w:rsid w:val="000742F4"/>
    <w:rsid w:val="0007433E"/>
    <w:rsid w:val="00074357"/>
    <w:rsid w:val="000745CD"/>
    <w:rsid w:val="000745E2"/>
    <w:rsid w:val="0007462D"/>
    <w:rsid w:val="0007471E"/>
    <w:rsid w:val="000747EF"/>
    <w:rsid w:val="00074972"/>
    <w:rsid w:val="00074A66"/>
    <w:rsid w:val="00074AA0"/>
    <w:rsid w:val="00074BCD"/>
    <w:rsid w:val="00074BFA"/>
    <w:rsid w:val="00074C86"/>
    <w:rsid w:val="00074D1A"/>
    <w:rsid w:val="00074D21"/>
    <w:rsid w:val="00075287"/>
    <w:rsid w:val="000753F7"/>
    <w:rsid w:val="0007542D"/>
    <w:rsid w:val="000754B2"/>
    <w:rsid w:val="00075662"/>
    <w:rsid w:val="0007572F"/>
    <w:rsid w:val="00075A07"/>
    <w:rsid w:val="00075A9A"/>
    <w:rsid w:val="00075B8C"/>
    <w:rsid w:val="00075DB8"/>
    <w:rsid w:val="00075E40"/>
    <w:rsid w:val="00075EF1"/>
    <w:rsid w:val="00075EF6"/>
    <w:rsid w:val="00076003"/>
    <w:rsid w:val="0007603F"/>
    <w:rsid w:val="0007613C"/>
    <w:rsid w:val="0007617D"/>
    <w:rsid w:val="000762FF"/>
    <w:rsid w:val="000765D8"/>
    <w:rsid w:val="00076677"/>
    <w:rsid w:val="000766F1"/>
    <w:rsid w:val="000768DE"/>
    <w:rsid w:val="00076B6A"/>
    <w:rsid w:val="00076C8D"/>
    <w:rsid w:val="00076CA2"/>
    <w:rsid w:val="00076CDC"/>
    <w:rsid w:val="000770A6"/>
    <w:rsid w:val="000770AD"/>
    <w:rsid w:val="00077267"/>
    <w:rsid w:val="000772A5"/>
    <w:rsid w:val="00077348"/>
    <w:rsid w:val="000773AC"/>
    <w:rsid w:val="00077454"/>
    <w:rsid w:val="0007759A"/>
    <w:rsid w:val="0007776D"/>
    <w:rsid w:val="00077799"/>
    <w:rsid w:val="000777E5"/>
    <w:rsid w:val="00077862"/>
    <w:rsid w:val="000778AE"/>
    <w:rsid w:val="000778D4"/>
    <w:rsid w:val="000778FB"/>
    <w:rsid w:val="00077974"/>
    <w:rsid w:val="000779A2"/>
    <w:rsid w:val="000779B2"/>
    <w:rsid w:val="00077A87"/>
    <w:rsid w:val="00077B87"/>
    <w:rsid w:val="00077C9C"/>
    <w:rsid w:val="00077D86"/>
    <w:rsid w:val="00077FC4"/>
    <w:rsid w:val="000800E5"/>
    <w:rsid w:val="00080185"/>
    <w:rsid w:val="000803DE"/>
    <w:rsid w:val="00080577"/>
    <w:rsid w:val="00080582"/>
    <w:rsid w:val="0008059F"/>
    <w:rsid w:val="0008064A"/>
    <w:rsid w:val="0008065D"/>
    <w:rsid w:val="000806CC"/>
    <w:rsid w:val="000806D6"/>
    <w:rsid w:val="00080872"/>
    <w:rsid w:val="0008094E"/>
    <w:rsid w:val="000809A5"/>
    <w:rsid w:val="00080A53"/>
    <w:rsid w:val="00080AF6"/>
    <w:rsid w:val="00080B76"/>
    <w:rsid w:val="00080C64"/>
    <w:rsid w:val="00080D97"/>
    <w:rsid w:val="00080E00"/>
    <w:rsid w:val="00080E91"/>
    <w:rsid w:val="00080E9D"/>
    <w:rsid w:val="0008100D"/>
    <w:rsid w:val="000812FA"/>
    <w:rsid w:val="00081303"/>
    <w:rsid w:val="0008165D"/>
    <w:rsid w:val="00081660"/>
    <w:rsid w:val="00081677"/>
    <w:rsid w:val="000816B7"/>
    <w:rsid w:val="000816F0"/>
    <w:rsid w:val="00081723"/>
    <w:rsid w:val="000818F4"/>
    <w:rsid w:val="00081923"/>
    <w:rsid w:val="000819E8"/>
    <w:rsid w:val="00081ACA"/>
    <w:rsid w:val="00081BA3"/>
    <w:rsid w:val="00081C52"/>
    <w:rsid w:val="00081C89"/>
    <w:rsid w:val="00081CDC"/>
    <w:rsid w:val="00081E31"/>
    <w:rsid w:val="00081F70"/>
    <w:rsid w:val="00081FC0"/>
    <w:rsid w:val="00081FED"/>
    <w:rsid w:val="00082020"/>
    <w:rsid w:val="0008209C"/>
    <w:rsid w:val="000820FD"/>
    <w:rsid w:val="00082380"/>
    <w:rsid w:val="0008251B"/>
    <w:rsid w:val="000825EB"/>
    <w:rsid w:val="000826FF"/>
    <w:rsid w:val="00082819"/>
    <w:rsid w:val="00082846"/>
    <w:rsid w:val="0008287E"/>
    <w:rsid w:val="00082905"/>
    <w:rsid w:val="000829CB"/>
    <w:rsid w:val="00082AA7"/>
    <w:rsid w:val="00082B67"/>
    <w:rsid w:val="00082B9B"/>
    <w:rsid w:val="00082BC3"/>
    <w:rsid w:val="00082D81"/>
    <w:rsid w:val="00082EAE"/>
    <w:rsid w:val="00082EC6"/>
    <w:rsid w:val="00082FD2"/>
    <w:rsid w:val="00083014"/>
    <w:rsid w:val="000830BA"/>
    <w:rsid w:val="000830D8"/>
    <w:rsid w:val="00083255"/>
    <w:rsid w:val="000832B2"/>
    <w:rsid w:val="00083361"/>
    <w:rsid w:val="000833FD"/>
    <w:rsid w:val="00083435"/>
    <w:rsid w:val="000834BC"/>
    <w:rsid w:val="000834C6"/>
    <w:rsid w:val="000836BC"/>
    <w:rsid w:val="0008375D"/>
    <w:rsid w:val="00083762"/>
    <w:rsid w:val="00083805"/>
    <w:rsid w:val="00083869"/>
    <w:rsid w:val="0008390A"/>
    <w:rsid w:val="00083A20"/>
    <w:rsid w:val="00083A8E"/>
    <w:rsid w:val="00083BD4"/>
    <w:rsid w:val="00083DE7"/>
    <w:rsid w:val="00083EA9"/>
    <w:rsid w:val="00083EE1"/>
    <w:rsid w:val="000841FF"/>
    <w:rsid w:val="00084335"/>
    <w:rsid w:val="000843AE"/>
    <w:rsid w:val="0008448F"/>
    <w:rsid w:val="0008456D"/>
    <w:rsid w:val="00084822"/>
    <w:rsid w:val="00084882"/>
    <w:rsid w:val="0008492E"/>
    <w:rsid w:val="00084A1A"/>
    <w:rsid w:val="00084A2B"/>
    <w:rsid w:val="00084A54"/>
    <w:rsid w:val="00084AA1"/>
    <w:rsid w:val="00084BD7"/>
    <w:rsid w:val="00084D24"/>
    <w:rsid w:val="00084E53"/>
    <w:rsid w:val="00084EEE"/>
    <w:rsid w:val="00084F89"/>
    <w:rsid w:val="00084FEE"/>
    <w:rsid w:val="0008513D"/>
    <w:rsid w:val="0008519F"/>
    <w:rsid w:val="00085277"/>
    <w:rsid w:val="000852BA"/>
    <w:rsid w:val="0008531D"/>
    <w:rsid w:val="00085320"/>
    <w:rsid w:val="00085325"/>
    <w:rsid w:val="00085380"/>
    <w:rsid w:val="000853E6"/>
    <w:rsid w:val="0008541B"/>
    <w:rsid w:val="0008544A"/>
    <w:rsid w:val="0008556D"/>
    <w:rsid w:val="000855B2"/>
    <w:rsid w:val="000855DD"/>
    <w:rsid w:val="00085690"/>
    <w:rsid w:val="000856C9"/>
    <w:rsid w:val="0008588A"/>
    <w:rsid w:val="00085977"/>
    <w:rsid w:val="00085A77"/>
    <w:rsid w:val="00085AE0"/>
    <w:rsid w:val="00085B03"/>
    <w:rsid w:val="00085B7A"/>
    <w:rsid w:val="00085BC9"/>
    <w:rsid w:val="00085BED"/>
    <w:rsid w:val="00085BFF"/>
    <w:rsid w:val="00085C27"/>
    <w:rsid w:val="00085DB1"/>
    <w:rsid w:val="00085F0C"/>
    <w:rsid w:val="00085F42"/>
    <w:rsid w:val="00086048"/>
    <w:rsid w:val="0008605A"/>
    <w:rsid w:val="000861C6"/>
    <w:rsid w:val="000862E6"/>
    <w:rsid w:val="000862E8"/>
    <w:rsid w:val="000862F1"/>
    <w:rsid w:val="00086449"/>
    <w:rsid w:val="00086493"/>
    <w:rsid w:val="0008661E"/>
    <w:rsid w:val="000866FB"/>
    <w:rsid w:val="00086A00"/>
    <w:rsid w:val="00086B65"/>
    <w:rsid w:val="00086C09"/>
    <w:rsid w:val="00086C13"/>
    <w:rsid w:val="00087073"/>
    <w:rsid w:val="00087323"/>
    <w:rsid w:val="00087414"/>
    <w:rsid w:val="000874EF"/>
    <w:rsid w:val="000876ED"/>
    <w:rsid w:val="00087713"/>
    <w:rsid w:val="000877BD"/>
    <w:rsid w:val="000877D1"/>
    <w:rsid w:val="00087887"/>
    <w:rsid w:val="00087892"/>
    <w:rsid w:val="000878AC"/>
    <w:rsid w:val="000878FF"/>
    <w:rsid w:val="000879CA"/>
    <w:rsid w:val="00087AD0"/>
    <w:rsid w:val="00087B01"/>
    <w:rsid w:val="00087BB9"/>
    <w:rsid w:val="00087BF2"/>
    <w:rsid w:val="00087D44"/>
    <w:rsid w:val="00087D66"/>
    <w:rsid w:val="00087EAB"/>
    <w:rsid w:val="00087EE5"/>
    <w:rsid w:val="0009001E"/>
    <w:rsid w:val="000900CB"/>
    <w:rsid w:val="00090142"/>
    <w:rsid w:val="00090151"/>
    <w:rsid w:val="00090218"/>
    <w:rsid w:val="00090240"/>
    <w:rsid w:val="000904AF"/>
    <w:rsid w:val="000904D5"/>
    <w:rsid w:val="0009052C"/>
    <w:rsid w:val="0009054D"/>
    <w:rsid w:val="0009055F"/>
    <w:rsid w:val="0009060C"/>
    <w:rsid w:val="000906E2"/>
    <w:rsid w:val="00090714"/>
    <w:rsid w:val="00090B6F"/>
    <w:rsid w:val="00090CED"/>
    <w:rsid w:val="00090CFE"/>
    <w:rsid w:val="00090E6C"/>
    <w:rsid w:val="00090EBC"/>
    <w:rsid w:val="00090F57"/>
    <w:rsid w:val="00091018"/>
    <w:rsid w:val="000911BC"/>
    <w:rsid w:val="000912F0"/>
    <w:rsid w:val="00091344"/>
    <w:rsid w:val="00091496"/>
    <w:rsid w:val="00091528"/>
    <w:rsid w:val="0009152F"/>
    <w:rsid w:val="000915E2"/>
    <w:rsid w:val="000915EA"/>
    <w:rsid w:val="00091637"/>
    <w:rsid w:val="0009164A"/>
    <w:rsid w:val="00091688"/>
    <w:rsid w:val="00091A02"/>
    <w:rsid w:val="00091A13"/>
    <w:rsid w:val="00091AF8"/>
    <w:rsid w:val="00091BB5"/>
    <w:rsid w:val="00091C07"/>
    <w:rsid w:val="00091E1C"/>
    <w:rsid w:val="00091E49"/>
    <w:rsid w:val="00091EE1"/>
    <w:rsid w:val="000920BB"/>
    <w:rsid w:val="000921EC"/>
    <w:rsid w:val="00092241"/>
    <w:rsid w:val="000922AA"/>
    <w:rsid w:val="00092348"/>
    <w:rsid w:val="00092481"/>
    <w:rsid w:val="0009248E"/>
    <w:rsid w:val="0009253E"/>
    <w:rsid w:val="0009257E"/>
    <w:rsid w:val="00092846"/>
    <w:rsid w:val="0009293F"/>
    <w:rsid w:val="00092AD6"/>
    <w:rsid w:val="00092AFC"/>
    <w:rsid w:val="00092B9A"/>
    <w:rsid w:val="00092C6D"/>
    <w:rsid w:val="00092CC4"/>
    <w:rsid w:val="00092CE0"/>
    <w:rsid w:val="00092D87"/>
    <w:rsid w:val="00092DCE"/>
    <w:rsid w:val="00092DE6"/>
    <w:rsid w:val="00092E1A"/>
    <w:rsid w:val="00092E45"/>
    <w:rsid w:val="00092E54"/>
    <w:rsid w:val="00092EE7"/>
    <w:rsid w:val="00092F25"/>
    <w:rsid w:val="00092F91"/>
    <w:rsid w:val="0009313C"/>
    <w:rsid w:val="00093216"/>
    <w:rsid w:val="0009323C"/>
    <w:rsid w:val="0009323D"/>
    <w:rsid w:val="00093279"/>
    <w:rsid w:val="00093294"/>
    <w:rsid w:val="000932A9"/>
    <w:rsid w:val="0009353B"/>
    <w:rsid w:val="00093578"/>
    <w:rsid w:val="00093673"/>
    <w:rsid w:val="000938A0"/>
    <w:rsid w:val="0009392D"/>
    <w:rsid w:val="00093A0E"/>
    <w:rsid w:val="00093AD3"/>
    <w:rsid w:val="00093BD5"/>
    <w:rsid w:val="00093CB0"/>
    <w:rsid w:val="00093F41"/>
    <w:rsid w:val="00094074"/>
    <w:rsid w:val="00094118"/>
    <w:rsid w:val="00094272"/>
    <w:rsid w:val="000942D4"/>
    <w:rsid w:val="00094355"/>
    <w:rsid w:val="00094382"/>
    <w:rsid w:val="00094419"/>
    <w:rsid w:val="00094511"/>
    <w:rsid w:val="00094530"/>
    <w:rsid w:val="00094549"/>
    <w:rsid w:val="00094747"/>
    <w:rsid w:val="0009475F"/>
    <w:rsid w:val="000949C5"/>
    <w:rsid w:val="00094A2F"/>
    <w:rsid w:val="00094A9D"/>
    <w:rsid w:val="00094AA7"/>
    <w:rsid w:val="00094AB3"/>
    <w:rsid w:val="00094B7B"/>
    <w:rsid w:val="00094BFB"/>
    <w:rsid w:val="00094C17"/>
    <w:rsid w:val="00094C28"/>
    <w:rsid w:val="00094CDA"/>
    <w:rsid w:val="00094D03"/>
    <w:rsid w:val="00094D56"/>
    <w:rsid w:val="00094EF1"/>
    <w:rsid w:val="0009533E"/>
    <w:rsid w:val="000953ED"/>
    <w:rsid w:val="00095618"/>
    <w:rsid w:val="000956B8"/>
    <w:rsid w:val="000957AD"/>
    <w:rsid w:val="0009585B"/>
    <w:rsid w:val="000958AF"/>
    <w:rsid w:val="000959AD"/>
    <w:rsid w:val="00095B34"/>
    <w:rsid w:val="00095BB7"/>
    <w:rsid w:val="00095BC9"/>
    <w:rsid w:val="00095BDC"/>
    <w:rsid w:val="00095C24"/>
    <w:rsid w:val="00095C25"/>
    <w:rsid w:val="00095E49"/>
    <w:rsid w:val="00095E71"/>
    <w:rsid w:val="000960CE"/>
    <w:rsid w:val="0009618A"/>
    <w:rsid w:val="000961CA"/>
    <w:rsid w:val="000962A3"/>
    <w:rsid w:val="000962AC"/>
    <w:rsid w:val="000962C2"/>
    <w:rsid w:val="00096422"/>
    <w:rsid w:val="00096455"/>
    <w:rsid w:val="00096582"/>
    <w:rsid w:val="000965D8"/>
    <w:rsid w:val="0009669F"/>
    <w:rsid w:val="0009679C"/>
    <w:rsid w:val="00096826"/>
    <w:rsid w:val="000968CF"/>
    <w:rsid w:val="0009692B"/>
    <w:rsid w:val="00096948"/>
    <w:rsid w:val="00096B04"/>
    <w:rsid w:val="00096B8C"/>
    <w:rsid w:val="00096BE5"/>
    <w:rsid w:val="00096C0D"/>
    <w:rsid w:val="00096D2D"/>
    <w:rsid w:val="00096E91"/>
    <w:rsid w:val="00096EA4"/>
    <w:rsid w:val="00096FF0"/>
    <w:rsid w:val="0009705B"/>
    <w:rsid w:val="0009724D"/>
    <w:rsid w:val="00097418"/>
    <w:rsid w:val="0009741D"/>
    <w:rsid w:val="00097429"/>
    <w:rsid w:val="0009757E"/>
    <w:rsid w:val="00097657"/>
    <w:rsid w:val="00097752"/>
    <w:rsid w:val="000979CF"/>
    <w:rsid w:val="00097A38"/>
    <w:rsid w:val="00097B18"/>
    <w:rsid w:val="00097C2C"/>
    <w:rsid w:val="00097D52"/>
    <w:rsid w:val="00097DB9"/>
    <w:rsid w:val="00097DF8"/>
    <w:rsid w:val="00097E38"/>
    <w:rsid w:val="00097F52"/>
    <w:rsid w:val="00097F65"/>
    <w:rsid w:val="00097F73"/>
    <w:rsid w:val="000A0004"/>
    <w:rsid w:val="000A007F"/>
    <w:rsid w:val="000A008B"/>
    <w:rsid w:val="000A0267"/>
    <w:rsid w:val="000A0287"/>
    <w:rsid w:val="000A0348"/>
    <w:rsid w:val="000A03BB"/>
    <w:rsid w:val="000A063A"/>
    <w:rsid w:val="000A06D6"/>
    <w:rsid w:val="000A0792"/>
    <w:rsid w:val="000A07B6"/>
    <w:rsid w:val="000A07C3"/>
    <w:rsid w:val="000A07E2"/>
    <w:rsid w:val="000A0916"/>
    <w:rsid w:val="000A0944"/>
    <w:rsid w:val="000A0A32"/>
    <w:rsid w:val="000A0BE3"/>
    <w:rsid w:val="000A0CB5"/>
    <w:rsid w:val="000A0D1D"/>
    <w:rsid w:val="000A0D53"/>
    <w:rsid w:val="000A0D5A"/>
    <w:rsid w:val="000A102A"/>
    <w:rsid w:val="000A12C6"/>
    <w:rsid w:val="000A1331"/>
    <w:rsid w:val="000A13B8"/>
    <w:rsid w:val="000A1443"/>
    <w:rsid w:val="000A144D"/>
    <w:rsid w:val="000A14AF"/>
    <w:rsid w:val="000A14C0"/>
    <w:rsid w:val="000A14CC"/>
    <w:rsid w:val="000A15EE"/>
    <w:rsid w:val="000A163E"/>
    <w:rsid w:val="000A1777"/>
    <w:rsid w:val="000A1886"/>
    <w:rsid w:val="000A18D7"/>
    <w:rsid w:val="000A1AE1"/>
    <w:rsid w:val="000A1B39"/>
    <w:rsid w:val="000A1C80"/>
    <w:rsid w:val="000A1D8A"/>
    <w:rsid w:val="000A1DD0"/>
    <w:rsid w:val="000A1E33"/>
    <w:rsid w:val="000A1FA6"/>
    <w:rsid w:val="000A2111"/>
    <w:rsid w:val="000A227B"/>
    <w:rsid w:val="000A2285"/>
    <w:rsid w:val="000A22FD"/>
    <w:rsid w:val="000A23DE"/>
    <w:rsid w:val="000A2430"/>
    <w:rsid w:val="000A24F1"/>
    <w:rsid w:val="000A252B"/>
    <w:rsid w:val="000A2548"/>
    <w:rsid w:val="000A2564"/>
    <w:rsid w:val="000A264A"/>
    <w:rsid w:val="000A2690"/>
    <w:rsid w:val="000A27B6"/>
    <w:rsid w:val="000A2824"/>
    <w:rsid w:val="000A2827"/>
    <w:rsid w:val="000A2905"/>
    <w:rsid w:val="000A29CF"/>
    <w:rsid w:val="000A29D5"/>
    <w:rsid w:val="000A2A00"/>
    <w:rsid w:val="000A2AEE"/>
    <w:rsid w:val="000A2CB8"/>
    <w:rsid w:val="000A2CD9"/>
    <w:rsid w:val="000A2D1E"/>
    <w:rsid w:val="000A2D8E"/>
    <w:rsid w:val="000A2DC9"/>
    <w:rsid w:val="000A2E0E"/>
    <w:rsid w:val="000A2F0E"/>
    <w:rsid w:val="000A302E"/>
    <w:rsid w:val="000A30DB"/>
    <w:rsid w:val="000A31F4"/>
    <w:rsid w:val="000A33F2"/>
    <w:rsid w:val="000A345A"/>
    <w:rsid w:val="000A350E"/>
    <w:rsid w:val="000A3561"/>
    <w:rsid w:val="000A35BA"/>
    <w:rsid w:val="000A36EA"/>
    <w:rsid w:val="000A37AB"/>
    <w:rsid w:val="000A3844"/>
    <w:rsid w:val="000A38D0"/>
    <w:rsid w:val="000A390C"/>
    <w:rsid w:val="000A3A2F"/>
    <w:rsid w:val="000A3AA1"/>
    <w:rsid w:val="000A3B57"/>
    <w:rsid w:val="000A3B88"/>
    <w:rsid w:val="000A3E2C"/>
    <w:rsid w:val="000A3F68"/>
    <w:rsid w:val="000A3F76"/>
    <w:rsid w:val="000A40A7"/>
    <w:rsid w:val="000A40E9"/>
    <w:rsid w:val="000A40F4"/>
    <w:rsid w:val="000A4292"/>
    <w:rsid w:val="000A429D"/>
    <w:rsid w:val="000A42FB"/>
    <w:rsid w:val="000A43A2"/>
    <w:rsid w:val="000A43FF"/>
    <w:rsid w:val="000A46C3"/>
    <w:rsid w:val="000A4812"/>
    <w:rsid w:val="000A48C7"/>
    <w:rsid w:val="000A48CE"/>
    <w:rsid w:val="000A49CB"/>
    <w:rsid w:val="000A4A18"/>
    <w:rsid w:val="000A4BF4"/>
    <w:rsid w:val="000A4C79"/>
    <w:rsid w:val="000A4CB1"/>
    <w:rsid w:val="000A4E1D"/>
    <w:rsid w:val="000A4E5D"/>
    <w:rsid w:val="000A4E9C"/>
    <w:rsid w:val="000A4EC2"/>
    <w:rsid w:val="000A4EF3"/>
    <w:rsid w:val="000A4F53"/>
    <w:rsid w:val="000A505D"/>
    <w:rsid w:val="000A50C6"/>
    <w:rsid w:val="000A522E"/>
    <w:rsid w:val="000A524E"/>
    <w:rsid w:val="000A5264"/>
    <w:rsid w:val="000A5287"/>
    <w:rsid w:val="000A5304"/>
    <w:rsid w:val="000A5351"/>
    <w:rsid w:val="000A5353"/>
    <w:rsid w:val="000A53B2"/>
    <w:rsid w:val="000A53F8"/>
    <w:rsid w:val="000A556B"/>
    <w:rsid w:val="000A5620"/>
    <w:rsid w:val="000A5689"/>
    <w:rsid w:val="000A56C8"/>
    <w:rsid w:val="000A56E2"/>
    <w:rsid w:val="000A5731"/>
    <w:rsid w:val="000A5739"/>
    <w:rsid w:val="000A590C"/>
    <w:rsid w:val="000A59A9"/>
    <w:rsid w:val="000A59BF"/>
    <w:rsid w:val="000A5A2E"/>
    <w:rsid w:val="000A5C68"/>
    <w:rsid w:val="000A5D87"/>
    <w:rsid w:val="000A5E2B"/>
    <w:rsid w:val="000A5F0F"/>
    <w:rsid w:val="000A60C0"/>
    <w:rsid w:val="000A61A9"/>
    <w:rsid w:val="000A6223"/>
    <w:rsid w:val="000A6230"/>
    <w:rsid w:val="000A638F"/>
    <w:rsid w:val="000A645B"/>
    <w:rsid w:val="000A6548"/>
    <w:rsid w:val="000A6785"/>
    <w:rsid w:val="000A67A6"/>
    <w:rsid w:val="000A67FD"/>
    <w:rsid w:val="000A68EB"/>
    <w:rsid w:val="000A69B8"/>
    <w:rsid w:val="000A6BF1"/>
    <w:rsid w:val="000A6C5C"/>
    <w:rsid w:val="000A6DD3"/>
    <w:rsid w:val="000A6DE3"/>
    <w:rsid w:val="000A6E19"/>
    <w:rsid w:val="000A6E2E"/>
    <w:rsid w:val="000A6F0A"/>
    <w:rsid w:val="000A703E"/>
    <w:rsid w:val="000A716E"/>
    <w:rsid w:val="000A7216"/>
    <w:rsid w:val="000A722B"/>
    <w:rsid w:val="000A728A"/>
    <w:rsid w:val="000A72CC"/>
    <w:rsid w:val="000A72FD"/>
    <w:rsid w:val="000A7420"/>
    <w:rsid w:val="000A7422"/>
    <w:rsid w:val="000A745A"/>
    <w:rsid w:val="000A74C0"/>
    <w:rsid w:val="000A7606"/>
    <w:rsid w:val="000A76C3"/>
    <w:rsid w:val="000A7782"/>
    <w:rsid w:val="000A778E"/>
    <w:rsid w:val="000A77B8"/>
    <w:rsid w:val="000A789C"/>
    <w:rsid w:val="000A78AF"/>
    <w:rsid w:val="000A78B3"/>
    <w:rsid w:val="000A7B18"/>
    <w:rsid w:val="000A7B47"/>
    <w:rsid w:val="000A7B53"/>
    <w:rsid w:val="000A7B6C"/>
    <w:rsid w:val="000A7B82"/>
    <w:rsid w:val="000A7B85"/>
    <w:rsid w:val="000A7C0D"/>
    <w:rsid w:val="000A7C53"/>
    <w:rsid w:val="000A7CB6"/>
    <w:rsid w:val="000A7CBB"/>
    <w:rsid w:val="000A7DCC"/>
    <w:rsid w:val="000A7E39"/>
    <w:rsid w:val="000A7EE2"/>
    <w:rsid w:val="000A7FFA"/>
    <w:rsid w:val="000B0084"/>
    <w:rsid w:val="000B009E"/>
    <w:rsid w:val="000B0133"/>
    <w:rsid w:val="000B0205"/>
    <w:rsid w:val="000B02FA"/>
    <w:rsid w:val="000B03AA"/>
    <w:rsid w:val="000B044A"/>
    <w:rsid w:val="000B0582"/>
    <w:rsid w:val="000B05A3"/>
    <w:rsid w:val="000B0651"/>
    <w:rsid w:val="000B0763"/>
    <w:rsid w:val="000B0797"/>
    <w:rsid w:val="000B081F"/>
    <w:rsid w:val="000B0877"/>
    <w:rsid w:val="000B0892"/>
    <w:rsid w:val="000B0ACF"/>
    <w:rsid w:val="000B10D4"/>
    <w:rsid w:val="000B115C"/>
    <w:rsid w:val="000B11BE"/>
    <w:rsid w:val="000B1265"/>
    <w:rsid w:val="000B12CB"/>
    <w:rsid w:val="000B1364"/>
    <w:rsid w:val="000B1392"/>
    <w:rsid w:val="000B13F6"/>
    <w:rsid w:val="000B14EA"/>
    <w:rsid w:val="000B1542"/>
    <w:rsid w:val="000B156B"/>
    <w:rsid w:val="000B15F3"/>
    <w:rsid w:val="000B1673"/>
    <w:rsid w:val="000B1776"/>
    <w:rsid w:val="000B180C"/>
    <w:rsid w:val="000B1858"/>
    <w:rsid w:val="000B1A95"/>
    <w:rsid w:val="000B1AE7"/>
    <w:rsid w:val="000B1B47"/>
    <w:rsid w:val="000B1B60"/>
    <w:rsid w:val="000B1B8B"/>
    <w:rsid w:val="000B1C40"/>
    <w:rsid w:val="000B1C54"/>
    <w:rsid w:val="000B1F5F"/>
    <w:rsid w:val="000B1F8D"/>
    <w:rsid w:val="000B2061"/>
    <w:rsid w:val="000B2085"/>
    <w:rsid w:val="000B2116"/>
    <w:rsid w:val="000B21E5"/>
    <w:rsid w:val="000B22B7"/>
    <w:rsid w:val="000B22BE"/>
    <w:rsid w:val="000B23F7"/>
    <w:rsid w:val="000B244E"/>
    <w:rsid w:val="000B250F"/>
    <w:rsid w:val="000B2564"/>
    <w:rsid w:val="000B2575"/>
    <w:rsid w:val="000B258A"/>
    <w:rsid w:val="000B2648"/>
    <w:rsid w:val="000B27C4"/>
    <w:rsid w:val="000B281A"/>
    <w:rsid w:val="000B2820"/>
    <w:rsid w:val="000B2893"/>
    <w:rsid w:val="000B28C1"/>
    <w:rsid w:val="000B293E"/>
    <w:rsid w:val="000B2A61"/>
    <w:rsid w:val="000B2B9F"/>
    <w:rsid w:val="000B2C64"/>
    <w:rsid w:val="000B2DC6"/>
    <w:rsid w:val="000B2E57"/>
    <w:rsid w:val="000B2E60"/>
    <w:rsid w:val="000B2FC2"/>
    <w:rsid w:val="000B3132"/>
    <w:rsid w:val="000B3212"/>
    <w:rsid w:val="000B328A"/>
    <w:rsid w:val="000B3370"/>
    <w:rsid w:val="000B33AF"/>
    <w:rsid w:val="000B33C5"/>
    <w:rsid w:val="000B34AC"/>
    <w:rsid w:val="000B363F"/>
    <w:rsid w:val="000B37D6"/>
    <w:rsid w:val="000B3884"/>
    <w:rsid w:val="000B3928"/>
    <w:rsid w:val="000B3A08"/>
    <w:rsid w:val="000B3B17"/>
    <w:rsid w:val="000B3B9C"/>
    <w:rsid w:val="000B3BB5"/>
    <w:rsid w:val="000B3BEB"/>
    <w:rsid w:val="000B3C00"/>
    <w:rsid w:val="000B3C49"/>
    <w:rsid w:val="000B3C86"/>
    <w:rsid w:val="000B3C88"/>
    <w:rsid w:val="000B407E"/>
    <w:rsid w:val="000B40A9"/>
    <w:rsid w:val="000B40D2"/>
    <w:rsid w:val="000B42C4"/>
    <w:rsid w:val="000B42D2"/>
    <w:rsid w:val="000B431C"/>
    <w:rsid w:val="000B44AC"/>
    <w:rsid w:val="000B44EB"/>
    <w:rsid w:val="000B4563"/>
    <w:rsid w:val="000B45A2"/>
    <w:rsid w:val="000B46C6"/>
    <w:rsid w:val="000B4735"/>
    <w:rsid w:val="000B47D5"/>
    <w:rsid w:val="000B47E0"/>
    <w:rsid w:val="000B4825"/>
    <w:rsid w:val="000B48A2"/>
    <w:rsid w:val="000B48ED"/>
    <w:rsid w:val="000B4996"/>
    <w:rsid w:val="000B4B2B"/>
    <w:rsid w:val="000B4BF9"/>
    <w:rsid w:val="000B4C71"/>
    <w:rsid w:val="000B4CB8"/>
    <w:rsid w:val="000B501A"/>
    <w:rsid w:val="000B5041"/>
    <w:rsid w:val="000B5050"/>
    <w:rsid w:val="000B506A"/>
    <w:rsid w:val="000B50DB"/>
    <w:rsid w:val="000B5120"/>
    <w:rsid w:val="000B51AF"/>
    <w:rsid w:val="000B51C5"/>
    <w:rsid w:val="000B5288"/>
    <w:rsid w:val="000B52B2"/>
    <w:rsid w:val="000B5400"/>
    <w:rsid w:val="000B547C"/>
    <w:rsid w:val="000B5505"/>
    <w:rsid w:val="000B5524"/>
    <w:rsid w:val="000B56A3"/>
    <w:rsid w:val="000B5814"/>
    <w:rsid w:val="000B59D0"/>
    <w:rsid w:val="000B5AB2"/>
    <w:rsid w:val="000B5CF0"/>
    <w:rsid w:val="000B5D23"/>
    <w:rsid w:val="000B5E14"/>
    <w:rsid w:val="000B5E55"/>
    <w:rsid w:val="000B5EC9"/>
    <w:rsid w:val="000B6094"/>
    <w:rsid w:val="000B60F5"/>
    <w:rsid w:val="000B62E5"/>
    <w:rsid w:val="000B62E8"/>
    <w:rsid w:val="000B6478"/>
    <w:rsid w:val="000B6497"/>
    <w:rsid w:val="000B6515"/>
    <w:rsid w:val="000B6564"/>
    <w:rsid w:val="000B656D"/>
    <w:rsid w:val="000B6685"/>
    <w:rsid w:val="000B6713"/>
    <w:rsid w:val="000B6755"/>
    <w:rsid w:val="000B68CB"/>
    <w:rsid w:val="000B68F5"/>
    <w:rsid w:val="000B691A"/>
    <w:rsid w:val="000B69B6"/>
    <w:rsid w:val="000B6A4E"/>
    <w:rsid w:val="000B6B8E"/>
    <w:rsid w:val="000B6B8F"/>
    <w:rsid w:val="000B6BA4"/>
    <w:rsid w:val="000B6C0E"/>
    <w:rsid w:val="000B6C75"/>
    <w:rsid w:val="000B7021"/>
    <w:rsid w:val="000B703E"/>
    <w:rsid w:val="000B707C"/>
    <w:rsid w:val="000B70D8"/>
    <w:rsid w:val="000B715E"/>
    <w:rsid w:val="000B726F"/>
    <w:rsid w:val="000B72BE"/>
    <w:rsid w:val="000B73A9"/>
    <w:rsid w:val="000B746B"/>
    <w:rsid w:val="000B7520"/>
    <w:rsid w:val="000B75B4"/>
    <w:rsid w:val="000B75DE"/>
    <w:rsid w:val="000B7645"/>
    <w:rsid w:val="000B77B5"/>
    <w:rsid w:val="000B782E"/>
    <w:rsid w:val="000B7889"/>
    <w:rsid w:val="000B78E1"/>
    <w:rsid w:val="000B7A47"/>
    <w:rsid w:val="000B7A54"/>
    <w:rsid w:val="000B7B68"/>
    <w:rsid w:val="000B7BCD"/>
    <w:rsid w:val="000B7C99"/>
    <w:rsid w:val="000B7D5A"/>
    <w:rsid w:val="000B7E25"/>
    <w:rsid w:val="000B7E73"/>
    <w:rsid w:val="000B7ED6"/>
    <w:rsid w:val="000B7F23"/>
    <w:rsid w:val="000B7F4B"/>
    <w:rsid w:val="000B7FA6"/>
    <w:rsid w:val="000B7FBD"/>
    <w:rsid w:val="000C0234"/>
    <w:rsid w:val="000C0334"/>
    <w:rsid w:val="000C03AA"/>
    <w:rsid w:val="000C0461"/>
    <w:rsid w:val="000C0482"/>
    <w:rsid w:val="000C066B"/>
    <w:rsid w:val="000C0676"/>
    <w:rsid w:val="000C0678"/>
    <w:rsid w:val="000C0687"/>
    <w:rsid w:val="000C06A7"/>
    <w:rsid w:val="000C06F0"/>
    <w:rsid w:val="000C0733"/>
    <w:rsid w:val="000C0818"/>
    <w:rsid w:val="000C0856"/>
    <w:rsid w:val="000C097D"/>
    <w:rsid w:val="000C09FB"/>
    <w:rsid w:val="000C0A82"/>
    <w:rsid w:val="000C0AD8"/>
    <w:rsid w:val="000C0CF8"/>
    <w:rsid w:val="000C0DC3"/>
    <w:rsid w:val="000C0F91"/>
    <w:rsid w:val="000C0F9C"/>
    <w:rsid w:val="000C0FAD"/>
    <w:rsid w:val="000C0FCA"/>
    <w:rsid w:val="000C109E"/>
    <w:rsid w:val="000C1157"/>
    <w:rsid w:val="000C115B"/>
    <w:rsid w:val="000C1222"/>
    <w:rsid w:val="000C124B"/>
    <w:rsid w:val="000C1265"/>
    <w:rsid w:val="000C1388"/>
    <w:rsid w:val="000C160D"/>
    <w:rsid w:val="000C1614"/>
    <w:rsid w:val="000C16A6"/>
    <w:rsid w:val="000C17C1"/>
    <w:rsid w:val="000C1806"/>
    <w:rsid w:val="000C188D"/>
    <w:rsid w:val="000C199B"/>
    <w:rsid w:val="000C19A0"/>
    <w:rsid w:val="000C19EE"/>
    <w:rsid w:val="000C1C95"/>
    <w:rsid w:val="000C1CC6"/>
    <w:rsid w:val="000C1E04"/>
    <w:rsid w:val="000C1E44"/>
    <w:rsid w:val="000C1E55"/>
    <w:rsid w:val="000C1F85"/>
    <w:rsid w:val="000C2074"/>
    <w:rsid w:val="000C2179"/>
    <w:rsid w:val="000C2234"/>
    <w:rsid w:val="000C229E"/>
    <w:rsid w:val="000C2358"/>
    <w:rsid w:val="000C23B5"/>
    <w:rsid w:val="000C2468"/>
    <w:rsid w:val="000C2683"/>
    <w:rsid w:val="000C26A4"/>
    <w:rsid w:val="000C26E5"/>
    <w:rsid w:val="000C2749"/>
    <w:rsid w:val="000C27ED"/>
    <w:rsid w:val="000C296B"/>
    <w:rsid w:val="000C29BA"/>
    <w:rsid w:val="000C29DC"/>
    <w:rsid w:val="000C2A7F"/>
    <w:rsid w:val="000C2B68"/>
    <w:rsid w:val="000C2B70"/>
    <w:rsid w:val="000C2C70"/>
    <w:rsid w:val="000C2CED"/>
    <w:rsid w:val="000C2E57"/>
    <w:rsid w:val="000C2E97"/>
    <w:rsid w:val="000C2EC8"/>
    <w:rsid w:val="000C2F42"/>
    <w:rsid w:val="000C2FA0"/>
    <w:rsid w:val="000C3014"/>
    <w:rsid w:val="000C3046"/>
    <w:rsid w:val="000C304D"/>
    <w:rsid w:val="000C30EB"/>
    <w:rsid w:val="000C3121"/>
    <w:rsid w:val="000C3133"/>
    <w:rsid w:val="000C33B6"/>
    <w:rsid w:val="000C3482"/>
    <w:rsid w:val="000C3499"/>
    <w:rsid w:val="000C34EF"/>
    <w:rsid w:val="000C357D"/>
    <w:rsid w:val="000C35CB"/>
    <w:rsid w:val="000C3685"/>
    <w:rsid w:val="000C36A7"/>
    <w:rsid w:val="000C36AA"/>
    <w:rsid w:val="000C36B8"/>
    <w:rsid w:val="000C374B"/>
    <w:rsid w:val="000C37CF"/>
    <w:rsid w:val="000C391F"/>
    <w:rsid w:val="000C3A03"/>
    <w:rsid w:val="000C3A7A"/>
    <w:rsid w:val="000C3ACD"/>
    <w:rsid w:val="000C3B93"/>
    <w:rsid w:val="000C3BC9"/>
    <w:rsid w:val="000C3BD0"/>
    <w:rsid w:val="000C3BFF"/>
    <w:rsid w:val="000C3C20"/>
    <w:rsid w:val="000C3C58"/>
    <w:rsid w:val="000C3CCD"/>
    <w:rsid w:val="000C3CE8"/>
    <w:rsid w:val="000C3D82"/>
    <w:rsid w:val="000C3E22"/>
    <w:rsid w:val="000C3E47"/>
    <w:rsid w:val="000C3EAE"/>
    <w:rsid w:val="000C3EC7"/>
    <w:rsid w:val="000C3FDB"/>
    <w:rsid w:val="000C4126"/>
    <w:rsid w:val="000C41EC"/>
    <w:rsid w:val="000C434A"/>
    <w:rsid w:val="000C43E6"/>
    <w:rsid w:val="000C43F5"/>
    <w:rsid w:val="000C4464"/>
    <w:rsid w:val="000C4485"/>
    <w:rsid w:val="000C4566"/>
    <w:rsid w:val="000C4626"/>
    <w:rsid w:val="000C46FE"/>
    <w:rsid w:val="000C4777"/>
    <w:rsid w:val="000C4980"/>
    <w:rsid w:val="000C4AF8"/>
    <w:rsid w:val="000C4B4F"/>
    <w:rsid w:val="000C4BA3"/>
    <w:rsid w:val="000C4C1A"/>
    <w:rsid w:val="000C4C1E"/>
    <w:rsid w:val="000C4DD0"/>
    <w:rsid w:val="000C4E6D"/>
    <w:rsid w:val="000C4E8D"/>
    <w:rsid w:val="000C4ECA"/>
    <w:rsid w:val="000C5270"/>
    <w:rsid w:val="000C52EA"/>
    <w:rsid w:val="000C5475"/>
    <w:rsid w:val="000C5717"/>
    <w:rsid w:val="000C577E"/>
    <w:rsid w:val="000C5780"/>
    <w:rsid w:val="000C5863"/>
    <w:rsid w:val="000C58DB"/>
    <w:rsid w:val="000C5B31"/>
    <w:rsid w:val="000C5E9B"/>
    <w:rsid w:val="000C60AD"/>
    <w:rsid w:val="000C60D3"/>
    <w:rsid w:val="000C6101"/>
    <w:rsid w:val="000C61A8"/>
    <w:rsid w:val="000C61F7"/>
    <w:rsid w:val="000C630D"/>
    <w:rsid w:val="000C63C5"/>
    <w:rsid w:val="000C63FA"/>
    <w:rsid w:val="000C654F"/>
    <w:rsid w:val="000C65EB"/>
    <w:rsid w:val="000C66E4"/>
    <w:rsid w:val="000C66F5"/>
    <w:rsid w:val="000C67D8"/>
    <w:rsid w:val="000C67E8"/>
    <w:rsid w:val="000C6A0D"/>
    <w:rsid w:val="000C6AE3"/>
    <w:rsid w:val="000C6BED"/>
    <w:rsid w:val="000C6CD8"/>
    <w:rsid w:val="000C6DD7"/>
    <w:rsid w:val="000C6E75"/>
    <w:rsid w:val="000C6ED5"/>
    <w:rsid w:val="000C6FB4"/>
    <w:rsid w:val="000C7060"/>
    <w:rsid w:val="000C70B9"/>
    <w:rsid w:val="000C70BB"/>
    <w:rsid w:val="000C730C"/>
    <w:rsid w:val="000C73E9"/>
    <w:rsid w:val="000C7412"/>
    <w:rsid w:val="000C742E"/>
    <w:rsid w:val="000C7656"/>
    <w:rsid w:val="000C76D1"/>
    <w:rsid w:val="000C7737"/>
    <w:rsid w:val="000C789D"/>
    <w:rsid w:val="000C7A1A"/>
    <w:rsid w:val="000C7A46"/>
    <w:rsid w:val="000C7AA7"/>
    <w:rsid w:val="000C7C12"/>
    <w:rsid w:val="000C7C48"/>
    <w:rsid w:val="000C7C9C"/>
    <w:rsid w:val="000C7D18"/>
    <w:rsid w:val="000C7DA0"/>
    <w:rsid w:val="000C7DA8"/>
    <w:rsid w:val="000C7E88"/>
    <w:rsid w:val="000C7F82"/>
    <w:rsid w:val="000D0023"/>
    <w:rsid w:val="000D0052"/>
    <w:rsid w:val="000D0098"/>
    <w:rsid w:val="000D0171"/>
    <w:rsid w:val="000D01D2"/>
    <w:rsid w:val="000D02A4"/>
    <w:rsid w:val="000D02D7"/>
    <w:rsid w:val="000D0314"/>
    <w:rsid w:val="000D0326"/>
    <w:rsid w:val="000D0470"/>
    <w:rsid w:val="000D05CB"/>
    <w:rsid w:val="000D0631"/>
    <w:rsid w:val="000D0887"/>
    <w:rsid w:val="000D08D2"/>
    <w:rsid w:val="000D0921"/>
    <w:rsid w:val="000D095A"/>
    <w:rsid w:val="000D0A69"/>
    <w:rsid w:val="000D0B7D"/>
    <w:rsid w:val="000D0DD9"/>
    <w:rsid w:val="000D0E13"/>
    <w:rsid w:val="000D0E68"/>
    <w:rsid w:val="000D0E9D"/>
    <w:rsid w:val="000D0F08"/>
    <w:rsid w:val="000D0FB8"/>
    <w:rsid w:val="000D1063"/>
    <w:rsid w:val="000D1232"/>
    <w:rsid w:val="000D1254"/>
    <w:rsid w:val="000D143C"/>
    <w:rsid w:val="000D1486"/>
    <w:rsid w:val="000D148F"/>
    <w:rsid w:val="000D14C1"/>
    <w:rsid w:val="000D1558"/>
    <w:rsid w:val="000D15FF"/>
    <w:rsid w:val="000D161E"/>
    <w:rsid w:val="000D1744"/>
    <w:rsid w:val="000D1824"/>
    <w:rsid w:val="000D1865"/>
    <w:rsid w:val="000D18DF"/>
    <w:rsid w:val="000D18EC"/>
    <w:rsid w:val="000D1A33"/>
    <w:rsid w:val="000D1B8B"/>
    <w:rsid w:val="000D1D6E"/>
    <w:rsid w:val="000D1DC3"/>
    <w:rsid w:val="000D1DDA"/>
    <w:rsid w:val="000D1E6F"/>
    <w:rsid w:val="000D1EF0"/>
    <w:rsid w:val="000D1F3F"/>
    <w:rsid w:val="000D1F6A"/>
    <w:rsid w:val="000D2027"/>
    <w:rsid w:val="000D2050"/>
    <w:rsid w:val="000D20B2"/>
    <w:rsid w:val="000D210E"/>
    <w:rsid w:val="000D22CF"/>
    <w:rsid w:val="000D235B"/>
    <w:rsid w:val="000D2429"/>
    <w:rsid w:val="000D2464"/>
    <w:rsid w:val="000D2474"/>
    <w:rsid w:val="000D247D"/>
    <w:rsid w:val="000D259A"/>
    <w:rsid w:val="000D270A"/>
    <w:rsid w:val="000D2AC9"/>
    <w:rsid w:val="000D2B1D"/>
    <w:rsid w:val="000D2B2E"/>
    <w:rsid w:val="000D2B75"/>
    <w:rsid w:val="000D2BF7"/>
    <w:rsid w:val="000D2EEF"/>
    <w:rsid w:val="000D2F63"/>
    <w:rsid w:val="000D2F8F"/>
    <w:rsid w:val="000D2FDD"/>
    <w:rsid w:val="000D2FEF"/>
    <w:rsid w:val="000D302E"/>
    <w:rsid w:val="000D303F"/>
    <w:rsid w:val="000D3048"/>
    <w:rsid w:val="000D30B1"/>
    <w:rsid w:val="000D3121"/>
    <w:rsid w:val="000D31A7"/>
    <w:rsid w:val="000D31F5"/>
    <w:rsid w:val="000D3218"/>
    <w:rsid w:val="000D3290"/>
    <w:rsid w:val="000D3408"/>
    <w:rsid w:val="000D3485"/>
    <w:rsid w:val="000D353E"/>
    <w:rsid w:val="000D3583"/>
    <w:rsid w:val="000D3630"/>
    <w:rsid w:val="000D36CF"/>
    <w:rsid w:val="000D3752"/>
    <w:rsid w:val="000D3755"/>
    <w:rsid w:val="000D37BA"/>
    <w:rsid w:val="000D3883"/>
    <w:rsid w:val="000D38E5"/>
    <w:rsid w:val="000D3948"/>
    <w:rsid w:val="000D3B0D"/>
    <w:rsid w:val="000D3BEA"/>
    <w:rsid w:val="000D3C90"/>
    <w:rsid w:val="000D3CE3"/>
    <w:rsid w:val="000D3CF9"/>
    <w:rsid w:val="000D3CFF"/>
    <w:rsid w:val="000D3D22"/>
    <w:rsid w:val="000D3D57"/>
    <w:rsid w:val="000D3DB6"/>
    <w:rsid w:val="000D3EA2"/>
    <w:rsid w:val="000D3F75"/>
    <w:rsid w:val="000D3F81"/>
    <w:rsid w:val="000D4049"/>
    <w:rsid w:val="000D4091"/>
    <w:rsid w:val="000D4438"/>
    <w:rsid w:val="000D4445"/>
    <w:rsid w:val="000D44AD"/>
    <w:rsid w:val="000D4521"/>
    <w:rsid w:val="000D466A"/>
    <w:rsid w:val="000D468E"/>
    <w:rsid w:val="000D4742"/>
    <w:rsid w:val="000D4827"/>
    <w:rsid w:val="000D4B32"/>
    <w:rsid w:val="000D4BCC"/>
    <w:rsid w:val="000D4C56"/>
    <w:rsid w:val="000D4F34"/>
    <w:rsid w:val="000D4F5B"/>
    <w:rsid w:val="000D4FC4"/>
    <w:rsid w:val="000D5078"/>
    <w:rsid w:val="000D50DD"/>
    <w:rsid w:val="000D5218"/>
    <w:rsid w:val="000D52AA"/>
    <w:rsid w:val="000D545A"/>
    <w:rsid w:val="000D54FD"/>
    <w:rsid w:val="000D56D8"/>
    <w:rsid w:val="000D5749"/>
    <w:rsid w:val="000D57A4"/>
    <w:rsid w:val="000D57CE"/>
    <w:rsid w:val="000D58BD"/>
    <w:rsid w:val="000D5913"/>
    <w:rsid w:val="000D5932"/>
    <w:rsid w:val="000D5980"/>
    <w:rsid w:val="000D5A46"/>
    <w:rsid w:val="000D5BE7"/>
    <w:rsid w:val="000D5C6D"/>
    <w:rsid w:val="000D5DBB"/>
    <w:rsid w:val="000D5E99"/>
    <w:rsid w:val="000D5F87"/>
    <w:rsid w:val="000D611C"/>
    <w:rsid w:val="000D61C6"/>
    <w:rsid w:val="000D6379"/>
    <w:rsid w:val="000D64F7"/>
    <w:rsid w:val="000D66BD"/>
    <w:rsid w:val="000D66D3"/>
    <w:rsid w:val="000D6872"/>
    <w:rsid w:val="000D68F1"/>
    <w:rsid w:val="000D6917"/>
    <w:rsid w:val="000D693A"/>
    <w:rsid w:val="000D6999"/>
    <w:rsid w:val="000D69E6"/>
    <w:rsid w:val="000D6B24"/>
    <w:rsid w:val="000D6BF6"/>
    <w:rsid w:val="000D6C58"/>
    <w:rsid w:val="000D6CE6"/>
    <w:rsid w:val="000D6D65"/>
    <w:rsid w:val="000D6DB7"/>
    <w:rsid w:val="000D6F0D"/>
    <w:rsid w:val="000D7034"/>
    <w:rsid w:val="000D7139"/>
    <w:rsid w:val="000D7233"/>
    <w:rsid w:val="000D72E9"/>
    <w:rsid w:val="000D73CE"/>
    <w:rsid w:val="000D73E0"/>
    <w:rsid w:val="000D7404"/>
    <w:rsid w:val="000D7457"/>
    <w:rsid w:val="000D74FE"/>
    <w:rsid w:val="000D750A"/>
    <w:rsid w:val="000D764A"/>
    <w:rsid w:val="000D7651"/>
    <w:rsid w:val="000D773D"/>
    <w:rsid w:val="000D786B"/>
    <w:rsid w:val="000D787D"/>
    <w:rsid w:val="000D7996"/>
    <w:rsid w:val="000D79B1"/>
    <w:rsid w:val="000D7A10"/>
    <w:rsid w:val="000D7A1D"/>
    <w:rsid w:val="000D7A96"/>
    <w:rsid w:val="000D7AB7"/>
    <w:rsid w:val="000D7B43"/>
    <w:rsid w:val="000D7B50"/>
    <w:rsid w:val="000D7B65"/>
    <w:rsid w:val="000D7B72"/>
    <w:rsid w:val="000D7BD9"/>
    <w:rsid w:val="000D7C1C"/>
    <w:rsid w:val="000D7C2A"/>
    <w:rsid w:val="000D7D3C"/>
    <w:rsid w:val="000D7DF1"/>
    <w:rsid w:val="000D7F0F"/>
    <w:rsid w:val="000D7F1E"/>
    <w:rsid w:val="000D7F21"/>
    <w:rsid w:val="000D7F27"/>
    <w:rsid w:val="000D7FAC"/>
    <w:rsid w:val="000E0146"/>
    <w:rsid w:val="000E01A5"/>
    <w:rsid w:val="000E022D"/>
    <w:rsid w:val="000E023C"/>
    <w:rsid w:val="000E0581"/>
    <w:rsid w:val="000E0644"/>
    <w:rsid w:val="000E0753"/>
    <w:rsid w:val="000E07F7"/>
    <w:rsid w:val="000E0825"/>
    <w:rsid w:val="000E083A"/>
    <w:rsid w:val="000E0999"/>
    <w:rsid w:val="000E0B73"/>
    <w:rsid w:val="000E0BE6"/>
    <w:rsid w:val="000E0D14"/>
    <w:rsid w:val="000E0D6B"/>
    <w:rsid w:val="000E0D88"/>
    <w:rsid w:val="000E0DE8"/>
    <w:rsid w:val="000E0DF1"/>
    <w:rsid w:val="000E0E33"/>
    <w:rsid w:val="000E0EB7"/>
    <w:rsid w:val="000E0F4D"/>
    <w:rsid w:val="000E1041"/>
    <w:rsid w:val="000E1089"/>
    <w:rsid w:val="000E10FA"/>
    <w:rsid w:val="000E1416"/>
    <w:rsid w:val="000E164E"/>
    <w:rsid w:val="000E1739"/>
    <w:rsid w:val="000E194E"/>
    <w:rsid w:val="000E1967"/>
    <w:rsid w:val="000E19AD"/>
    <w:rsid w:val="000E1A09"/>
    <w:rsid w:val="000E1AE8"/>
    <w:rsid w:val="000E1C6D"/>
    <w:rsid w:val="000E1D4A"/>
    <w:rsid w:val="000E1DAB"/>
    <w:rsid w:val="000E1E22"/>
    <w:rsid w:val="000E1EC7"/>
    <w:rsid w:val="000E200D"/>
    <w:rsid w:val="000E203A"/>
    <w:rsid w:val="000E207C"/>
    <w:rsid w:val="000E208F"/>
    <w:rsid w:val="000E2152"/>
    <w:rsid w:val="000E2261"/>
    <w:rsid w:val="000E2284"/>
    <w:rsid w:val="000E2352"/>
    <w:rsid w:val="000E238E"/>
    <w:rsid w:val="000E2489"/>
    <w:rsid w:val="000E2556"/>
    <w:rsid w:val="000E2633"/>
    <w:rsid w:val="000E26F2"/>
    <w:rsid w:val="000E2A1E"/>
    <w:rsid w:val="000E2A34"/>
    <w:rsid w:val="000E2A3D"/>
    <w:rsid w:val="000E2B50"/>
    <w:rsid w:val="000E2B57"/>
    <w:rsid w:val="000E2CF0"/>
    <w:rsid w:val="000E2D0C"/>
    <w:rsid w:val="000E2D62"/>
    <w:rsid w:val="000E2D6D"/>
    <w:rsid w:val="000E2DC8"/>
    <w:rsid w:val="000E2DE4"/>
    <w:rsid w:val="000E2E14"/>
    <w:rsid w:val="000E2E2D"/>
    <w:rsid w:val="000E2EEE"/>
    <w:rsid w:val="000E2F58"/>
    <w:rsid w:val="000E2FBE"/>
    <w:rsid w:val="000E3036"/>
    <w:rsid w:val="000E30AC"/>
    <w:rsid w:val="000E3222"/>
    <w:rsid w:val="000E3354"/>
    <w:rsid w:val="000E3368"/>
    <w:rsid w:val="000E340B"/>
    <w:rsid w:val="000E343A"/>
    <w:rsid w:val="000E3468"/>
    <w:rsid w:val="000E351D"/>
    <w:rsid w:val="000E3576"/>
    <w:rsid w:val="000E3865"/>
    <w:rsid w:val="000E38D1"/>
    <w:rsid w:val="000E39C3"/>
    <w:rsid w:val="000E3A0E"/>
    <w:rsid w:val="000E3AE0"/>
    <w:rsid w:val="000E3B79"/>
    <w:rsid w:val="000E3C10"/>
    <w:rsid w:val="000E3C60"/>
    <w:rsid w:val="000E3C8B"/>
    <w:rsid w:val="000E3C9E"/>
    <w:rsid w:val="000E3D33"/>
    <w:rsid w:val="000E3DF3"/>
    <w:rsid w:val="000E3DF7"/>
    <w:rsid w:val="000E3E2F"/>
    <w:rsid w:val="000E3E86"/>
    <w:rsid w:val="000E3EC4"/>
    <w:rsid w:val="000E3FD2"/>
    <w:rsid w:val="000E40E4"/>
    <w:rsid w:val="000E4180"/>
    <w:rsid w:val="000E41DC"/>
    <w:rsid w:val="000E4285"/>
    <w:rsid w:val="000E43DC"/>
    <w:rsid w:val="000E445E"/>
    <w:rsid w:val="000E446C"/>
    <w:rsid w:val="000E4472"/>
    <w:rsid w:val="000E4545"/>
    <w:rsid w:val="000E4555"/>
    <w:rsid w:val="000E4737"/>
    <w:rsid w:val="000E47ED"/>
    <w:rsid w:val="000E497A"/>
    <w:rsid w:val="000E49C1"/>
    <w:rsid w:val="000E4A02"/>
    <w:rsid w:val="000E4A1B"/>
    <w:rsid w:val="000E4A98"/>
    <w:rsid w:val="000E4AE2"/>
    <w:rsid w:val="000E4B00"/>
    <w:rsid w:val="000E4B42"/>
    <w:rsid w:val="000E4B9B"/>
    <w:rsid w:val="000E4D57"/>
    <w:rsid w:val="000E4D89"/>
    <w:rsid w:val="000E4DE5"/>
    <w:rsid w:val="000E4EBA"/>
    <w:rsid w:val="000E4F0F"/>
    <w:rsid w:val="000E4F28"/>
    <w:rsid w:val="000E4F76"/>
    <w:rsid w:val="000E5070"/>
    <w:rsid w:val="000E50A8"/>
    <w:rsid w:val="000E50AD"/>
    <w:rsid w:val="000E50F0"/>
    <w:rsid w:val="000E50F5"/>
    <w:rsid w:val="000E5124"/>
    <w:rsid w:val="000E52E9"/>
    <w:rsid w:val="000E52F0"/>
    <w:rsid w:val="000E5432"/>
    <w:rsid w:val="000E5567"/>
    <w:rsid w:val="000E55E5"/>
    <w:rsid w:val="000E568F"/>
    <w:rsid w:val="000E56CB"/>
    <w:rsid w:val="000E5712"/>
    <w:rsid w:val="000E57B5"/>
    <w:rsid w:val="000E584A"/>
    <w:rsid w:val="000E5959"/>
    <w:rsid w:val="000E59D5"/>
    <w:rsid w:val="000E59E3"/>
    <w:rsid w:val="000E5AA6"/>
    <w:rsid w:val="000E5B0E"/>
    <w:rsid w:val="000E5C2F"/>
    <w:rsid w:val="000E5D03"/>
    <w:rsid w:val="000E5D80"/>
    <w:rsid w:val="000E5EDD"/>
    <w:rsid w:val="000E5F2C"/>
    <w:rsid w:val="000E5F58"/>
    <w:rsid w:val="000E5FB2"/>
    <w:rsid w:val="000E6124"/>
    <w:rsid w:val="000E61E8"/>
    <w:rsid w:val="000E61F1"/>
    <w:rsid w:val="000E6246"/>
    <w:rsid w:val="000E6269"/>
    <w:rsid w:val="000E627D"/>
    <w:rsid w:val="000E63B1"/>
    <w:rsid w:val="000E6413"/>
    <w:rsid w:val="000E6570"/>
    <w:rsid w:val="000E6651"/>
    <w:rsid w:val="000E6677"/>
    <w:rsid w:val="000E6685"/>
    <w:rsid w:val="000E6AFA"/>
    <w:rsid w:val="000E6B0F"/>
    <w:rsid w:val="000E6D10"/>
    <w:rsid w:val="000E6ED2"/>
    <w:rsid w:val="000E6F8E"/>
    <w:rsid w:val="000E7085"/>
    <w:rsid w:val="000E7255"/>
    <w:rsid w:val="000E727D"/>
    <w:rsid w:val="000E73CD"/>
    <w:rsid w:val="000E7558"/>
    <w:rsid w:val="000E759A"/>
    <w:rsid w:val="000E762A"/>
    <w:rsid w:val="000E7674"/>
    <w:rsid w:val="000E76A0"/>
    <w:rsid w:val="000E7851"/>
    <w:rsid w:val="000E78AB"/>
    <w:rsid w:val="000E79A7"/>
    <w:rsid w:val="000E7A1B"/>
    <w:rsid w:val="000E7A3E"/>
    <w:rsid w:val="000E7AA3"/>
    <w:rsid w:val="000E7AB9"/>
    <w:rsid w:val="000E7AFB"/>
    <w:rsid w:val="000E7B90"/>
    <w:rsid w:val="000E7B97"/>
    <w:rsid w:val="000E7BAA"/>
    <w:rsid w:val="000E7CD0"/>
    <w:rsid w:val="000E7CF5"/>
    <w:rsid w:val="000E7CFA"/>
    <w:rsid w:val="000E7D75"/>
    <w:rsid w:val="000E7E18"/>
    <w:rsid w:val="000E7E26"/>
    <w:rsid w:val="000E7F03"/>
    <w:rsid w:val="000F01D0"/>
    <w:rsid w:val="000F047F"/>
    <w:rsid w:val="000F04E0"/>
    <w:rsid w:val="000F04E1"/>
    <w:rsid w:val="000F05AB"/>
    <w:rsid w:val="000F0777"/>
    <w:rsid w:val="000F07CE"/>
    <w:rsid w:val="000F0852"/>
    <w:rsid w:val="000F091B"/>
    <w:rsid w:val="000F098C"/>
    <w:rsid w:val="000F0F16"/>
    <w:rsid w:val="000F0F68"/>
    <w:rsid w:val="000F0FE0"/>
    <w:rsid w:val="000F109E"/>
    <w:rsid w:val="000F111D"/>
    <w:rsid w:val="000F1241"/>
    <w:rsid w:val="000F1395"/>
    <w:rsid w:val="000F1435"/>
    <w:rsid w:val="000F1443"/>
    <w:rsid w:val="000F15A3"/>
    <w:rsid w:val="000F167C"/>
    <w:rsid w:val="000F170E"/>
    <w:rsid w:val="000F17CB"/>
    <w:rsid w:val="000F18AB"/>
    <w:rsid w:val="000F1A33"/>
    <w:rsid w:val="000F1B0F"/>
    <w:rsid w:val="000F1BFB"/>
    <w:rsid w:val="000F1C26"/>
    <w:rsid w:val="000F1C42"/>
    <w:rsid w:val="000F1CE4"/>
    <w:rsid w:val="000F1D17"/>
    <w:rsid w:val="000F1D75"/>
    <w:rsid w:val="000F1E87"/>
    <w:rsid w:val="000F1F1F"/>
    <w:rsid w:val="000F1F28"/>
    <w:rsid w:val="000F200F"/>
    <w:rsid w:val="000F20AD"/>
    <w:rsid w:val="000F20AE"/>
    <w:rsid w:val="000F2146"/>
    <w:rsid w:val="000F237E"/>
    <w:rsid w:val="000F2394"/>
    <w:rsid w:val="000F23FD"/>
    <w:rsid w:val="000F2400"/>
    <w:rsid w:val="000F24F4"/>
    <w:rsid w:val="000F25B6"/>
    <w:rsid w:val="000F2692"/>
    <w:rsid w:val="000F2902"/>
    <w:rsid w:val="000F2923"/>
    <w:rsid w:val="000F296E"/>
    <w:rsid w:val="000F2D2A"/>
    <w:rsid w:val="000F2E48"/>
    <w:rsid w:val="000F302B"/>
    <w:rsid w:val="000F3043"/>
    <w:rsid w:val="000F3054"/>
    <w:rsid w:val="000F3087"/>
    <w:rsid w:val="000F30E3"/>
    <w:rsid w:val="000F313B"/>
    <w:rsid w:val="000F34E5"/>
    <w:rsid w:val="000F353F"/>
    <w:rsid w:val="000F3578"/>
    <w:rsid w:val="000F360B"/>
    <w:rsid w:val="000F3686"/>
    <w:rsid w:val="000F37A3"/>
    <w:rsid w:val="000F38CB"/>
    <w:rsid w:val="000F38FD"/>
    <w:rsid w:val="000F3A71"/>
    <w:rsid w:val="000F3AC7"/>
    <w:rsid w:val="000F3C32"/>
    <w:rsid w:val="000F3CB4"/>
    <w:rsid w:val="000F3CCD"/>
    <w:rsid w:val="000F3D45"/>
    <w:rsid w:val="000F3D4D"/>
    <w:rsid w:val="000F3DD0"/>
    <w:rsid w:val="000F406D"/>
    <w:rsid w:val="000F4135"/>
    <w:rsid w:val="000F424D"/>
    <w:rsid w:val="000F43A8"/>
    <w:rsid w:val="000F45C1"/>
    <w:rsid w:val="000F46DF"/>
    <w:rsid w:val="000F479C"/>
    <w:rsid w:val="000F4904"/>
    <w:rsid w:val="000F4956"/>
    <w:rsid w:val="000F4A09"/>
    <w:rsid w:val="000F4B7D"/>
    <w:rsid w:val="000F4B9C"/>
    <w:rsid w:val="000F4BD4"/>
    <w:rsid w:val="000F4C34"/>
    <w:rsid w:val="000F4C4D"/>
    <w:rsid w:val="000F4CBB"/>
    <w:rsid w:val="000F4DF5"/>
    <w:rsid w:val="000F4E9A"/>
    <w:rsid w:val="000F50CD"/>
    <w:rsid w:val="000F517B"/>
    <w:rsid w:val="000F51A2"/>
    <w:rsid w:val="000F5296"/>
    <w:rsid w:val="000F52A6"/>
    <w:rsid w:val="000F52F1"/>
    <w:rsid w:val="000F5311"/>
    <w:rsid w:val="000F53A7"/>
    <w:rsid w:val="000F5443"/>
    <w:rsid w:val="000F5597"/>
    <w:rsid w:val="000F5823"/>
    <w:rsid w:val="000F5909"/>
    <w:rsid w:val="000F5A3F"/>
    <w:rsid w:val="000F5AE0"/>
    <w:rsid w:val="000F5B77"/>
    <w:rsid w:val="000F5C16"/>
    <w:rsid w:val="000F5D49"/>
    <w:rsid w:val="000F5E5A"/>
    <w:rsid w:val="000F5EDA"/>
    <w:rsid w:val="000F5EF8"/>
    <w:rsid w:val="000F5F30"/>
    <w:rsid w:val="000F5F55"/>
    <w:rsid w:val="000F5FF0"/>
    <w:rsid w:val="000F602C"/>
    <w:rsid w:val="000F6112"/>
    <w:rsid w:val="000F6123"/>
    <w:rsid w:val="000F6126"/>
    <w:rsid w:val="000F6201"/>
    <w:rsid w:val="000F621C"/>
    <w:rsid w:val="000F6485"/>
    <w:rsid w:val="000F64F5"/>
    <w:rsid w:val="000F662C"/>
    <w:rsid w:val="000F6704"/>
    <w:rsid w:val="000F67E8"/>
    <w:rsid w:val="000F6911"/>
    <w:rsid w:val="000F69BF"/>
    <w:rsid w:val="000F6AB8"/>
    <w:rsid w:val="000F6AC1"/>
    <w:rsid w:val="000F6B40"/>
    <w:rsid w:val="000F6BAF"/>
    <w:rsid w:val="000F6C02"/>
    <w:rsid w:val="000F6DA8"/>
    <w:rsid w:val="000F6E17"/>
    <w:rsid w:val="000F6E4B"/>
    <w:rsid w:val="000F6EA2"/>
    <w:rsid w:val="000F6F5D"/>
    <w:rsid w:val="000F6F80"/>
    <w:rsid w:val="000F6FCB"/>
    <w:rsid w:val="000F704F"/>
    <w:rsid w:val="000F7074"/>
    <w:rsid w:val="000F71DE"/>
    <w:rsid w:val="000F71E2"/>
    <w:rsid w:val="000F7216"/>
    <w:rsid w:val="000F729E"/>
    <w:rsid w:val="000F72CE"/>
    <w:rsid w:val="000F730C"/>
    <w:rsid w:val="000F7320"/>
    <w:rsid w:val="000F73E0"/>
    <w:rsid w:val="000F74C6"/>
    <w:rsid w:val="000F754B"/>
    <w:rsid w:val="000F7622"/>
    <w:rsid w:val="000F7672"/>
    <w:rsid w:val="000F7705"/>
    <w:rsid w:val="000F7777"/>
    <w:rsid w:val="000F78F8"/>
    <w:rsid w:val="000F7954"/>
    <w:rsid w:val="000F7AA6"/>
    <w:rsid w:val="000F7B0B"/>
    <w:rsid w:val="000F7B8B"/>
    <w:rsid w:val="000F7C0E"/>
    <w:rsid w:val="000F7D75"/>
    <w:rsid w:val="000F7F39"/>
    <w:rsid w:val="000F7FAA"/>
    <w:rsid w:val="00100067"/>
    <w:rsid w:val="00100144"/>
    <w:rsid w:val="0010016F"/>
    <w:rsid w:val="001002E6"/>
    <w:rsid w:val="001003E7"/>
    <w:rsid w:val="0010041F"/>
    <w:rsid w:val="001004C9"/>
    <w:rsid w:val="00100557"/>
    <w:rsid w:val="00100667"/>
    <w:rsid w:val="00100671"/>
    <w:rsid w:val="001008DA"/>
    <w:rsid w:val="001008FA"/>
    <w:rsid w:val="00100956"/>
    <w:rsid w:val="00100A03"/>
    <w:rsid w:val="00100A6A"/>
    <w:rsid w:val="00100CF3"/>
    <w:rsid w:val="00100D6C"/>
    <w:rsid w:val="00100E08"/>
    <w:rsid w:val="00100EC6"/>
    <w:rsid w:val="00100F79"/>
    <w:rsid w:val="00100F90"/>
    <w:rsid w:val="00101077"/>
    <w:rsid w:val="00101091"/>
    <w:rsid w:val="0010111B"/>
    <w:rsid w:val="00101202"/>
    <w:rsid w:val="001015DE"/>
    <w:rsid w:val="00101660"/>
    <w:rsid w:val="001016E8"/>
    <w:rsid w:val="00101780"/>
    <w:rsid w:val="00101781"/>
    <w:rsid w:val="001017B0"/>
    <w:rsid w:val="0010182E"/>
    <w:rsid w:val="0010191D"/>
    <w:rsid w:val="00101926"/>
    <w:rsid w:val="00101988"/>
    <w:rsid w:val="001019F0"/>
    <w:rsid w:val="00101BB1"/>
    <w:rsid w:val="00101CE4"/>
    <w:rsid w:val="00101D31"/>
    <w:rsid w:val="00101D5A"/>
    <w:rsid w:val="00102016"/>
    <w:rsid w:val="0010240F"/>
    <w:rsid w:val="0010241A"/>
    <w:rsid w:val="00102487"/>
    <w:rsid w:val="0010248E"/>
    <w:rsid w:val="00102528"/>
    <w:rsid w:val="0010254A"/>
    <w:rsid w:val="001025E7"/>
    <w:rsid w:val="0010262D"/>
    <w:rsid w:val="0010266B"/>
    <w:rsid w:val="001029C8"/>
    <w:rsid w:val="00102A35"/>
    <w:rsid w:val="00102A9C"/>
    <w:rsid w:val="00102C1C"/>
    <w:rsid w:val="00102CFA"/>
    <w:rsid w:val="00102E33"/>
    <w:rsid w:val="00102F8B"/>
    <w:rsid w:val="0010301A"/>
    <w:rsid w:val="00103089"/>
    <w:rsid w:val="001030D0"/>
    <w:rsid w:val="001031ED"/>
    <w:rsid w:val="00103241"/>
    <w:rsid w:val="00103264"/>
    <w:rsid w:val="00103277"/>
    <w:rsid w:val="00103328"/>
    <w:rsid w:val="00103447"/>
    <w:rsid w:val="00103455"/>
    <w:rsid w:val="001034D2"/>
    <w:rsid w:val="0010350C"/>
    <w:rsid w:val="001035BD"/>
    <w:rsid w:val="001036E2"/>
    <w:rsid w:val="001037E1"/>
    <w:rsid w:val="0010382F"/>
    <w:rsid w:val="00103975"/>
    <w:rsid w:val="001039B9"/>
    <w:rsid w:val="001039EE"/>
    <w:rsid w:val="00103A50"/>
    <w:rsid w:val="00103A82"/>
    <w:rsid w:val="00103AEC"/>
    <w:rsid w:val="00103AF3"/>
    <w:rsid w:val="00103B86"/>
    <w:rsid w:val="00103CA0"/>
    <w:rsid w:val="00103CA3"/>
    <w:rsid w:val="00103D04"/>
    <w:rsid w:val="00103D3F"/>
    <w:rsid w:val="00103FA0"/>
    <w:rsid w:val="001040D7"/>
    <w:rsid w:val="00104118"/>
    <w:rsid w:val="00104184"/>
    <w:rsid w:val="0010418D"/>
    <w:rsid w:val="001041F3"/>
    <w:rsid w:val="00104200"/>
    <w:rsid w:val="001042A8"/>
    <w:rsid w:val="001042DE"/>
    <w:rsid w:val="0010440D"/>
    <w:rsid w:val="00104426"/>
    <w:rsid w:val="001045F1"/>
    <w:rsid w:val="00104601"/>
    <w:rsid w:val="00104696"/>
    <w:rsid w:val="001046BC"/>
    <w:rsid w:val="001046CA"/>
    <w:rsid w:val="001046E6"/>
    <w:rsid w:val="001047A4"/>
    <w:rsid w:val="001047BB"/>
    <w:rsid w:val="001047EA"/>
    <w:rsid w:val="00104819"/>
    <w:rsid w:val="00104AD3"/>
    <w:rsid w:val="00104B7C"/>
    <w:rsid w:val="00104BF9"/>
    <w:rsid w:val="00104C4B"/>
    <w:rsid w:val="00104D99"/>
    <w:rsid w:val="00104DFF"/>
    <w:rsid w:val="00104F1C"/>
    <w:rsid w:val="00104F75"/>
    <w:rsid w:val="00104F9F"/>
    <w:rsid w:val="00104FB7"/>
    <w:rsid w:val="00104FB8"/>
    <w:rsid w:val="00104FD6"/>
    <w:rsid w:val="00105045"/>
    <w:rsid w:val="00105105"/>
    <w:rsid w:val="001051C9"/>
    <w:rsid w:val="0010522F"/>
    <w:rsid w:val="00105280"/>
    <w:rsid w:val="0010528C"/>
    <w:rsid w:val="001052A4"/>
    <w:rsid w:val="00105344"/>
    <w:rsid w:val="00105435"/>
    <w:rsid w:val="0010549D"/>
    <w:rsid w:val="001055AC"/>
    <w:rsid w:val="00105824"/>
    <w:rsid w:val="001058F8"/>
    <w:rsid w:val="00105990"/>
    <w:rsid w:val="001059C4"/>
    <w:rsid w:val="00105AD9"/>
    <w:rsid w:val="00105AF9"/>
    <w:rsid w:val="00105BA4"/>
    <w:rsid w:val="00105C02"/>
    <w:rsid w:val="00105C49"/>
    <w:rsid w:val="00105CD6"/>
    <w:rsid w:val="00105CEE"/>
    <w:rsid w:val="00105D38"/>
    <w:rsid w:val="00105DC0"/>
    <w:rsid w:val="00105E29"/>
    <w:rsid w:val="00105E3B"/>
    <w:rsid w:val="00105E3F"/>
    <w:rsid w:val="00105E8A"/>
    <w:rsid w:val="00105FE6"/>
    <w:rsid w:val="00106229"/>
    <w:rsid w:val="0010626C"/>
    <w:rsid w:val="00106371"/>
    <w:rsid w:val="001065A0"/>
    <w:rsid w:val="001065F5"/>
    <w:rsid w:val="001066CD"/>
    <w:rsid w:val="001067AB"/>
    <w:rsid w:val="0010685B"/>
    <w:rsid w:val="001068AD"/>
    <w:rsid w:val="00106960"/>
    <w:rsid w:val="00106968"/>
    <w:rsid w:val="00106A41"/>
    <w:rsid w:val="00106BDF"/>
    <w:rsid w:val="00106C3B"/>
    <w:rsid w:val="00106D82"/>
    <w:rsid w:val="00106E37"/>
    <w:rsid w:val="00106ECB"/>
    <w:rsid w:val="001070ED"/>
    <w:rsid w:val="00107103"/>
    <w:rsid w:val="00107190"/>
    <w:rsid w:val="001071F3"/>
    <w:rsid w:val="001072C2"/>
    <w:rsid w:val="001073CF"/>
    <w:rsid w:val="00107466"/>
    <w:rsid w:val="00107522"/>
    <w:rsid w:val="00107532"/>
    <w:rsid w:val="001075F9"/>
    <w:rsid w:val="00107605"/>
    <w:rsid w:val="001076E3"/>
    <w:rsid w:val="00107739"/>
    <w:rsid w:val="001078B2"/>
    <w:rsid w:val="00107B07"/>
    <w:rsid w:val="00107B21"/>
    <w:rsid w:val="00107C15"/>
    <w:rsid w:val="001100DA"/>
    <w:rsid w:val="001100DD"/>
    <w:rsid w:val="00110258"/>
    <w:rsid w:val="00110270"/>
    <w:rsid w:val="001102A9"/>
    <w:rsid w:val="001102C0"/>
    <w:rsid w:val="00110361"/>
    <w:rsid w:val="0011048A"/>
    <w:rsid w:val="0011049B"/>
    <w:rsid w:val="001104B4"/>
    <w:rsid w:val="0011055E"/>
    <w:rsid w:val="00110637"/>
    <w:rsid w:val="0011094C"/>
    <w:rsid w:val="0011095A"/>
    <w:rsid w:val="00110962"/>
    <w:rsid w:val="00110977"/>
    <w:rsid w:val="00110B42"/>
    <w:rsid w:val="00110BFD"/>
    <w:rsid w:val="00110C47"/>
    <w:rsid w:val="00110C5D"/>
    <w:rsid w:val="00110CDA"/>
    <w:rsid w:val="00110D68"/>
    <w:rsid w:val="00110E55"/>
    <w:rsid w:val="00110ED5"/>
    <w:rsid w:val="00110F8C"/>
    <w:rsid w:val="00111131"/>
    <w:rsid w:val="0011113C"/>
    <w:rsid w:val="00111148"/>
    <w:rsid w:val="0011115F"/>
    <w:rsid w:val="0011117D"/>
    <w:rsid w:val="001111E6"/>
    <w:rsid w:val="00111286"/>
    <w:rsid w:val="001112C7"/>
    <w:rsid w:val="00111411"/>
    <w:rsid w:val="001114BF"/>
    <w:rsid w:val="001114E0"/>
    <w:rsid w:val="00111586"/>
    <w:rsid w:val="0011166C"/>
    <w:rsid w:val="001116C8"/>
    <w:rsid w:val="00111721"/>
    <w:rsid w:val="0011173F"/>
    <w:rsid w:val="00111742"/>
    <w:rsid w:val="001117B7"/>
    <w:rsid w:val="0011182A"/>
    <w:rsid w:val="0011185D"/>
    <w:rsid w:val="00111940"/>
    <w:rsid w:val="00111990"/>
    <w:rsid w:val="00111AF2"/>
    <w:rsid w:val="00111B59"/>
    <w:rsid w:val="00111C29"/>
    <w:rsid w:val="00111D1B"/>
    <w:rsid w:val="00111DD3"/>
    <w:rsid w:val="00111E64"/>
    <w:rsid w:val="00112051"/>
    <w:rsid w:val="0011218A"/>
    <w:rsid w:val="001122B0"/>
    <w:rsid w:val="00112316"/>
    <w:rsid w:val="001123B0"/>
    <w:rsid w:val="0011240E"/>
    <w:rsid w:val="0011244F"/>
    <w:rsid w:val="00112546"/>
    <w:rsid w:val="00112562"/>
    <w:rsid w:val="001125DD"/>
    <w:rsid w:val="0011267D"/>
    <w:rsid w:val="001126D2"/>
    <w:rsid w:val="001126D8"/>
    <w:rsid w:val="00112757"/>
    <w:rsid w:val="00112892"/>
    <w:rsid w:val="001128C0"/>
    <w:rsid w:val="001128F5"/>
    <w:rsid w:val="00112A21"/>
    <w:rsid w:val="00112A59"/>
    <w:rsid w:val="00112CB9"/>
    <w:rsid w:val="00112D97"/>
    <w:rsid w:val="00112EA5"/>
    <w:rsid w:val="00112F4A"/>
    <w:rsid w:val="00113155"/>
    <w:rsid w:val="001132D5"/>
    <w:rsid w:val="001132E3"/>
    <w:rsid w:val="00113427"/>
    <w:rsid w:val="001134C2"/>
    <w:rsid w:val="00113611"/>
    <w:rsid w:val="001136FA"/>
    <w:rsid w:val="001138C9"/>
    <w:rsid w:val="00113906"/>
    <w:rsid w:val="0011393D"/>
    <w:rsid w:val="00113947"/>
    <w:rsid w:val="001139A7"/>
    <w:rsid w:val="00113A0C"/>
    <w:rsid w:val="00113B14"/>
    <w:rsid w:val="00113B25"/>
    <w:rsid w:val="00113B50"/>
    <w:rsid w:val="00113B7B"/>
    <w:rsid w:val="00113BC6"/>
    <w:rsid w:val="00113C0F"/>
    <w:rsid w:val="00113C26"/>
    <w:rsid w:val="00113CC4"/>
    <w:rsid w:val="00113D82"/>
    <w:rsid w:val="00113DB9"/>
    <w:rsid w:val="00113E11"/>
    <w:rsid w:val="00114068"/>
    <w:rsid w:val="0011408D"/>
    <w:rsid w:val="00114113"/>
    <w:rsid w:val="00114268"/>
    <w:rsid w:val="0011431C"/>
    <w:rsid w:val="001143CB"/>
    <w:rsid w:val="001144A6"/>
    <w:rsid w:val="0011455E"/>
    <w:rsid w:val="001145B7"/>
    <w:rsid w:val="001147AF"/>
    <w:rsid w:val="0011494C"/>
    <w:rsid w:val="001149A1"/>
    <w:rsid w:val="00114B0E"/>
    <w:rsid w:val="00114BB2"/>
    <w:rsid w:val="00114C10"/>
    <w:rsid w:val="00114D06"/>
    <w:rsid w:val="00114DA1"/>
    <w:rsid w:val="00114FE0"/>
    <w:rsid w:val="00115034"/>
    <w:rsid w:val="00115049"/>
    <w:rsid w:val="001150AC"/>
    <w:rsid w:val="00115157"/>
    <w:rsid w:val="00115257"/>
    <w:rsid w:val="001153DF"/>
    <w:rsid w:val="001154B3"/>
    <w:rsid w:val="0011563F"/>
    <w:rsid w:val="0011566D"/>
    <w:rsid w:val="001156A5"/>
    <w:rsid w:val="001156D7"/>
    <w:rsid w:val="00115849"/>
    <w:rsid w:val="001158D9"/>
    <w:rsid w:val="00115AD4"/>
    <w:rsid w:val="00115ADA"/>
    <w:rsid w:val="00115B82"/>
    <w:rsid w:val="00115BB7"/>
    <w:rsid w:val="00115CD9"/>
    <w:rsid w:val="00115DB8"/>
    <w:rsid w:val="00115DFE"/>
    <w:rsid w:val="00115E05"/>
    <w:rsid w:val="00115E17"/>
    <w:rsid w:val="00115E21"/>
    <w:rsid w:val="00115EA9"/>
    <w:rsid w:val="00115EFC"/>
    <w:rsid w:val="00115F59"/>
    <w:rsid w:val="0011608B"/>
    <w:rsid w:val="0011608C"/>
    <w:rsid w:val="001161A1"/>
    <w:rsid w:val="001162C2"/>
    <w:rsid w:val="001162DE"/>
    <w:rsid w:val="0011636D"/>
    <w:rsid w:val="00116394"/>
    <w:rsid w:val="0011644A"/>
    <w:rsid w:val="001165B7"/>
    <w:rsid w:val="0011663F"/>
    <w:rsid w:val="001166BB"/>
    <w:rsid w:val="001166D0"/>
    <w:rsid w:val="0011682E"/>
    <w:rsid w:val="00116AA1"/>
    <w:rsid w:val="00116B5C"/>
    <w:rsid w:val="00116BD1"/>
    <w:rsid w:val="00116C2B"/>
    <w:rsid w:val="00116C40"/>
    <w:rsid w:val="00116D98"/>
    <w:rsid w:val="00116E34"/>
    <w:rsid w:val="00116F3B"/>
    <w:rsid w:val="0011704D"/>
    <w:rsid w:val="00117173"/>
    <w:rsid w:val="001171A0"/>
    <w:rsid w:val="001171C9"/>
    <w:rsid w:val="001172E2"/>
    <w:rsid w:val="001173BC"/>
    <w:rsid w:val="001173BD"/>
    <w:rsid w:val="001173C4"/>
    <w:rsid w:val="001173D8"/>
    <w:rsid w:val="001173EB"/>
    <w:rsid w:val="0011746A"/>
    <w:rsid w:val="001174D2"/>
    <w:rsid w:val="00117507"/>
    <w:rsid w:val="00117532"/>
    <w:rsid w:val="0011755E"/>
    <w:rsid w:val="00117596"/>
    <w:rsid w:val="0011776D"/>
    <w:rsid w:val="0011787D"/>
    <w:rsid w:val="001178E2"/>
    <w:rsid w:val="0011792E"/>
    <w:rsid w:val="00117AE2"/>
    <w:rsid w:val="00117AF0"/>
    <w:rsid w:val="00117B5D"/>
    <w:rsid w:val="00117B5E"/>
    <w:rsid w:val="00117C2A"/>
    <w:rsid w:val="00117EC3"/>
    <w:rsid w:val="00117EE9"/>
    <w:rsid w:val="00117FE5"/>
    <w:rsid w:val="0012003D"/>
    <w:rsid w:val="00120138"/>
    <w:rsid w:val="001202DF"/>
    <w:rsid w:val="001202F7"/>
    <w:rsid w:val="001203F4"/>
    <w:rsid w:val="001203FE"/>
    <w:rsid w:val="0012046A"/>
    <w:rsid w:val="001204BA"/>
    <w:rsid w:val="001204FE"/>
    <w:rsid w:val="0012058C"/>
    <w:rsid w:val="001205C7"/>
    <w:rsid w:val="00120697"/>
    <w:rsid w:val="001206D1"/>
    <w:rsid w:val="001206D8"/>
    <w:rsid w:val="00120758"/>
    <w:rsid w:val="00120783"/>
    <w:rsid w:val="00120821"/>
    <w:rsid w:val="001208C3"/>
    <w:rsid w:val="0012093A"/>
    <w:rsid w:val="00120A68"/>
    <w:rsid w:val="00120AA6"/>
    <w:rsid w:val="00120B00"/>
    <w:rsid w:val="00120B60"/>
    <w:rsid w:val="00120BAE"/>
    <w:rsid w:val="00120D8C"/>
    <w:rsid w:val="00120E1C"/>
    <w:rsid w:val="00120F2B"/>
    <w:rsid w:val="00120F42"/>
    <w:rsid w:val="00120F4F"/>
    <w:rsid w:val="0012118D"/>
    <w:rsid w:val="00121222"/>
    <w:rsid w:val="00121244"/>
    <w:rsid w:val="001212FA"/>
    <w:rsid w:val="001213CF"/>
    <w:rsid w:val="00121421"/>
    <w:rsid w:val="00121491"/>
    <w:rsid w:val="001214A6"/>
    <w:rsid w:val="001214BB"/>
    <w:rsid w:val="001214CE"/>
    <w:rsid w:val="00121576"/>
    <w:rsid w:val="00121708"/>
    <w:rsid w:val="00121738"/>
    <w:rsid w:val="001217CD"/>
    <w:rsid w:val="00121817"/>
    <w:rsid w:val="001218AA"/>
    <w:rsid w:val="001218C5"/>
    <w:rsid w:val="001219C0"/>
    <w:rsid w:val="00121A50"/>
    <w:rsid w:val="00121A7D"/>
    <w:rsid w:val="00121D21"/>
    <w:rsid w:val="00121DBF"/>
    <w:rsid w:val="00121E0B"/>
    <w:rsid w:val="00121E83"/>
    <w:rsid w:val="00121EFC"/>
    <w:rsid w:val="00121F07"/>
    <w:rsid w:val="00121F36"/>
    <w:rsid w:val="00121F5F"/>
    <w:rsid w:val="00121F82"/>
    <w:rsid w:val="00121FC8"/>
    <w:rsid w:val="0012203B"/>
    <w:rsid w:val="0012210E"/>
    <w:rsid w:val="00122125"/>
    <w:rsid w:val="00122442"/>
    <w:rsid w:val="00122516"/>
    <w:rsid w:val="0012259B"/>
    <w:rsid w:val="00122613"/>
    <w:rsid w:val="00122707"/>
    <w:rsid w:val="001227D7"/>
    <w:rsid w:val="001227F9"/>
    <w:rsid w:val="001229E4"/>
    <w:rsid w:val="00122A2F"/>
    <w:rsid w:val="00122A86"/>
    <w:rsid w:val="00122B4B"/>
    <w:rsid w:val="00122B9A"/>
    <w:rsid w:val="00122BBB"/>
    <w:rsid w:val="00122C71"/>
    <w:rsid w:val="00122CA6"/>
    <w:rsid w:val="00122CBA"/>
    <w:rsid w:val="00122CC5"/>
    <w:rsid w:val="00123040"/>
    <w:rsid w:val="001232AE"/>
    <w:rsid w:val="001232CE"/>
    <w:rsid w:val="0012346B"/>
    <w:rsid w:val="001235D4"/>
    <w:rsid w:val="00123670"/>
    <w:rsid w:val="0012383A"/>
    <w:rsid w:val="001238EF"/>
    <w:rsid w:val="0012397E"/>
    <w:rsid w:val="00123C02"/>
    <w:rsid w:val="00123C66"/>
    <w:rsid w:val="00123C90"/>
    <w:rsid w:val="00123F6F"/>
    <w:rsid w:val="001240B1"/>
    <w:rsid w:val="00124116"/>
    <w:rsid w:val="001241B4"/>
    <w:rsid w:val="001241FA"/>
    <w:rsid w:val="00124233"/>
    <w:rsid w:val="0012424D"/>
    <w:rsid w:val="001242EE"/>
    <w:rsid w:val="0012432A"/>
    <w:rsid w:val="0012440C"/>
    <w:rsid w:val="001247A6"/>
    <w:rsid w:val="0012484B"/>
    <w:rsid w:val="0012497A"/>
    <w:rsid w:val="00124998"/>
    <w:rsid w:val="00124ABD"/>
    <w:rsid w:val="00124AEB"/>
    <w:rsid w:val="00124C2C"/>
    <w:rsid w:val="00124C75"/>
    <w:rsid w:val="00124DE0"/>
    <w:rsid w:val="00124E4F"/>
    <w:rsid w:val="00124E56"/>
    <w:rsid w:val="00124F57"/>
    <w:rsid w:val="00124FA8"/>
    <w:rsid w:val="00124FFB"/>
    <w:rsid w:val="001250A6"/>
    <w:rsid w:val="001251B7"/>
    <w:rsid w:val="00125297"/>
    <w:rsid w:val="0012541B"/>
    <w:rsid w:val="00125575"/>
    <w:rsid w:val="001256E8"/>
    <w:rsid w:val="001256F7"/>
    <w:rsid w:val="001257D6"/>
    <w:rsid w:val="00125819"/>
    <w:rsid w:val="00125A13"/>
    <w:rsid w:val="00125A99"/>
    <w:rsid w:val="00125C3F"/>
    <w:rsid w:val="00125E1F"/>
    <w:rsid w:val="00125E58"/>
    <w:rsid w:val="00125E73"/>
    <w:rsid w:val="00125EFF"/>
    <w:rsid w:val="00125F0C"/>
    <w:rsid w:val="00125F79"/>
    <w:rsid w:val="00125FC6"/>
    <w:rsid w:val="00125FF8"/>
    <w:rsid w:val="0012604E"/>
    <w:rsid w:val="0012621A"/>
    <w:rsid w:val="00126238"/>
    <w:rsid w:val="00126365"/>
    <w:rsid w:val="0012642A"/>
    <w:rsid w:val="001264E3"/>
    <w:rsid w:val="001265F9"/>
    <w:rsid w:val="001266EE"/>
    <w:rsid w:val="0012671E"/>
    <w:rsid w:val="00126766"/>
    <w:rsid w:val="0012697B"/>
    <w:rsid w:val="00126990"/>
    <w:rsid w:val="001269C4"/>
    <w:rsid w:val="00126C5D"/>
    <w:rsid w:val="00126D2B"/>
    <w:rsid w:val="00126D96"/>
    <w:rsid w:val="00126F5D"/>
    <w:rsid w:val="00126F85"/>
    <w:rsid w:val="0012702C"/>
    <w:rsid w:val="00127181"/>
    <w:rsid w:val="001271AB"/>
    <w:rsid w:val="0012730F"/>
    <w:rsid w:val="001276F2"/>
    <w:rsid w:val="00127724"/>
    <w:rsid w:val="001277F1"/>
    <w:rsid w:val="001278F5"/>
    <w:rsid w:val="0012791F"/>
    <w:rsid w:val="00127A2E"/>
    <w:rsid w:val="00127AB5"/>
    <w:rsid w:val="00127AC2"/>
    <w:rsid w:val="00127BF8"/>
    <w:rsid w:val="00127C98"/>
    <w:rsid w:val="00127CCF"/>
    <w:rsid w:val="00127D6A"/>
    <w:rsid w:val="00127EB7"/>
    <w:rsid w:val="00127F89"/>
    <w:rsid w:val="00127FA0"/>
    <w:rsid w:val="00130264"/>
    <w:rsid w:val="001302EB"/>
    <w:rsid w:val="001303D2"/>
    <w:rsid w:val="001303EE"/>
    <w:rsid w:val="001303F9"/>
    <w:rsid w:val="0013041E"/>
    <w:rsid w:val="001304CC"/>
    <w:rsid w:val="00130596"/>
    <w:rsid w:val="00130690"/>
    <w:rsid w:val="00130773"/>
    <w:rsid w:val="00130856"/>
    <w:rsid w:val="001308A7"/>
    <w:rsid w:val="001308AE"/>
    <w:rsid w:val="0013092E"/>
    <w:rsid w:val="00130949"/>
    <w:rsid w:val="001309B0"/>
    <w:rsid w:val="001309BF"/>
    <w:rsid w:val="001309F6"/>
    <w:rsid w:val="00130A5B"/>
    <w:rsid w:val="00130B38"/>
    <w:rsid w:val="00130BBB"/>
    <w:rsid w:val="00130C1F"/>
    <w:rsid w:val="00130C87"/>
    <w:rsid w:val="00130CB1"/>
    <w:rsid w:val="00130CE3"/>
    <w:rsid w:val="0013100C"/>
    <w:rsid w:val="0013122A"/>
    <w:rsid w:val="00131485"/>
    <w:rsid w:val="00131590"/>
    <w:rsid w:val="001315E2"/>
    <w:rsid w:val="00131621"/>
    <w:rsid w:val="00131770"/>
    <w:rsid w:val="0013185E"/>
    <w:rsid w:val="00131867"/>
    <w:rsid w:val="0013194C"/>
    <w:rsid w:val="00131B4F"/>
    <w:rsid w:val="00131C7F"/>
    <w:rsid w:val="00131CAE"/>
    <w:rsid w:val="00131CCD"/>
    <w:rsid w:val="00131CEB"/>
    <w:rsid w:val="00131D2F"/>
    <w:rsid w:val="00131D4D"/>
    <w:rsid w:val="00131D98"/>
    <w:rsid w:val="001321C6"/>
    <w:rsid w:val="00132207"/>
    <w:rsid w:val="001322EC"/>
    <w:rsid w:val="00132324"/>
    <w:rsid w:val="00132474"/>
    <w:rsid w:val="001324F2"/>
    <w:rsid w:val="001326B2"/>
    <w:rsid w:val="001327C0"/>
    <w:rsid w:val="001327F3"/>
    <w:rsid w:val="0013285C"/>
    <w:rsid w:val="00132988"/>
    <w:rsid w:val="001329C1"/>
    <w:rsid w:val="00132B85"/>
    <w:rsid w:val="00132D5E"/>
    <w:rsid w:val="00132E60"/>
    <w:rsid w:val="00132ED1"/>
    <w:rsid w:val="00132EDE"/>
    <w:rsid w:val="00132F0F"/>
    <w:rsid w:val="00133027"/>
    <w:rsid w:val="00133243"/>
    <w:rsid w:val="001333E9"/>
    <w:rsid w:val="00133468"/>
    <w:rsid w:val="001338AC"/>
    <w:rsid w:val="00133994"/>
    <w:rsid w:val="00133A30"/>
    <w:rsid w:val="00133B79"/>
    <w:rsid w:val="00133BB2"/>
    <w:rsid w:val="00133CAA"/>
    <w:rsid w:val="00133D4B"/>
    <w:rsid w:val="00133EF3"/>
    <w:rsid w:val="00133F56"/>
    <w:rsid w:val="00133F69"/>
    <w:rsid w:val="00133F6E"/>
    <w:rsid w:val="00134087"/>
    <w:rsid w:val="001340EF"/>
    <w:rsid w:val="00134112"/>
    <w:rsid w:val="00134228"/>
    <w:rsid w:val="001342F5"/>
    <w:rsid w:val="00134350"/>
    <w:rsid w:val="00134426"/>
    <w:rsid w:val="001344A3"/>
    <w:rsid w:val="00134520"/>
    <w:rsid w:val="00134526"/>
    <w:rsid w:val="001345CC"/>
    <w:rsid w:val="00134721"/>
    <w:rsid w:val="0013477D"/>
    <w:rsid w:val="001347D3"/>
    <w:rsid w:val="001348F5"/>
    <w:rsid w:val="001348F9"/>
    <w:rsid w:val="00134921"/>
    <w:rsid w:val="00134982"/>
    <w:rsid w:val="00134A0D"/>
    <w:rsid w:val="00134A65"/>
    <w:rsid w:val="00134B4F"/>
    <w:rsid w:val="00134B74"/>
    <w:rsid w:val="00134B79"/>
    <w:rsid w:val="00134B9D"/>
    <w:rsid w:val="00134BEB"/>
    <w:rsid w:val="00134C95"/>
    <w:rsid w:val="00134CDD"/>
    <w:rsid w:val="00134D17"/>
    <w:rsid w:val="00134D47"/>
    <w:rsid w:val="00134DBB"/>
    <w:rsid w:val="00134E36"/>
    <w:rsid w:val="00134F27"/>
    <w:rsid w:val="00134F77"/>
    <w:rsid w:val="0013503B"/>
    <w:rsid w:val="00135223"/>
    <w:rsid w:val="00135253"/>
    <w:rsid w:val="0013525B"/>
    <w:rsid w:val="00135342"/>
    <w:rsid w:val="0013539A"/>
    <w:rsid w:val="001353E1"/>
    <w:rsid w:val="00135472"/>
    <w:rsid w:val="00135521"/>
    <w:rsid w:val="001355E4"/>
    <w:rsid w:val="0013562C"/>
    <w:rsid w:val="001357E8"/>
    <w:rsid w:val="00135995"/>
    <w:rsid w:val="001359D6"/>
    <w:rsid w:val="00135A33"/>
    <w:rsid w:val="00135A6A"/>
    <w:rsid w:val="00135B82"/>
    <w:rsid w:val="00135BCF"/>
    <w:rsid w:val="00135CEF"/>
    <w:rsid w:val="00135CF4"/>
    <w:rsid w:val="00135D44"/>
    <w:rsid w:val="00135DF3"/>
    <w:rsid w:val="00135E33"/>
    <w:rsid w:val="00135F7E"/>
    <w:rsid w:val="0013602E"/>
    <w:rsid w:val="001360A6"/>
    <w:rsid w:val="001361CD"/>
    <w:rsid w:val="0013621C"/>
    <w:rsid w:val="00136249"/>
    <w:rsid w:val="001362D8"/>
    <w:rsid w:val="001363B4"/>
    <w:rsid w:val="00136498"/>
    <w:rsid w:val="001364C7"/>
    <w:rsid w:val="001365CF"/>
    <w:rsid w:val="001365D2"/>
    <w:rsid w:val="0013661E"/>
    <w:rsid w:val="00136621"/>
    <w:rsid w:val="0013685F"/>
    <w:rsid w:val="001368DF"/>
    <w:rsid w:val="001368FD"/>
    <w:rsid w:val="001369D4"/>
    <w:rsid w:val="00136A1A"/>
    <w:rsid w:val="00136A50"/>
    <w:rsid w:val="00136AD2"/>
    <w:rsid w:val="00136C29"/>
    <w:rsid w:val="00136C3E"/>
    <w:rsid w:val="00136D3D"/>
    <w:rsid w:val="00136E1C"/>
    <w:rsid w:val="00136E7E"/>
    <w:rsid w:val="00137095"/>
    <w:rsid w:val="001370FB"/>
    <w:rsid w:val="0013714A"/>
    <w:rsid w:val="00137194"/>
    <w:rsid w:val="001371BF"/>
    <w:rsid w:val="001371F6"/>
    <w:rsid w:val="00137228"/>
    <w:rsid w:val="001372F0"/>
    <w:rsid w:val="001373EF"/>
    <w:rsid w:val="00137412"/>
    <w:rsid w:val="001374E7"/>
    <w:rsid w:val="001375A1"/>
    <w:rsid w:val="001375C6"/>
    <w:rsid w:val="0013765F"/>
    <w:rsid w:val="00137756"/>
    <w:rsid w:val="00137769"/>
    <w:rsid w:val="001378D4"/>
    <w:rsid w:val="00137999"/>
    <w:rsid w:val="001379E1"/>
    <w:rsid w:val="00137A68"/>
    <w:rsid w:val="00137ACF"/>
    <w:rsid w:val="00137B2C"/>
    <w:rsid w:val="00137C1A"/>
    <w:rsid w:val="00137C68"/>
    <w:rsid w:val="00137C75"/>
    <w:rsid w:val="00137C9D"/>
    <w:rsid w:val="00137DC1"/>
    <w:rsid w:val="00137E08"/>
    <w:rsid w:val="00137EC4"/>
    <w:rsid w:val="00137F21"/>
    <w:rsid w:val="00137FD4"/>
    <w:rsid w:val="00140256"/>
    <w:rsid w:val="0014029B"/>
    <w:rsid w:val="001402D0"/>
    <w:rsid w:val="001402E0"/>
    <w:rsid w:val="00140372"/>
    <w:rsid w:val="001403E4"/>
    <w:rsid w:val="00140601"/>
    <w:rsid w:val="00140651"/>
    <w:rsid w:val="001407EB"/>
    <w:rsid w:val="001408C3"/>
    <w:rsid w:val="001409B9"/>
    <w:rsid w:val="001409F2"/>
    <w:rsid w:val="00140AC1"/>
    <w:rsid w:val="00140B3A"/>
    <w:rsid w:val="00140BBC"/>
    <w:rsid w:val="00140C4B"/>
    <w:rsid w:val="00140C8B"/>
    <w:rsid w:val="00140CA3"/>
    <w:rsid w:val="00140D4A"/>
    <w:rsid w:val="00140DE0"/>
    <w:rsid w:val="00140F59"/>
    <w:rsid w:val="00140F67"/>
    <w:rsid w:val="00141017"/>
    <w:rsid w:val="0014129D"/>
    <w:rsid w:val="001412DC"/>
    <w:rsid w:val="001412EF"/>
    <w:rsid w:val="001413CD"/>
    <w:rsid w:val="00141473"/>
    <w:rsid w:val="0014148F"/>
    <w:rsid w:val="001414FA"/>
    <w:rsid w:val="00141542"/>
    <w:rsid w:val="00141616"/>
    <w:rsid w:val="00141759"/>
    <w:rsid w:val="00141835"/>
    <w:rsid w:val="00141937"/>
    <w:rsid w:val="001419E6"/>
    <w:rsid w:val="00141A97"/>
    <w:rsid w:val="00141B60"/>
    <w:rsid w:val="00141D38"/>
    <w:rsid w:val="00141DAC"/>
    <w:rsid w:val="00141E19"/>
    <w:rsid w:val="00141F2D"/>
    <w:rsid w:val="001420FD"/>
    <w:rsid w:val="00142103"/>
    <w:rsid w:val="00142171"/>
    <w:rsid w:val="00142288"/>
    <w:rsid w:val="0014228A"/>
    <w:rsid w:val="001422B5"/>
    <w:rsid w:val="0014231D"/>
    <w:rsid w:val="0014246A"/>
    <w:rsid w:val="00142479"/>
    <w:rsid w:val="001424E5"/>
    <w:rsid w:val="00142585"/>
    <w:rsid w:val="001425A1"/>
    <w:rsid w:val="001426B8"/>
    <w:rsid w:val="001426D0"/>
    <w:rsid w:val="00142725"/>
    <w:rsid w:val="001427ED"/>
    <w:rsid w:val="0014287F"/>
    <w:rsid w:val="00142949"/>
    <w:rsid w:val="00142B8A"/>
    <w:rsid w:val="00142D64"/>
    <w:rsid w:val="00142EA3"/>
    <w:rsid w:val="00142F2A"/>
    <w:rsid w:val="00142FE8"/>
    <w:rsid w:val="00143014"/>
    <w:rsid w:val="00143017"/>
    <w:rsid w:val="00143164"/>
    <w:rsid w:val="001431D8"/>
    <w:rsid w:val="001433CC"/>
    <w:rsid w:val="001433F1"/>
    <w:rsid w:val="001434AA"/>
    <w:rsid w:val="00143542"/>
    <w:rsid w:val="001435E7"/>
    <w:rsid w:val="00143671"/>
    <w:rsid w:val="00143694"/>
    <w:rsid w:val="0014384C"/>
    <w:rsid w:val="00143968"/>
    <w:rsid w:val="001439DE"/>
    <w:rsid w:val="00143AA1"/>
    <w:rsid w:val="00143B76"/>
    <w:rsid w:val="00143B83"/>
    <w:rsid w:val="00143C38"/>
    <w:rsid w:val="00143CA7"/>
    <w:rsid w:val="00143CF6"/>
    <w:rsid w:val="00143D52"/>
    <w:rsid w:val="00143E43"/>
    <w:rsid w:val="00143EF3"/>
    <w:rsid w:val="00143F56"/>
    <w:rsid w:val="00144169"/>
    <w:rsid w:val="001441D9"/>
    <w:rsid w:val="0014424C"/>
    <w:rsid w:val="00144291"/>
    <w:rsid w:val="001442CE"/>
    <w:rsid w:val="001442E6"/>
    <w:rsid w:val="00144457"/>
    <w:rsid w:val="00144483"/>
    <w:rsid w:val="0014451F"/>
    <w:rsid w:val="001446DE"/>
    <w:rsid w:val="00144873"/>
    <w:rsid w:val="00144879"/>
    <w:rsid w:val="001448E2"/>
    <w:rsid w:val="0014496E"/>
    <w:rsid w:val="001449C6"/>
    <w:rsid w:val="00144A19"/>
    <w:rsid w:val="00144A1B"/>
    <w:rsid w:val="00144A8F"/>
    <w:rsid w:val="00144BF1"/>
    <w:rsid w:val="00144CE2"/>
    <w:rsid w:val="00144D09"/>
    <w:rsid w:val="00144E1E"/>
    <w:rsid w:val="00144E9E"/>
    <w:rsid w:val="00144FE6"/>
    <w:rsid w:val="00145005"/>
    <w:rsid w:val="0014504F"/>
    <w:rsid w:val="00145050"/>
    <w:rsid w:val="001450C8"/>
    <w:rsid w:val="00145117"/>
    <w:rsid w:val="001451CB"/>
    <w:rsid w:val="001451DC"/>
    <w:rsid w:val="001454B3"/>
    <w:rsid w:val="00145684"/>
    <w:rsid w:val="00145689"/>
    <w:rsid w:val="0014573D"/>
    <w:rsid w:val="0014575E"/>
    <w:rsid w:val="0014579D"/>
    <w:rsid w:val="00145872"/>
    <w:rsid w:val="00145917"/>
    <w:rsid w:val="00145A6C"/>
    <w:rsid w:val="00145AD4"/>
    <w:rsid w:val="00145AE8"/>
    <w:rsid w:val="00145BE8"/>
    <w:rsid w:val="00145BF1"/>
    <w:rsid w:val="00145C20"/>
    <w:rsid w:val="00145C2C"/>
    <w:rsid w:val="00145C47"/>
    <w:rsid w:val="00145D05"/>
    <w:rsid w:val="00145E60"/>
    <w:rsid w:val="00145FDA"/>
    <w:rsid w:val="00146131"/>
    <w:rsid w:val="0014622E"/>
    <w:rsid w:val="00146303"/>
    <w:rsid w:val="0014639E"/>
    <w:rsid w:val="001463FF"/>
    <w:rsid w:val="001464F6"/>
    <w:rsid w:val="0014651D"/>
    <w:rsid w:val="0014658C"/>
    <w:rsid w:val="001465DF"/>
    <w:rsid w:val="00146675"/>
    <w:rsid w:val="001466FD"/>
    <w:rsid w:val="0014670B"/>
    <w:rsid w:val="00146870"/>
    <w:rsid w:val="0014688F"/>
    <w:rsid w:val="001468E9"/>
    <w:rsid w:val="00146967"/>
    <w:rsid w:val="00146AD3"/>
    <w:rsid w:val="00146B93"/>
    <w:rsid w:val="00146BD2"/>
    <w:rsid w:val="00146DD3"/>
    <w:rsid w:val="00146E8E"/>
    <w:rsid w:val="001471E9"/>
    <w:rsid w:val="0014722C"/>
    <w:rsid w:val="0014728D"/>
    <w:rsid w:val="0014729E"/>
    <w:rsid w:val="0014737D"/>
    <w:rsid w:val="00147478"/>
    <w:rsid w:val="00147481"/>
    <w:rsid w:val="0014754F"/>
    <w:rsid w:val="001475D5"/>
    <w:rsid w:val="001476B6"/>
    <w:rsid w:val="0014776C"/>
    <w:rsid w:val="001477C9"/>
    <w:rsid w:val="00147818"/>
    <w:rsid w:val="0014781A"/>
    <w:rsid w:val="00147893"/>
    <w:rsid w:val="001479F7"/>
    <w:rsid w:val="00147A7C"/>
    <w:rsid w:val="00147AB3"/>
    <w:rsid w:val="00147AD8"/>
    <w:rsid w:val="00147AE2"/>
    <w:rsid w:val="00147BC0"/>
    <w:rsid w:val="00147BC8"/>
    <w:rsid w:val="00147C75"/>
    <w:rsid w:val="00147CD9"/>
    <w:rsid w:val="00147D23"/>
    <w:rsid w:val="00147DB5"/>
    <w:rsid w:val="00147EFA"/>
    <w:rsid w:val="001500A5"/>
    <w:rsid w:val="001500F1"/>
    <w:rsid w:val="001501B7"/>
    <w:rsid w:val="0015039F"/>
    <w:rsid w:val="001503AE"/>
    <w:rsid w:val="00150431"/>
    <w:rsid w:val="00150480"/>
    <w:rsid w:val="001504DA"/>
    <w:rsid w:val="001504DD"/>
    <w:rsid w:val="001504ED"/>
    <w:rsid w:val="00150590"/>
    <w:rsid w:val="00150732"/>
    <w:rsid w:val="00150749"/>
    <w:rsid w:val="0015089E"/>
    <w:rsid w:val="001508BB"/>
    <w:rsid w:val="001508BE"/>
    <w:rsid w:val="00150970"/>
    <w:rsid w:val="001509FB"/>
    <w:rsid w:val="00150A7E"/>
    <w:rsid w:val="00150AF2"/>
    <w:rsid w:val="00150D3D"/>
    <w:rsid w:val="00150F55"/>
    <w:rsid w:val="00150FC2"/>
    <w:rsid w:val="0015101B"/>
    <w:rsid w:val="001510A0"/>
    <w:rsid w:val="00151132"/>
    <w:rsid w:val="0015127A"/>
    <w:rsid w:val="001513EB"/>
    <w:rsid w:val="001514B6"/>
    <w:rsid w:val="0015153B"/>
    <w:rsid w:val="00151641"/>
    <w:rsid w:val="00151655"/>
    <w:rsid w:val="0015173A"/>
    <w:rsid w:val="001518BE"/>
    <w:rsid w:val="00151969"/>
    <w:rsid w:val="00151A17"/>
    <w:rsid w:val="00151A88"/>
    <w:rsid w:val="00151AC6"/>
    <w:rsid w:val="00151B23"/>
    <w:rsid w:val="00151B76"/>
    <w:rsid w:val="00151B8E"/>
    <w:rsid w:val="00151B9D"/>
    <w:rsid w:val="00151BB9"/>
    <w:rsid w:val="00151BCA"/>
    <w:rsid w:val="00151C29"/>
    <w:rsid w:val="00151DB2"/>
    <w:rsid w:val="00152007"/>
    <w:rsid w:val="00152099"/>
    <w:rsid w:val="00152171"/>
    <w:rsid w:val="001521B1"/>
    <w:rsid w:val="001521F1"/>
    <w:rsid w:val="00152240"/>
    <w:rsid w:val="0015224B"/>
    <w:rsid w:val="00152280"/>
    <w:rsid w:val="001522E0"/>
    <w:rsid w:val="001522F9"/>
    <w:rsid w:val="0015235C"/>
    <w:rsid w:val="00152395"/>
    <w:rsid w:val="001524FD"/>
    <w:rsid w:val="00152680"/>
    <w:rsid w:val="00152723"/>
    <w:rsid w:val="00152773"/>
    <w:rsid w:val="0015285A"/>
    <w:rsid w:val="00152905"/>
    <w:rsid w:val="00152A84"/>
    <w:rsid w:val="00152BAE"/>
    <w:rsid w:val="00152BEF"/>
    <w:rsid w:val="00152C9B"/>
    <w:rsid w:val="00152CEB"/>
    <w:rsid w:val="00152CF1"/>
    <w:rsid w:val="00152D5D"/>
    <w:rsid w:val="00152E01"/>
    <w:rsid w:val="00152FA6"/>
    <w:rsid w:val="00152FE8"/>
    <w:rsid w:val="001530B3"/>
    <w:rsid w:val="00153160"/>
    <w:rsid w:val="0015330C"/>
    <w:rsid w:val="0015340B"/>
    <w:rsid w:val="00153486"/>
    <w:rsid w:val="00153582"/>
    <w:rsid w:val="001535DC"/>
    <w:rsid w:val="001535E8"/>
    <w:rsid w:val="00153783"/>
    <w:rsid w:val="001537D8"/>
    <w:rsid w:val="001537EE"/>
    <w:rsid w:val="001537FD"/>
    <w:rsid w:val="001539D8"/>
    <w:rsid w:val="00153AD2"/>
    <w:rsid w:val="00153B57"/>
    <w:rsid w:val="00153B64"/>
    <w:rsid w:val="00153BB0"/>
    <w:rsid w:val="00153D74"/>
    <w:rsid w:val="00153DB9"/>
    <w:rsid w:val="00153E0B"/>
    <w:rsid w:val="00153EDC"/>
    <w:rsid w:val="00153F2F"/>
    <w:rsid w:val="00153F49"/>
    <w:rsid w:val="00153FAA"/>
    <w:rsid w:val="00153FFC"/>
    <w:rsid w:val="0015401B"/>
    <w:rsid w:val="001542C7"/>
    <w:rsid w:val="001542E0"/>
    <w:rsid w:val="001543C4"/>
    <w:rsid w:val="00154481"/>
    <w:rsid w:val="001545DD"/>
    <w:rsid w:val="00154652"/>
    <w:rsid w:val="001546D5"/>
    <w:rsid w:val="00154767"/>
    <w:rsid w:val="00154814"/>
    <w:rsid w:val="0015491D"/>
    <w:rsid w:val="0015496A"/>
    <w:rsid w:val="00154971"/>
    <w:rsid w:val="001549C6"/>
    <w:rsid w:val="00154A02"/>
    <w:rsid w:val="00154A29"/>
    <w:rsid w:val="00154A37"/>
    <w:rsid w:val="00154A4C"/>
    <w:rsid w:val="00154A4E"/>
    <w:rsid w:val="00154ADF"/>
    <w:rsid w:val="00154BD0"/>
    <w:rsid w:val="00154C02"/>
    <w:rsid w:val="00154C16"/>
    <w:rsid w:val="00154C30"/>
    <w:rsid w:val="00154C86"/>
    <w:rsid w:val="00154CE5"/>
    <w:rsid w:val="00154D17"/>
    <w:rsid w:val="00154D21"/>
    <w:rsid w:val="00154DBA"/>
    <w:rsid w:val="00154EAA"/>
    <w:rsid w:val="001550A7"/>
    <w:rsid w:val="00155229"/>
    <w:rsid w:val="00155255"/>
    <w:rsid w:val="001552E7"/>
    <w:rsid w:val="00155341"/>
    <w:rsid w:val="0015534E"/>
    <w:rsid w:val="00155494"/>
    <w:rsid w:val="001554B2"/>
    <w:rsid w:val="001554D2"/>
    <w:rsid w:val="001554D7"/>
    <w:rsid w:val="00155519"/>
    <w:rsid w:val="0015551C"/>
    <w:rsid w:val="0015552A"/>
    <w:rsid w:val="001556DC"/>
    <w:rsid w:val="00155725"/>
    <w:rsid w:val="00155763"/>
    <w:rsid w:val="00155785"/>
    <w:rsid w:val="0015579B"/>
    <w:rsid w:val="001558F1"/>
    <w:rsid w:val="001559AE"/>
    <w:rsid w:val="00155A06"/>
    <w:rsid w:val="00155A1C"/>
    <w:rsid w:val="00155AA4"/>
    <w:rsid w:val="00155B39"/>
    <w:rsid w:val="00155BE0"/>
    <w:rsid w:val="00155CCB"/>
    <w:rsid w:val="00155CE5"/>
    <w:rsid w:val="00155CEE"/>
    <w:rsid w:val="00155D28"/>
    <w:rsid w:val="00155D4D"/>
    <w:rsid w:val="00155D7D"/>
    <w:rsid w:val="00155D88"/>
    <w:rsid w:val="00155E48"/>
    <w:rsid w:val="00155F64"/>
    <w:rsid w:val="001560B1"/>
    <w:rsid w:val="001560B8"/>
    <w:rsid w:val="001560EA"/>
    <w:rsid w:val="00156169"/>
    <w:rsid w:val="001562AA"/>
    <w:rsid w:val="00156418"/>
    <w:rsid w:val="0015646D"/>
    <w:rsid w:val="0015649E"/>
    <w:rsid w:val="0015652E"/>
    <w:rsid w:val="00156547"/>
    <w:rsid w:val="0015657E"/>
    <w:rsid w:val="00156769"/>
    <w:rsid w:val="0015680C"/>
    <w:rsid w:val="001568E6"/>
    <w:rsid w:val="001569FF"/>
    <w:rsid w:val="00156A7E"/>
    <w:rsid w:val="00156AEF"/>
    <w:rsid w:val="00156B49"/>
    <w:rsid w:val="00156BD8"/>
    <w:rsid w:val="00156C36"/>
    <w:rsid w:val="00156D42"/>
    <w:rsid w:val="00156DCB"/>
    <w:rsid w:val="00156E55"/>
    <w:rsid w:val="00156FC5"/>
    <w:rsid w:val="00156FD3"/>
    <w:rsid w:val="001570A3"/>
    <w:rsid w:val="00157169"/>
    <w:rsid w:val="001571B6"/>
    <w:rsid w:val="001572AB"/>
    <w:rsid w:val="001573E5"/>
    <w:rsid w:val="0015790D"/>
    <w:rsid w:val="00157976"/>
    <w:rsid w:val="00157A2A"/>
    <w:rsid w:val="00157A71"/>
    <w:rsid w:val="00157AAF"/>
    <w:rsid w:val="00157AB7"/>
    <w:rsid w:val="00157C7A"/>
    <w:rsid w:val="00157C8D"/>
    <w:rsid w:val="00157CE3"/>
    <w:rsid w:val="00157E07"/>
    <w:rsid w:val="00157F28"/>
    <w:rsid w:val="00157F8F"/>
    <w:rsid w:val="00160012"/>
    <w:rsid w:val="0016019E"/>
    <w:rsid w:val="00160271"/>
    <w:rsid w:val="001602C3"/>
    <w:rsid w:val="00160308"/>
    <w:rsid w:val="00160344"/>
    <w:rsid w:val="00160418"/>
    <w:rsid w:val="0016041A"/>
    <w:rsid w:val="00160428"/>
    <w:rsid w:val="001604C1"/>
    <w:rsid w:val="0016051E"/>
    <w:rsid w:val="00160534"/>
    <w:rsid w:val="001605E1"/>
    <w:rsid w:val="00160617"/>
    <w:rsid w:val="00160680"/>
    <w:rsid w:val="00160687"/>
    <w:rsid w:val="00160854"/>
    <w:rsid w:val="00160867"/>
    <w:rsid w:val="00160916"/>
    <w:rsid w:val="0016093A"/>
    <w:rsid w:val="00160954"/>
    <w:rsid w:val="0016098C"/>
    <w:rsid w:val="00160AF9"/>
    <w:rsid w:val="00160BB8"/>
    <w:rsid w:val="00160C65"/>
    <w:rsid w:val="00160C97"/>
    <w:rsid w:val="00160CB7"/>
    <w:rsid w:val="00160D1F"/>
    <w:rsid w:val="00160D5E"/>
    <w:rsid w:val="00160F59"/>
    <w:rsid w:val="00160F6E"/>
    <w:rsid w:val="00161070"/>
    <w:rsid w:val="00161072"/>
    <w:rsid w:val="001614A3"/>
    <w:rsid w:val="001614A9"/>
    <w:rsid w:val="001614CE"/>
    <w:rsid w:val="001615B4"/>
    <w:rsid w:val="001615ED"/>
    <w:rsid w:val="00161714"/>
    <w:rsid w:val="00161724"/>
    <w:rsid w:val="0016179A"/>
    <w:rsid w:val="001617D8"/>
    <w:rsid w:val="00161A0F"/>
    <w:rsid w:val="00161B9F"/>
    <w:rsid w:val="00161CE1"/>
    <w:rsid w:val="00161D4F"/>
    <w:rsid w:val="00161E83"/>
    <w:rsid w:val="00161FE3"/>
    <w:rsid w:val="0016203E"/>
    <w:rsid w:val="00162077"/>
    <w:rsid w:val="001620B0"/>
    <w:rsid w:val="001620E7"/>
    <w:rsid w:val="001620F9"/>
    <w:rsid w:val="0016211F"/>
    <w:rsid w:val="00162176"/>
    <w:rsid w:val="00162223"/>
    <w:rsid w:val="0016230F"/>
    <w:rsid w:val="0016238F"/>
    <w:rsid w:val="001624A4"/>
    <w:rsid w:val="001624D3"/>
    <w:rsid w:val="0016258F"/>
    <w:rsid w:val="00162686"/>
    <w:rsid w:val="001626B7"/>
    <w:rsid w:val="001626CC"/>
    <w:rsid w:val="001626D3"/>
    <w:rsid w:val="00162839"/>
    <w:rsid w:val="001628AB"/>
    <w:rsid w:val="00162BF3"/>
    <w:rsid w:val="00162CAA"/>
    <w:rsid w:val="00162CD1"/>
    <w:rsid w:val="00162D61"/>
    <w:rsid w:val="00162D74"/>
    <w:rsid w:val="00162E1A"/>
    <w:rsid w:val="00162E1D"/>
    <w:rsid w:val="001630EC"/>
    <w:rsid w:val="00163173"/>
    <w:rsid w:val="0016319F"/>
    <w:rsid w:val="001631D8"/>
    <w:rsid w:val="001632C7"/>
    <w:rsid w:val="001633BF"/>
    <w:rsid w:val="0016341E"/>
    <w:rsid w:val="00163561"/>
    <w:rsid w:val="00163604"/>
    <w:rsid w:val="00163767"/>
    <w:rsid w:val="001637B1"/>
    <w:rsid w:val="001637BE"/>
    <w:rsid w:val="00163845"/>
    <w:rsid w:val="0016385C"/>
    <w:rsid w:val="00163A6B"/>
    <w:rsid w:val="00163A6C"/>
    <w:rsid w:val="00163A7A"/>
    <w:rsid w:val="00163A9E"/>
    <w:rsid w:val="00163B0F"/>
    <w:rsid w:val="00163B75"/>
    <w:rsid w:val="00163CF7"/>
    <w:rsid w:val="00163D26"/>
    <w:rsid w:val="00163E01"/>
    <w:rsid w:val="00163E3B"/>
    <w:rsid w:val="00163EB2"/>
    <w:rsid w:val="0016401C"/>
    <w:rsid w:val="00164052"/>
    <w:rsid w:val="001640A2"/>
    <w:rsid w:val="001640BD"/>
    <w:rsid w:val="001641A3"/>
    <w:rsid w:val="001641ED"/>
    <w:rsid w:val="001642A6"/>
    <w:rsid w:val="00164339"/>
    <w:rsid w:val="001643B6"/>
    <w:rsid w:val="001643D3"/>
    <w:rsid w:val="0016448B"/>
    <w:rsid w:val="00164546"/>
    <w:rsid w:val="00164639"/>
    <w:rsid w:val="00164670"/>
    <w:rsid w:val="001646B9"/>
    <w:rsid w:val="001646DB"/>
    <w:rsid w:val="001646F7"/>
    <w:rsid w:val="0016471B"/>
    <w:rsid w:val="00164797"/>
    <w:rsid w:val="001647D7"/>
    <w:rsid w:val="001648D3"/>
    <w:rsid w:val="00164A08"/>
    <w:rsid w:val="00164AEF"/>
    <w:rsid w:val="00164B52"/>
    <w:rsid w:val="00164C1B"/>
    <w:rsid w:val="00164CB0"/>
    <w:rsid w:val="00164CD3"/>
    <w:rsid w:val="00164D9E"/>
    <w:rsid w:val="00164DE0"/>
    <w:rsid w:val="00164E2F"/>
    <w:rsid w:val="00164F45"/>
    <w:rsid w:val="00164FE8"/>
    <w:rsid w:val="0016514E"/>
    <w:rsid w:val="0016517A"/>
    <w:rsid w:val="00165210"/>
    <w:rsid w:val="00165226"/>
    <w:rsid w:val="00165327"/>
    <w:rsid w:val="00165387"/>
    <w:rsid w:val="001653A0"/>
    <w:rsid w:val="00165412"/>
    <w:rsid w:val="00165415"/>
    <w:rsid w:val="00165471"/>
    <w:rsid w:val="00165507"/>
    <w:rsid w:val="0016562D"/>
    <w:rsid w:val="001657FC"/>
    <w:rsid w:val="001658BE"/>
    <w:rsid w:val="0016597D"/>
    <w:rsid w:val="001659D1"/>
    <w:rsid w:val="00165A30"/>
    <w:rsid w:val="00165A3A"/>
    <w:rsid w:val="00165A3D"/>
    <w:rsid w:val="00165B75"/>
    <w:rsid w:val="00165D07"/>
    <w:rsid w:val="00165D08"/>
    <w:rsid w:val="00165DFB"/>
    <w:rsid w:val="00166033"/>
    <w:rsid w:val="0016608C"/>
    <w:rsid w:val="00166252"/>
    <w:rsid w:val="00166305"/>
    <w:rsid w:val="001663DB"/>
    <w:rsid w:val="001664E5"/>
    <w:rsid w:val="00166669"/>
    <w:rsid w:val="0016670A"/>
    <w:rsid w:val="00166950"/>
    <w:rsid w:val="00166972"/>
    <w:rsid w:val="00166BFA"/>
    <w:rsid w:val="00166C38"/>
    <w:rsid w:val="00166CA2"/>
    <w:rsid w:val="00166CDD"/>
    <w:rsid w:val="00166D6F"/>
    <w:rsid w:val="00166DF1"/>
    <w:rsid w:val="00166EDB"/>
    <w:rsid w:val="00166EDF"/>
    <w:rsid w:val="00166EE2"/>
    <w:rsid w:val="00166EF0"/>
    <w:rsid w:val="00166F00"/>
    <w:rsid w:val="00166F7F"/>
    <w:rsid w:val="00166FE8"/>
    <w:rsid w:val="0016718A"/>
    <w:rsid w:val="0016720C"/>
    <w:rsid w:val="0016722A"/>
    <w:rsid w:val="0016722F"/>
    <w:rsid w:val="00167266"/>
    <w:rsid w:val="00167297"/>
    <w:rsid w:val="001672CE"/>
    <w:rsid w:val="001672ED"/>
    <w:rsid w:val="0016733F"/>
    <w:rsid w:val="001673E8"/>
    <w:rsid w:val="00167447"/>
    <w:rsid w:val="001675B5"/>
    <w:rsid w:val="00167639"/>
    <w:rsid w:val="0016786F"/>
    <w:rsid w:val="001678B7"/>
    <w:rsid w:val="00167915"/>
    <w:rsid w:val="00167949"/>
    <w:rsid w:val="00167979"/>
    <w:rsid w:val="00167A06"/>
    <w:rsid w:val="00167D23"/>
    <w:rsid w:val="00167D3A"/>
    <w:rsid w:val="00167F34"/>
    <w:rsid w:val="00167F38"/>
    <w:rsid w:val="00167F8D"/>
    <w:rsid w:val="0017001F"/>
    <w:rsid w:val="00170039"/>
    <w:rsid w:val="001700CF"/>
    <w:rsid w:val="00170145"/>
    <w:rsid w:val="00170214"/>
    <w:rsid w:val="00170298"/>
    <w:rsid w:val="00170430"/>
    <w:rsid w:val="001705CC"/>
    <w:rsid w:val="001707AB"/>
    <w:rsid w:val="00170844"/>
    <w:rsid w:val="001708A1"/>
    <w:rsid w:val="001708AC"/>
    <w:rsid w:val="00170B37"/>
    <w:rsid w:val="00170BF0"/>
    <w:rsid w:val="00170D3E"/>
    <w:rsid w:val="00170D9F"/>
    <w:rsid w:val="00170E39"/>
    <w:rsid w:val="00170EA6"/>
    <w:rsid w:val="00170EB6"/>
    <w:rsid w:val="00170F58"/>
    <w:rsid w:val="00170F82"/>
    <w:rsid w:val="00170FEA"/>
    <w:rsid w:val="00171085"/>
    <w:rsid w:val="001710E6"/>
    <w:rsid w:val="00171110"/>
    <w:rsid w:val="00171209"/>
    <w:rsid w:val="001714E1"/>
    <w:rsid w:val="00171514"/>
    <w:rsid w:val="00171556"/>
    <w:rsid w:val="0017160A"/>
    <w:rsid w:val="001716AF"/>
    <w:rsid w:val="001718A0"/>
    <w:rsid w:val="0017190A"/>
    <w:rsid w:val="00171BB1"/>
    <w:rsid w:val="00171CAC"/>
    <w:rsid w:val="00171CB8"/>
    <w:rsid w:val="00171CC1"/>
    <w:rsid w:val="00171DB6"/>
    <w:rsid w:val="00171F3E"/>
    <w:rsid w:val="00171FB7"/>
    <w:rsid w:val="00172073"/>
    <w:rsid w:val="0017228E"/>
    <w:rsid w:val="001722E5"/>
    <w:rsid w:val="0017244F"/>
    <w:rsid w:val="0017260C"/>
    <w:rsid w:val="001726FC"/>
    <w:rsid w:val="0017286F"/>
    <w:rsid w:val="001728EE"/>
    <w:rsid w:val="001729DD"/>
    <w:rsid w:val="00172A66"/>
    <w:rsid w:val="00172B31"/>
    <w:rsid w:val="00172BE7"/>
    <w:rsid w:val="00172CE2"/>
    <w:rsid w:val="00172D2F"/>
    <w:rsid w:val="00172E21"/>
    <w:rsid w:val="00172EF6"/>
    <w:rsid w:val="00173018"/>
    <w:rsid w:val="001730B1"/>
    <w:rsid w:val="0017321A"/>
    <w:rsid w:val="001734BB"/>
    <w:rsid w:val="0017361B"/>
    <w:rsid w:val="00173744"/>
    <w:rsid w:val="001737A4"/>
    <w:rsid w:val="0017383C"/>
    <w:rsid w:val="0017389B"/>
    <w:rsid w:val="001738AC"/>
    <w:rsid w:val="00173A3D"/>
    <w:rsid w:val="00173B14"/>
    <w:rsid w:val="00173BFC"/>
    <w:rsid w:val="00173C07"/>
    <w:rsid w:val="00173C3E"/>
    <w:rsid w:val="00173D06"/>
    <w:rsid w:val="00173E22"/>
    <w:rsid w:val="00173EF3"/>
    <w:rsid w:val="00174120"/>
    <w:rsid w:val="00174321"/>
    <w:rsid w:val="001743A2"/>
    <w:rsid w:val="00174439"/>
    <w:rsid w:val="001745B6"/>
    <w:rsid w:val="0017463E"/>
    <w:rsid w:val="0017468A"/>
    <w:rsid w:val="0017483F"/>
    <w:rsid w:val="00174842"/>
    <w:rsid w:val="00174AD1"/>
    <w:rsid w:val="00174B05"/>
    <w:rsid w:val="00174B5C"/>
    <w:rsid w:val="00174B96"/>
    <w:rsid w:val="00174C2B"/>
    <w:rsid w:val="00174CE3"/>
    <w:rsid w:val="00174D64"/>
    <w:rsid w:val="00174DF8"/>
    <w:rsid w:val="00174EE2"/>
    <w:rsid w:val="00174FF3"/>
    <w:rsid w:val="0017503E"/>
    <w:rsid w:val="0017504F"/>
    <w:rsid w:val="00175223"/>
    <w:rsid w:val="001752D5"/>
    <w:rsid w:val="0017534E"/>
    <w:rsid w:val="00175451"/>
    <w:rsid w:val="001754A2"/>
    <w:rsid w:val="00175545"/>
    <w:rsid w:val="001755A8"/>
    <w:rsid w:val="001757A2"/>
    <w:rsid w:val="001758AC"/>
    <w:rsid w:val="0017595F"/>
    <w:rsid w:val="001759CE"/>
    <w:rsid w:val="001759FB"/>
    <w:rsid w:val="00175BC5"/>
    <w:rsid w:val="00175C3E"/>
    <w:rsid w:val="00175DBA"/>
    <w:rsid w:val="00175DE3"/>
    <w:rsid w:val="00175DEA"/>
    <w:rsid w:val="00175E5C"/>
    <w:rsid w:val="0017605B"/>
    <w:rsid w:val="00176144"/>
    <w:rsid w:val="001761FF"/>
    <w:rsid w:val="0017620C"/>
    <w:rsid w:val="00176295"/>
    <w:rsid w:val="00176322"/>
    <w:rsid w:val="0017637B"/>
    <w:rsid w:val="00176399"/>
    <w:rsid w:val="00176461"/>
    <w:rsid w:val="00176649"/>
    <w:rsid w:val="0017688C"/>
    <w:rsid w:val="0017694E"/>
    <w:rsid w:val="00176B1A"/>
    <w:rsid w:val="00176C23"/>
    <w:rsid w:val="00176C90"/>
    <w:rsid w:val="00176CB7"/>
    <w:rsid w:val="00176E30"/>
    <w:rsid w:val="00176E7C"/>
    <w:rsid w:val="00176E92"/>
    <w:rsid w:val="00176FFC"/>
    <w:rsid w:val="0017704C"/>
    <w:rsid w:val="0017710B"/>
    <w:rsid w:val="0017715F"/>
    <w:rsid w:val="00177162"/>
    <w:rsid w:val="00177283"/>
    <w:rsid w:val="00177386"/>
    <w:rsid w:val="00177387"/>
    <w:rsid w:val="00177429"/>
    <w:rsid w:val="0017761D"/>
    <w:rsid w:val="00177766"/>
    <w:rsid w:val="001777BF"/>
    <w:rsid w:val="00177806"/>
    <w:rsid w:val="0017786F"/>
    <w:rsid w:val="001778CD"/>
    <w:rsid w:val="00177A56"/>
    <w:rsid w:val="00177BE4"/>
    <w:rsid w:val="00177C50"/>
    <w:rsid w:val="00177C9E"/>
    <w:rsid w:val="00177D1A"/>
    <w:rsid w:val="00177E39"/>
    <w:rsid w:val="00177E52"/>
    <w:rsid w:val="00177E5D"/>
    <w:rsid w:val="00177E8B"/>
    <w:rsid w:val="00177E96"/>
    <w:rsid w:val="00177EC4"/>
    <w:rsid w:val="00177FAF"/>
    <w:rsid w:val="00177FD3"/>
    <w:rsid w:val="0018000F"/>
    <w:rsid w:val="0018005B"/>
    <w:rsid w:val="00180100"/>
    <w:rsid w:val="0018026B"/>
    <w:rsid w:val="001802E7"/>
    <w:rsid w:val="00180322"/>
    <w:rsid w:val="001803AD"/>
    <w:rsid w:val="00180478"/>
    <w:rsid w:val="0018051E"/>
    <w:rsid w:val="00180579"/>
    <w:rsid w:val="001805F1"/>
    <w:rsid w:val="00180662"/>
    <w:rsid w:val="00180665"/>
    <w:rsid w:val="00180728"/>
    <w:rsid w:val="001807D7"/>
    <w:rsid w:val="001807EF"/>
    <w:rsid w:val="00180919"/>
    <w:rsid w:val="001809A9"/>
    <w:rsid w:val="00180A5F"/>
    <w:rsid w:val="00180AC1"/>
    <w:rsid w:val="00180B3F"/>
    <w:rsid w:val="00180B44"/>
    <w:rsid w:val="00180C32"/>
    <w:rsid w:val="00180C5D"/>
    <w:rsid w:val="00180FF3"/>
    <w:rsid w:val="001810BD"/>
    <w:rsid w:val="001810F4"/>
    <w:rsid w:val="001811D1"/>
    <w:rsid w:val="001812EB"/>
    <w:rsid w:val="0018134B"/>
    <w:rsid w:val="00181357"/>
    <w:rsid w:val="0018149C"/>
    <w:rsid w:val="0018160F"/>
    <w:rsid w:val="00181712"/>
    <w:rsid w:val="00181758"/>
    <w:rsid w:val="001817A1"/>
    <w:rsid w:val="001817AD"/>
    <w:rsid w:val="001817F5"/>
    <w:rsid w:val="001818C8"/>
    <w:rsid w:val="00181A0A"/>
    <w:rsid w:val="00181A77"/>
    <w:rsid w:val="00181A82"/>
    <w:rsid w:val="00181AAE"/>
    <w:rsid w:val="00181BC5"/>
    <w:rsid w:val="00181C36"/>
    <w:rsid w:val="00181D7B"/>
    <w:rsid w:val="00181DE1"/>
    <w:rsid w:val="00181E6F"/>
    <w:rsid w:val="00181F20"/>
    <w:rsid w:val="00181F86"/>
    <w:rsid w:val="00181FA5"/>
    <w:rsid w:val="00182040"/>
    <w:rsid w:val="0018207F"/>
    <w:rsid w:val="00182125"/>
    <w:rsid w:val="0018213B"/>
    <w:rsid w:val="00182198"/>
    <w:rsid w:val="001823AA"/>
    <w:rsid w:val="0018259D"/>
    <w:rsid w:val="00182646"/>
    <w:rsid w:val="00182695"/>
    <w:rsid w:val="001827D7"/>
    <w:rsid w:val="0018295B"/>
    <w:rsid w:val="00182996"/>
    <w:rsid w:val="001829AE"/>
    <w:rsid w:val="00182B3B"/>
    <w:rsid w:val="00182BBA"/>
    <w:rsid w:val="00182C0C"/>
    <w:rsid w:val="00182C8E"/>
    <w:rsid w:val="00182CFD"/>
    <w:rsid w:val="00182D9D"/>
    <w:rsid w:val="00182FDE"/>
    <w:rsid w:val="00183069"/>
    <w:rsid w:val="00183082"/>
    <w:rsid w:val="001831C8"/>
    <w:rsid w:val="00183204"/>
    <w:rsid w:val="00183267"/>
    <w:rsid w:val="00183333"/>
    <w:rsid w:val="00183443"/>
    <w:rsid w:val="001836F0"/>
    <w:rsid w:val="0018378A"/>
    <w:rsid w:val="001837A8"/>
    <w:rsid w:val="00183985"/>
    <w:rsid w:val="00183996"/>
    <w:rsid w:val="00183BAA"/>
    <w:rsid w:val="00183BC1"/>
    <w:rsid w:val="00183C5F"/>
    <w:rsid w:val="00183D99"/>
    <w:rsid w:val="00183FB0"/>
    <w:rsid w:val="00183FDB"/>
    <w:rsid w:val="00184257"/>
    <w:rsid w:val="0018425F"/>
    <w:rsid w:val="00184381"/>
    <w:rsid w:val="001843B4"/>
    <w:rsid w:val="001843BD"/>
    <w:rsid w:val="00184440"/>
    <w:rsid w:val="00184462"/>
    <w:rsid w:val="001845B4"/>
    <w:rsid w:val="00184794"/>
    <w:rsid w:val="0018482B"/>
    <w:rsid w:val="00184A0F"/>
    <w:rsid w:val="00184A5F"/>
    <w:rsid w:val="00184A8D"/>
    <w:rsid w:val="00184B9D"/>
    <w:rsid w:val="00184C08"/>
    <w:rsid w:val="00184CD2"/>
    <w:rsid w:val="00184DD5"/>
    <w:rsid w:val="00184E22"/>
    <w:rsid w:val="00184E4D"/>
    <w:rsid w:val="00184F74"/>
    <w:rsid w:val="0018506A"/>
    <w:rsid w:val="0018507C"/>
    <w:rsid w:val="00185159"/>
    <w:rsid w:val="001851EE"/>
    <w:rsid w:val="0018523C"/>
    <w:rsid w:val="0018526D"/>
    <w:rsid w:val="00185347"/>
    <w:rsid w:val="0018536E"/>
    <w:rsid w:val="0018539C"/>
    <w:rsid w:val="0018544E"/>
    <w:rsid w:val="001854F3"/>
    <w:rsid w:val="001855D9"/>
    <w:rsid w:val="0018576B"/>
    <w:rsid w:val="001857F3"/>
    <w:rsid w:val="00185889"/>
    <w:rsid w:val="00185942"/>
    <w:rsid w:val="00185996"/>
    <w:rsid w:val="00185B6E"/>
    <w:rsid w:val="00185C3F"/>
    <w:rsid w:val="00185E79"/>
    <w:rsid w:val="00185F84"/>
    <w:rsid w:val="00186055"/>
    <w:rsid w:val="001860B4"/>
    <w:rsid w:val="00186196"/>
    <w:rsid w:val="001862A3"/>
    <w:rsid w:val="001862DD"/>
    <w:rsid w:val="001862F7"/>
    <w:rsid w:val="00186327"/>
    <w:rsid w:val="00186427"/>
    <w:rsid w:val="0018643F"/>
    <w:rsid w:val="0018644C"/>
    <w:rsid w:val="0018644F"/>
    <w:rsid w:val="001865DC"/>
    <w:rsid w:val="0018688B"/>
    <w:rsid w:val="001869DF"/>
    <w:rsid w:val="00186A9E"/>
    <w:rsid w:val="00186BC3"/>
    <w:rsid w:val="00186D09"/>
    <w:rsid w:val="00186DF6"/>
    <w:rsid w:val="00186E2A"/>
    <w:rsid w:val="00186F5B"/>
    <w:rsid w:val="0018723B"/>
    <w:rsid w:val="00187273"/>
    <w:rsid w:val="001872EC"/>
    <w:rsid w:val="0018731F"/>
    <w:rsid w:val="00187355"/>
    <w:rsid w:val="00187379"/>
    <w:rsid w:val="001875D0"/>
    <w:rsid w:val="001875E1"/>
    <w:rsid w:val="0018767D"/>
    <w:rsid w:val="00187698"/>
    <w:rsid w:val="001876CF"/>
    <w:rsid w:val="00187710"/>
    <w:rsid w:val="0018791E"/>
    <w:rsid w:val="001879F8"/>
    <w:rsid w:val="00187A71"/>
    <w:rsid w:val="00187A8E"/>
    <w:rsid w:val="00187AAF"/>
    <w:rsid w:val="00187BD0"/>
    <w:rsid w:val="00187F3E"/>
    <w:rsid w:val="00187F4C"/>
    <w:rsid w:val="00190025"/>
    <w:rsid w:val="001900C5"/>
    <w:rsid w:val="00190195"/>
    <w:rsid w:val="001901AD"/>
    <w:rsid w:val="001901D3"/>
    <w:rsid w:val="001901FA"/>
    <w:rsid w:val="00190203"/>
    <w:rsid w:val="00190204"/>
    <w:rsid w:val="001902F4"/>
    <w:rsid w:val="001903D9"/>
    <w:rsid w:val="00190429"/>
    <w:rsid w:val="0019046F"/>
    <w:rsid w:val="00190764"/>
    <w:rsid w:val="001908E4"/>
    <w:rsid w:val="00190950"/>
    <w:rsid w:val="00190AA8"/>
    <w:rsid w:val="00190AC0"/>
    <w:rsid w:val="00190B07"/>
    <w:rsid w:val="00190CCD"/>
    <w:rsid w:val="00190CE2"/>
    <w:rsid w:val="00190D30"/>
    <w:rsid w:val="00190D37"/>
    <w:rsid w:val="00190D73"/>
    <w:rsid w:val="00190E2A"/>
    <w:rsid w:val="00190FAA"/>
    <w:rsid w:val="001911C1"/>
    <w:rsid w:val="0019124D"/>
    <w:rsid w:val="00191270"/>
    <w:rsid w:val="00191272"/>
    <w:rsid w:val="0019131E"/>
    <w:rsid w:val="0019146A"/>
    <w:rsid w:val="001915AD"/>
    <w:rsid w:val="0019165D"/>
    <w:rsid w:val="001917EF"/>
    <w:rsid w:val="00191905"/>
    <w:rsid w:val="0019197D"/>
    <w:rsid w:val="001919B0"/>
    <w:rsid w:val="001919FA"/>
    <w:rsid w:val="00191A08"/>
    <w:rsid w:val="00191AC1"/>
    <w:rsid w:val="00191C0C"/>
    <w:rsid w:val="00191C1D"/>
    <w:rsid w:val="00191D66"/>
    <w:rsid w:val="00191EE5"/>
    <w:rsid w:val="00191FE5"/>
    <w:rsid w:val="00192095"/>
    <w:rsid w:val="001920EF"/>
    <w:rsid w:val="001921D5"/>
    <w:rsid w:val="0019223B"/>
    <w:rsid w:val="00192262"/>
    <w:rsid w:val="001922C7"/>
    <w:rsid w:val="00192362"/>
    <w:rsid w:val="0019238F"/>
    <w:rsid w:val="001924C7"/>
    <w:rsid w:val="00192542"/>
    <w:rsid w:val="00192560"/>
    <w:rsid w:val="0019259D"/>
    <w:rsid w:val="00192719"/>
    <w:rsid w:val="0019272F"/>
    <w:rsid w:val="00192773"/>
    <w:rsid w:val="00192816"/>
    <w:rsid w:val="00192842"/>
    <w:rsid w:val="001928C4"/>
    <w:rsid w:val="00192B96"/>
    <w:rsid w:val="00192C41"/>
    <w:rsid w:val="00192EB1"/>
    <w:rsid w:val="00192FF9"/>
    <w:rsid w:val="001930AE"/>
    <w:rsid w:val="00193110"/>
    <w:rsid w:val="00193183"/>
    <w:rsid w:val="001932EC"/>
    <w:rsid w:val="00193377"/>
    <w:rsid w:val="001933C0"/>
    <w:rsid w:val="001933E9"/>
    <w:rsid w:val="00193423"/>
    <w:rsid w:val="0019344E"/>
    <w:rsid w:val="00193468"/>
    <w:rsid w:val="001935BB"/>
    <w:rsid w:val="001935DE"/>
    <w:rsid w:val="0019368C"/>
    <w:rsid w:val="0019372C"/>
    <w:rsid w:val="001939CA"/>
    <w:rsid w:val="00193A47"/>
    <w:rsid w:val="00193C3A"/>
    <w:rsid w:val="00193D25"/>
    <w:rsid w:val="00193D35"/>
    <w:rsid w:val="00193E4E"/>
    <w:rsid w:val="00193EC7"/>
    <w:rsid w:val="00193EFA"/>
    <w:rsid w:val="00193F25"/>
    <w:rsid w:val="00193F63"/>
    <w:rsid w:val="0019400D"/>
    <w:rsid w:val="001940C6"/>
    <w:rsid w:val="001943B8"/>
    <w:rsid w:val="00194506"/>
    <w:rsid w:val="00194540"/>
    <w:rsid w:val="00194569"/>
    <w:rsid w:val="001945AF"/>
    <w:rsid w:val="00194634"/>
    <w:rsid w:val="0019475D"/>
    <w:rsid w:val="0019489E"/>
    <w:rsid w:val="001949E8"/>
    <w:rsid w:val="00194A6C"/>
    <w:rsid w:val="00194A74"/>
    <w:rsid w:val="00194AC2"/>
    <w:rsid w:val="00194B2A"/>
    <w:rsid w:val="00194CD4"/>
    <w:rsid w:val="00194D2B"/>
    <w:rsid w:val="00194F69"/>
    <w:rsid w:val="00195083"/>
    <w:rsid w:val="0019521B"/>
    <w:rsid w:val="001952B5"/>
    <w:rsid w:val="001952E2"/>
    <w:rsid w:val="0019533F"/>
    <w:rsid w:val="001953C1"/>
    <w:rsid w:val="00195536"/>
    <w:rsid w:val="00195622"/>
    <w:rsid w:val="0019570F"/>
    <w:rsid w:val="0019584B"/>
    <w:rsid w:val="00195B1D"/>
    <w:rsid w:val="00195B68"/>
    <w:rsid w:val="00195B7D"/>
    <w:rsid w:val="00195BC0"/>
    <w:rsid w:val="00195C3C"/>
    <w:rsid w:val="00195E58"/>
    <w:rsid w:val="00195EA1"/>
    <w:rsid w:val="00196092"/>
    <w:rsid w:val="001961EE"/>
    <w:rsid w:val="0019637C"/>
    <w:rsid w:val="0019648B"/>
    <w:rsid w:val="001965C1"/>
    <w:rsid w:val="00196635"/>
    <w:rsid w:val="00196865"/>
    <w:rsid w:val="001968AC"/>
    <w:rsid w:val="001968BA"/>
    <w:rsid w:val="00196B24"/>
    <w:rsid w:val="00196B6B"/>
    <w:rsid w:val="00196C93"/>
    <w:rsid w:val="00196CA7"/>
    <w:rsid w:val="00196CAB"/>
    <w:rsid w:val="00196D49"/>
    <w:rsid w:val="00196D60"/>
    <w:rsid w:val="00196DF5"/>
    <w:rsid w:val="00196EB1"/>
    <w:rsid w:val="00196F44"/>
    <w:rsid w:val="00196F4A"/>
    <w:rsid w:val="00197075"/>
    <w:rsid w:val="00197126"/>
    <w:rsid w:val="001971EE"/>
    <w:rsid w:val="00197249"/>
    <w:rsid w:val="001973C7"/>
    <w:rsid w:val="0019743B"/>
    <w:rsid w:val="00197493"/>
    <w:rsid w:val="001974EC"/>
    <w:rsid w:val="00197613"/>
    <w:rsid w:val="001976C9"/>
    <w:rsid w:val="001976E4"/>
    <w:rsid w:val="001976FE"/>
    <w:rsid w:val="0019774A"/>
    <w:rsid w:val="00197954"/>
    <w:rsid w:val="00197B5B"/>
    <w:rsid w:val="00197C6C"/>
    <w:rsid w:val="00197C83"/>
    <w:rsid w:val="00197DB4"/>
    <w:rsid w:val="00197EFF"/>
    <w:rsid w:val="001A0022"/>
    <w:rsid w:val="001A003D"/>
    <w:rsid w:val="001A0118"/>
    <w:rsid w:val="001A03F8"/>
    <w:rsid w:val="001A048A"/>
    <w:rsid w:val="001A04BE"/>
    <w:rsid w:val="001A054C"/>
    <w:rsid w:val="001A0586"/>
    <w:rsid w:val="001A05E7"/>
    <w:rsid w:val="001A0628"/>
    <w:rsid w:val="001A0685"/>
    <w:rsid w:val="001A0767"/>
    <w:rsid w:val="001A0813"/>
    <w:rsid w:val="001A097A"/>
    <w:rsid w:val="001A0B28"/>
    <w:rsid w:val="001A0BA7"/>
    <w:rsid w:val="001A0BAB"/>
    <w:rsid w:val="001A0BF6"/>
    <w:rsid w:val="001A0C76"/>
    <w:rsid w:val="001A0CDC"/>
    <w:rsid w:val="001A0DDA"/>
    <w:rsid w:val="001A0DE4"/>
    <w:rsid w:val="001A0E10"/>
    <w:rsid w:val="001A0E71"/>
    <w:rsid w:val="001A0EC5"/>
    <w:rsid w:val="001A0F80"/>
    <w:rsid w:val="001A10DD"/>
    <w:rsid w:val="001A115B"/>
    <w:rsid w:val="001A118F"/>
    <w:rsid w:val="001A11D4"/>
    <w:rsid w:val="001A1227"/>
    <w:rsid w:val="001A12A2"/>
    <w:rsid w:val="001A1349"/>
    <w:rsid w:val="001A139B"/>
    <w:rsid w:val="001A1435"/>
    <w:rsid w:val="001A1495"/>
    <w:rsid w:val="001A159D"/>
    <w:rsid w:val="001A1624"/>
    <w:rsid w:val="001A1668"/>
    <w:rsid w:val="001A166D"/>
    <w:rsid w:val="001A1816"/>
    <w:rsid w:val="001A1951"/>
    <w:rsid w:val="001A1A71"/>
    <w:rsid w:val="001A1B95"/>
    <w:rsid w:val="001A1BD3"/>
    <w:rsid w:val="001A1C12"/>
    <w:rsid w:val="001A1C78"/>
    <w:rsid w:val="001A1CB6"/>
    <w:rsid w:val="001A1D07"/>
    <w:rsid w:val="001A1DCE"/>
    <w:rsid w:val="001A1EDC"/>
    <w:rsid w:val="001A1EE3"/>
    <w:rsid w:val="001A206A"/>
    <w:rsid w:val="001A20BB"/>
    <w:rsid w:val="001A211A"/>
    <w:rsid w:val="001A216D"/>
    <w:rsid w:val="001A21E7"/>
    <w:rsid w:val="001A22F4"/>
    <w:rsid w:val="001A239C"/>
    <w:rsid w:val="001A23D5"/>
    <w:rsid w:val="001A24BD"/>
    <w:rsid w:val="001A25D8"/>
    <w:rsid w:val="001A2791"/>
    <w:rsid w:val="001A27CB"/>
    <w:rsid w:val="001A2988"/>
    <w:rsid w:val="001A29E9"/>
    <w:rsid w:val="001A2A4E"/>
    <w:rsid w:val="001A2A91"/>
    <w:rsid w:val="001A2B4D"/>
    <w:rsid w:val="001A2C66"/>
    <w:rsid w:val="001A2E80"/>
    <w:rsid w:val="001A306F"/>
    <w:rsid w:val="001A311D"/>
    <w:rsid w:val="001A312F"/>
    <w:rsid w:val="001A31BD"/>
    <w:rsid w:val="001A3248"/>
    <w:rsid w:val="001A32A1"/>
    <w:rsid w:val="001A32F1"/>
    <w:rsid w:val="001A3387"/>
    <w:rsid w:val="001A33B2"/>
    <w:rsid w:val="001A3412"/>
    <w:rsid w:val="001A370F"/>
    <w:rsid w:val="001A385E"/>
    <w:rsid w:val="001A39F4"/>
    <w:rsid w:val="001A3AC2"/>
    <w:rsid w:val="001A3BD1"/>
    <w:rsid w:val="001A3C92"/>
    <w:rsid w:val="001A3D7D"/>
    <w:rsid w:val="001A3D95"/>
    <w:rsid w:val="001A3E5D"/>
    <w:rsid w:val="001A3E93"/>
    <w:rsid w:val="001A400B"/>
    <w:rsid w:val="001A40B6"/>
    <w:rsid w:val="001A40C8"/>
    <w:rsid w:val="001A413C"/>
    <w:rsid w:val="001A4192"/>
    <w:rsid w:val="001A41C9"/>
    <w:rsid w:val="001A4215"/>
    <w:rsid w:val="001A4219"/>
    <w:rsid w:val="001A42A3"/>
    <w:rsid w:val="001A43AF"/>
    <w:rsid w:val="001A43BA"/>
    <w:rsid w:val="001A4411"/>
    <w:rsid w:val="001A4468"/>
    <w:rsid w:val="001A4483"/>
    <w:rsid w:val="001A4537"/>
    <w:rsid w:val="001A4546"/>
    <w:rsid w:val="001A45BE"/>
    <w:rsid w:val="001A47DB"/>
    <w:rsid w:val="001A4808"/>
    <w:rsid w:val="001A483D"/>
    <w:rsid w:val="001A486C"/>
    <w:rsid w:val="001A49A6"/>
    <w:rsid w:val="001A4A5F"/>
    <w:rsid w:val="001A4A7C"/>
    <w:rsid w:val="001A4B28"/>
    <w:rsid w:val="001A4B6C"/>
    <w:rsid w:val="001A4BC4"/>
    <w:rsid w:val="001A4C30"/>
    <w:rsid w:val="001A4CE8"/>
    <w:rsid w:val="001A5040"/>
    <w:rsid w:val="001A5128"/>
    <w:rsid w:val="001A5425"/>
    <w:rsid w:val="001A545D"/>
    <w:rsid w:val="001A5649"/>
    <w:rsid w:val="001A56B3"/>
    <w:rsid w:val="001A56B5"/>
    <w:rsid w:val="001A56DC"/>
    <w:rsid w:val="001A57D0"/>
    <w:rsid w:val="001A58FB"/>
    <w:rsid w:val="001A5925"/>
    <w:rsid w:val="001A593B"/>
    <w:rsid w:val="001A5A75"/>
    <w:rsid w:val="001A5AA3"/>
    <w:rsid w:val="001A5D19"/>
    <w:rsid w:val="001A5D1D"/>
    <w:rsid w:val="001A5D51"/>
    <w:rsid w:val="001A5E19"/>
    <w:rsid w:val="001A5EC8"/>
    <w:rsid w:val="001A5EEC"/>
    <w:rsid w:val="001A5F41"/>
    <w:rsid w:val="001A61D9"/>
    <w:rsid w:val="001A659C"/>
    <w:rsid w:val="001A65A7"/>
    <w:rsid w:val="001A665E"/>
    <w:rsid w:val="001A6709"/>
    <w:rsid w:val="001A67DC"/>
    <w:rsid w:val="001A67F7"/>
    <w:rsid w:val="001A6993"/>
    <w:rsid w:val="001A6AEC"/>
    <w:rsid w:val="001A6B4F"/>
    <w:rsid w:val="001A6BEA"/>
    <w:rsid w:val="001A6CDA"/>
    <w:rsid w:val="001A6D2D"/>
    <w:rsid w:val="001A6DF1"/>
    <w:rsid w:val="001A6E7B"/>
    <w:rsid w:val="001A6EF1"/>
    <w:rsid w:val="001A6F55"/>
    <w:rsid w:val="001A7022"/>
    <w:rsid w:val="001A70F7"/>
    <w:rsid w:val="001A73FF"/>
    <w:rsid w:val="001A74C1"/>
    <w:rsid w:val="001A7543"/>
    <w:rsid w:val="001A7580"/>
    <w:rsid w:val="001A761E"/>
    <w:rsid w:val="001A774B"/>
    <w:rsid w:val="001A7798"/>
    <w:rsid w:val="001A782C"/>
    <w:rsid w:val="001A78CE"/>
    <w:rsid w:val="001A78D7"/>
    <w:rsid w:val="001A7AD7"/>
    <w:rsid w:val="001A7B76"/>
    <w:rsid w:val="001A7B7A"/>
    <w:rsid w:val="001A7B9B"/>
    <w:rsid w:val="001A7CFD"/>
    <w:rsid w:val="001A7D7F"/>
    <w:rsid w:val="001A7E73"/>
    <w:rsid w:val="001A7E9F"/>
    <w:rsid w:val="001B000C"/>
    <w:rsid w:val="001B0042"/>
    <w:rsid w:val="001B00F8"/>
    <w:rsid w:val="001B01A8"/>
    <w:rsid w:val="001B02AC"/>
    <w:rsid w:val="001B0332"/>
    <w:rsid w:val="001B0338"/>
    <w:rsid w:val="001B05BD"/>
    <w:rsid w:val="001B0668"/>
    <w:rsid w:val="001B07B9"/>
    <w:rsid w:val="001B0868"/>
    <w:rsid w:val="001B08D7"/>
    <w:rsid w:val="001B096D"/>
    <w:rsid w:val="001B09A5"/>
    <w:rsid w:val="001B09BC"/>
    <w:rsid w:val="001B09EB"/>
    <w:rsid w:val="001B0A5D"/>
    <w:rsid w:val="001B0D56"/>
    <w:rsid w:val="001B0DDF"/>
    <w:rsid w:val="001B0E26"/>
    <w:rsid w:val="001B0E90"/>
    <w:rsid w:val="001B0F7A"/>
    <w:rsid w:val="001B0FE9"/>
    <w:rsid w:val="001B107F"/>
    <w:rsid w:val="001B11DE"/>
    <w:rsid w:val="001B1289"/>
    <w:rsid w:val="001B132C"/>
    <w:rsid w:val="001B13A5"/>
    <w:rsid w:val="001B1422"/>
    <w:rsid w:val="001B15E5"/>
    <w:rsid w:val="001B15F0"/>
    <w:rsid w:val="001B1684"/>
    <w:rsid w:val="001B17BA"/>
    <w:rsid w:val="001B1812"/>
    <w:rsid w:val="001B1911"/>
    <w:rsid w:val="001B1A14"/>
    <w:rsid w:val="001B1F1C"/>
    <w:rsid w:val="001B1F4C"/>
    <w:rsid w:val="001B1F77"/>
    <w:rsid w:val="001B216A"/>
    <w:rsid w:val="001B2320"/>
    <w:rsid w:val="001B2537"/>
    <w:rsid w:val="001B25FB"/>
    <w:rsid w:val="001B264E"/>
    <w:rsid w:val="001B2742"/>
    <w:rsid w:val="001B274E"/>
    <w:rsid w:val="001B2898"/>
    <w:rsid w:val="001B28E6"/>
    <w:rsid w:val="001B2960"/>
    <w:rsid w:val="001B2A86"/>
    <w:rsid w:val="001B2CBE"/>
    <w:rsid w:val="001B2CBF"/>
    <w:rsid w:val="001B3129"/>
    <w:rsid w:val="001B312B"/>
    <w:rsid w:val="001B3281"/>
    <w:rsid w:val="001B32BA"/>
    <w:rsid w:val="001B32D2"/>
    <w:rsid w:val="001B338C"/>
    <w:rsid w:val="001B33BD"/>
    <w:rsid w:val="001B34F0"/>
    <w:rsid w:val="001B356E"/>
    <w:rsid w:val="001B35EF"/>
    <w:rsid w:val="001B360C"/>
    <w:rsid w:val="001B3623"/>
    <w:rsid w:val="001B3642"/>
    <w:rsid w:val="001B3658"/>
    <w:rsid w:val="001B36FF"/>
    <w:rsid w:val="001B3701"/>
    <w:rsid w:val="001B371C"/>
    <w:rsid w:val="001B3804"/>
    <w:rsid w:val="001B3873"/>
    <w:rsid w:val="001B3967"/>
    <w:rsid w:val="001B3A4D"/>
    <w:rsid w:val="001B3B4B"/>
    <w:rsid w:val="001B3B5F"/>
    <w:rsid w:val="001B3BBB"/>
    <w:rsid w:val="001B3D59"/>
    <w:rsid w:val="001B3E34"/>
    <w:rsid w:val="001B3E43"/>
    <w:rsid w:val="001B400E"/>
    <w:rsid w:val="001B4180"/>
    <w:rsid w:val="001B4464"/>
    <w:rsid w:val="001B4499"/>
    <w:rsid w:val="001B44BE"/>
    <w:rsid w:val="001B45D4"/>
    <w:rsid w:val="001B469D"/>
    <w:rsid w:val="001B480C"/>
    <w:rsid w:val="001B48A4"/>
    <w:rsid w:val="001B48DD"/>
    <w:rsid w:val="001B490F"/>
    <w:rsid w:val="001B49FA"/>
    <w:rsid w:val="001B4A4F"/>
    <w:rsid w:val="001B4A86"/>
    <w:rsid w:val="001B4CB3"/>
    <w:rsid w:val="001B4D26"/>
    <w:rsid w:val="001B4D36"/>
    <w:rsid w:val="001B4D75"/>
    <w:rsid w:val="001B4E34"/>
    <w:rsid w:val="001B4E46"/>
    <w:rsid w:val="001B4F8E"/>
    <w:rsid w:val="001B4FE3"/>
    <w:rsid w:val="001B4FFC"/>
    <w:rsid w:val="001B5049"/>
    <w:rsid w:val="001B514A"/>
    <w:rsid w:val="001B5305"/>
    <w:rsid w:val="001B53E6"/>
    <w:rsid w:val="001B545C"/>
    <w:rsid w:val="001B56BD"/>
    <w:rsid w:val="001B572E"/>
    <w:rsid w:val="001B5770"/>
    <w:rsid w:val="001B5798"/>
    <w:rsid w:val="001B5931"/>
    <w:rsid w:val="001B5A08"/>
    <w:rsid w:val="001B5B6D"/>
    <w:rsid w:val="001B5C35"/>
    <w:rsid w:val="001B5C5A"/>
    <w:rsid w:val="001B5C5F"/>
    <w:rsid w:val="001B5C92"/>
    <w:rsid w:val="001B5CA7"/>
    <w:rsid w:val="001B5DA4"/>
    <w:rsid w:val="001B5DCF"/>
    <w:rsid w:val="001B5E32"/>
    <w:rsid w:val="001B5E56"/>
    <w:rsid w:val="001B5FBE"/>
    <w:rsid w:val="001B6062"/>
    <w:rsid w:val="001B613B"/>
    <w:rsid w:val="001B6198"/>
    <w:rsid w:val="001B6303"/>
    <w:rsid w:val="001B6322"/>
    <w:rsid w:val="001B633B"/>
    <w:rsid w:val="001B651C"/>
    <w:rsid w:val="001B6544"/>
    <w:rsid w:val="001B66E6"/>
    <w:rsid w:val="001B67A7"/>
    <w:rsid w:val="001B67D8"/>
    <w:rsid w:val="001B6809"/>
    <w:rsid w:val="001B684C"/>
    <w:rsid w:val="001B6955"/>
    <w:rsid w:val="001B6AA3"/>
    <w:rsid w:val="001B6B4D"/>
    <w:rsid w:val="001B6BCF"/>
    <w:rsid w:val="001B6CB4"/>
    <w:rsid w:val="001B6E73"/>
    <w:rsid w:val="001B6E92"/>
    <w:rsid w:val="001B6ECD"/>
    <w:rsid w:val="001B6ED4"/>
    <w:rsid w:val="001B6EF8"/>
    <w:rsid w:val="001B6FB8"/>
    <w:rsid w:val="001B73B4"/>
    <w:rsid w:val="001B73DC"/>
    <w:rsid w:val="001B7468"/>
    <w:rsid w:val="001B7503"/>
    <w:rsid w:val="001B7524"/>
    <w:rsid w:val="001B765F"/>
    <w:rsid w:val="001B792D"/>
    <w:rsid w:val="001B79FD"/>
    <w:rsid w:val="001B7A05"/>
    <w:rsid w:val="001B7ADC"/>
    <w:rsid w:val="001B7B09"/>
    <w:rsid w:val="001B7B2E"/>
    <w:rsid w:val="001B7CB4"/>
    <w:rsid w:val="001B7CB5"/>
    <w:rsid w:val="001B7EF1"/>
    <w:rsid w:val="001C00A6"/>
    <w:rsid w:val="001C00F8"/>
    <w:rsid w:val="001C015F"/>
    <w:rsid w:val="001C0298"/>
    <w:rsid w:val="001C0345"/>
    <w:rsid w:val="001C0357"/>
    <w:rsid w:val="001C0453"/>
    <w:rsid w:val="001C04F7"/>
    <w:rsid w:val="001C059C"/>
    <w:rsid w:val="001C05FB"/>
    <w:rsid w:val="001C069C"/>
    <w:rsid w:val="001C07AC"/>
    <w:rsid w:val="001C083A"/>
    <w:rsid w:val="001C08F2"/>
    <w:rsid w:val="001C09BE"/>
    <w:rsid w:val="001C0AB7"/>
    <w:rsid w:val="001C0B24"/>
    <w:rsid w:val="001C0BB5"/>
    <w:rsid w:val="001C0CBF"/>
    <w:rsid w:val="001C0CEC"/>
    <w:rsid w:val="001C0D26"/>
    <w:rsid w:val="001C0E48"/>
    <w:rsid w:val="001C1130"/>
    <w:rsid w:val="001C11F5"/>
    <w:rsid w:val="001C125B"/>
    <w:rsid w:val="001C13BE"/>
    <w:rsid w:val="001C13BF"/>
    <w:rsid w:val="001C14B2"/>
    <w:rsid w:val="001C14D9"/>
    <w:rsid w:val="001C162B"/>
    <w:rsid w:val="001C178D"/>
    <w:rsid w:val="001C17E1"/>
    <w:rsid w:val="001C1BFE"/>
    <w:rsid w:val="001C1E56"/>
    <w:rsid w:val="001C1E6F"/>
    <w:rsid w:val="001C1E90"/>
    <w:rsid w:val="001C1EE4"/>
    <w:rsid w:val="001C1F57"/>
    <w:rsid w:val="001C2097"/>
    <w:rsid w:val="001C2138"/>
    <w:rsid w:val="001C2167"/>
    <w:rsid w:val="001C2183"/>
    <w:rsid w:val="001C2273"/>
    <w:rsid w:val="001C2314"/>
    <w:rsid w:val="001C2320"/>
    <w:rsid w:val="001C233C"/>
    <w:rsid w:val="001C2346"/>
    <w:rsid w:val="001C243D"/>
    <w:rsid w:val="001C249B"/>
    <w:rsid w:val="001C24EA"/>
    <w:rsid w:val="001C254E"/>
    <w:rsid w:val="001C25CA"/>
    <w:rsid w:val="001C25F6"/>
    <w:rsid w:val="001C265C"/>
    <w:rsid w:val="001C2707"/>
    <w:rsid w:val="001C2709"/>
    <w:rsid w:val="001C28C4"/>
    <w:rsid w:val="001C29A7"/>
    <w:rsid w:val="001C29AB"/>
    <w:rsid w:val="001C2A81"/>
    <w:rsid w:val="001C2B49"/>
    <w:rsid w:val="001C2B4A"/>
    <w:rsid w:val="001C2B71"/>
    <w:rsid w:val="001C2C0E"/>
    <w:rsid w:val="001C2DE4"/>
    <w:rsid w:val="001C30C0"/>
    <w:rsid w:val="001C311F"/>
    <w:rsid w:val="001C3181"/>
    <w:rsid w:val="001C323D"/>
    <w:rsid w:val="001C32DF"/>
    <w:rsid w:val="001C33BB"/>
    <w:rsid w:val="001C33D1"/>
    <w:rsid w:val="001C34CA"/>
    <w:rsid w:val="001C35D5"/>
    <w:rsid w:val="001C3606"/>
    <w:rsid w:val="001C3631"/>
    <w:rsid w:val="001C392C"/>
    <w:rsid w:val="001C396B"/>
    <w:rsid w:val="001C3BCB"/>
    <w:rsid w:val="001C3C12"/>
    <w:rsid w:val="001C3C53"/>
    <w:rsid w:val="001C3C8E"/>
    <w:rsid w:val="001C3CC2"/>
    <w:rsid w:val="001C3D7B"/>
    <w:rsid w:val="001C3DE9"/>
    <w:rsid w:val="001C4036"/>
    <w:rsid w:val="001C406C"/>
    <w:rsid w:val="001C40C8"/>
    <w:rsid w:val="001C4135"/>
    <w:rsid w:val="001C419A"/>
    <w:rsid w:val="001C4302"/>
    <w:rsid w:val="001C446B"/>
    <w:rsid w:val="001C4536"/>
    <w:rsid w:val="001C455C"/>
    <w:rsid w:val="001C46B1"/>
    <w:rsid w:val="001C4729"/>
    <w:rsid w:val="001C479E"/>
    <w:rsid w:val="001C4818"/>
    <w:rsid w:val="001C4848"/>
    <w:rsid w:val="001C4851"/>
    <w:rsid w:val="001C4AC5"/>
    <w:rsid w:val="001C4ACA"/>
    <w:rsid w:val="001C4ACF"/>
    <w:rsid w:val="001C4C6D"/>
    <w:rsid w:val="001C4CA3"/>
    <w:rsid w:val="001C4E2F"/>
    <w:rsid w:val="001C4E59"/>
    <w:rsid w:val="001C4FB0"/>
    <w:rsid w:val="001C5014"/>
    <w:rsid w:val="001C5015"/>
    <w:rsid w:val="001C506B"/>
    <w:rsid w:val="001C5070"/>
    <w:rsid w:val="001C50F9"/>
    <w:rsid w:val="001C511D"/>
    <w:rsid w:val="001C5296"/>
    <w:rsid w:val="001C533E"/>
    <w:rsid w:val="001C5453"/>
    <w:rsid w:val="001C5488"/>
    <w:rsid w:val="001C54B1"/>
    <w:rsid w:val="001C5522"/>
    <w:rsid w:val="001C5737"/>
    <w:rsid w:val="001C5944"/>
    <w:rsid w:val="001C5976"/>
    <w:rsid w:val="001C5A18"/>
    <w:rsid w:val="001C5A4D"/>
    <w:rsid w:val="001C5A8B"/>
    <w:rsid w:val="001C5AD2"/>
    <w:rsid w:val="001C5C61"/>
    <w:rsid w:val="001C5D2B"/>
    <w:rsid w:val="001C5E29"/>
    <w:rsid w:val="001C5E6C"/>
    <w:rsid w:val="001C5F05"/>
    <w:rsid w:val="001C5FDF"/>
    <w:rsid w:val="001C606E"/>
    <w:rsid w:val="001C6103"/>
    <w:rsid w:val="001C6112"/>
    <w:rsid w:val="001C6179"/>
    <w:rsid w:val="001C61EA"/>
    <w:rsid w:val="001C620A"/>
    <w:rsid w:val="001C6214"/>
    <w:rsid w:val="001C6289"/>
    <w:rsid w:val="001C636C"/>
    <w:rsid w:val="001C639D"/>
    <w:rsid w:val="001C6472"/>
    <w:rsid w:val="001C64F3"/>
    <w:rsid w:val="001C676D"/>
    <w:rsid w:val="001C67C3"/>
    <w:rsid w:val="001C6845"/>
    <w:rsid w:val="001C68D1"/>
    <w:rsid w:val="001C68E8"/>
    <w:rsid w:val="001C6C20"/>
    <w:rsid w:val="001C6D23"/>
    <w:rsid w:val="001C6D3A"/>
    <w:rsid w:val="001C6D58"/>
    <w:rsid w:val="001C6DCB"/>
    <w:rsid w:val="001C6E25"/>
    <w:rsid w:val="001C6F5F"/>
    <w:rsid w:val="001C6FA3"/>
    <w:rsid w:val="001C7094"/>
    <w:rsid w:val="001C70EA"/>
    <w:rsid w:val="001C725F"/>
    <w:rsid w:val="001C7265"/>
    <w:rsid w:val="001C72AC"/>
    <w:rsid w:val="001C72CE"/>
    <w:rsid w:val="001C7334"/>
    <w:rsid w:val="001C7632"/>
    <w:rsid w:val="001C77B0"/>
    <w:rsid w:val="001C78BD"/>
    <w:rsid w:val="001C7926"/>
    <w:rsid w:val="001C7A1F"/>
    <w:rsid w:val="001C7CC3"/>
    <w:rsid w:val="001C7FF0"/>
    <w:rsid w:val="001D009C"/>
    <w:rsid w:val="001D0127"/>
    <w:rsid w:val="001D02DC"/>
    <w:rsid w:val="001D030D"/>
    <w:rsid w:val="001D0395"/>
    <w:rsid w:val="001D03D0"/>
    <w:rsid w:val="001D03DC"/>
    <w:rsid w:val="001D0437"/>
    <w:rsid w:val="001D04B4"/>
    <w:rsid w:val="001D0528"/>
    <w:rsid w:val="001D05C3"/>
    <w:rsid w:val="001D0652"/>
    <w:rsid w:val="001D06AD"/>
    <w:rsid w:val="001D084F"/>
    <w:rsid w:val="001D09BF"/>
    <w:rsid w:val="001D09C2"/>
    <w:rsid w:val="001D09F3"/>
    <w:rsid w:val="001D0A10"/>
    <w:rsid w:val="001D0A48"/>
    <w:rsid w:val="001D0ADB"/>
    <w:rsid w:val="001D0C1B"/>
    <w:rsid w:val="001D0C6B"/>
    <w:rsid w:val="001D0CB9"/>
    <w:rsid w:val="001D0CD1"/>
    <w:rsid w:val="001D1023"/>
    <w:rsid w:val="001D1069"/>
    <w:rsid w:val="001D10AB"/>
    <w:rsid w:val="001D1138"/>
    <w:rsid w:val="001D1212"/>
    <w:rsid w:val="001D1498"/>
    <w:rsid w:val="001D14C8"/>
    <w:rsid w:val="001D1558"/>
    <w:rsid w:val="001D160C"/>
    <w:rsid w:val="001D17D3"/>
    <w:rsid w:val="001D1A97"/>
    <w:rsid w:val="001D1AD1"/>
    <w:rsid w:val="001D1B1C"/>
    <w:rsid w:val="001D1CA6"/>
    <w:rsid w:val="001D1D64"/>
    <w:rsid w:val="001D1D7C"/>
    <w:rsid w:val="001D1E09"/>
    <w:rsid w:val="001D1E5E"/>
    <w:rsid w:val="001D1E9A"/>
    <w:rsid w:val="001D1EDC"/>
    <w:rsid w:val="001D1F88"/>
    <w:rsid w:val="001D1FA0"/>
    <w:rsid w:val="001D2083"/>
    <w:rsid w:val="001D22CC"/>
    <w:rsid w:val="001D2308"/>
    <w:rsid w:val="001D23D3"/>
    <w:rsid w:val="001D2453"/>
    <w:rsid w:val="001D2481"/>
    <w:rsid w:val="001D24FA"/>
    <w:rsid w:val="001D25C4"/>
    <w:rsid w:val="001D2986"/>
    <w:rsid w:val="001D2A73"/>
    <w:rsid w:val="001D2C1D"/>
    <w:rsid w:val="001D2D5C"/>
    <w:rsid w:val="001D2D78"/>
    <w:rsid w:val="001D2D96"/>
    <w:rsid w:val="001D316E"/>
    <w:rsid w:val="001D318B"/>
    <w:rsid w:val="001D320A"/>
    <w:rsid w:val="001D3257"/>
    <w:rsid w:val="001D32CD"/>
    <w:rsid w:val="001D3307"/>
    <w:rsid w:val="001D3328"/>
    <w:rsid w:val="001D3432"/>
    <w:rsid w:val="001D346F"/>
    <w:rsid w:val="001D3672"/>
    <w:rsid w:val="001D36AE"/>
    <w:rsid w:val="001D377A"/>
    <w:rsid w:val="001D37B3"/>
    <w:rsid w:val="001D37B6"/>
    <w:rsid w:val="001D3834"/>
    <w:rsid w:val="001D3A29"/>
    <w:rsid w:val="001D3AED"/>
    <w:rsid w:val="001D3B7C"/>
    <w:rsid w:val="001D3C2F"/>
    <w:rsid w:val="001D3C4C"/>
    <w:rsid w:val="001D3D6A"/>
    <w:rsid w:val="001D3D81"/>
    <w:rsid w:val="001D3FAD"/>
    <w:rsid w:val="001D4036"/>
    <w:rsid w:val="001D4099"/>
    <w:rsid w:val="001D40BD"/>
    <w:rsid w:val="001D4279"/>
    <w:rsid w:val="001D43CB"/>
    <w:rsid w:val="001D455E"/>
    <w:rsid w:val="001D45DB"/>
    <w:rsid w:val="001D45EA"/>
    <w:rsid w:val="001D4665"/>
    <w:rsid w:val="001D46D0"/>
    <w:rsid w:val="001D47F9"/>
    <w:rsid w:val="001D4886"/>
    <w:rsid w:val="001D4A35"/>
    <w:rsid w:val="001D4AA8"/>
    <w:rsid w:val="001D4B3D"/>
    <w:rsid w:val="001D4EDD"/>
    <w:rsid w:val="001D4F22"/>
    <w:rsid w:val="001D4F2C"/>
    <w:rsid w:val="001D4F61"/>
    <w:rsid w:val="001D508E"/>
    <w:rsid w:val="001D5180"/>
    <w:rsid w:val="001D51C9"/>
    <w:rsid w:val="001D52B6"/>
    <w:rsid w:val="001D531D"/>
    <w:rsid w:val="001D53AA"/>
    <w:rsid w:val="001D55CE"/>
    <w:rsid w:val="001D5630"/>
    <w:rsid w:val="001D5679"/>
    <w:rsid w:val="001D5730"/>
    <w:rsid w:val="001D57C6"/>
    <w:rsid w:val="001D5A2C"/>
    <w:rsid w:val="001D5AA7"/>
    <w:rsid w:val="001D5CC4"/>
    <w:rsid w:val="001D5E99"/>
    <w:rsid w:val="001D5EB0"/>
    <w:rsid w:val="001D5F84"/>
    <w:rsid w:val="001D5FB2"/>
    <w:rsid w:val="001D5FBF"/>
    <w:rsid w:val="001D6006"/>
    <w:rsid w:val="001D6062"/>
    <w:rsid w:val="001D61C4"/>
    <w:rsid w:val="001D6204"/>
    <w:rsid w:val="001D6292"/>
    <w:rsid w:val="001D6380"/>
    <w:rsid w:val="001D63D6"/>
    <w:rsid w:val="001D65D0"/>
    <w:rsid w:val="001D668F"/>
    <w:rsid w:val="001D66AC"/>
    <w:rsid w:val="001D67EF"/>
    <w:rsid w:val="001D6A02"/>
    <w:rsid w:val="001D6AC4"/>
    <w:rsid w:val="001D6B4A"/>
    <w:rsid w:val="001D6BBC"/>
    <w:rsid w:val="001D6C09"/>
    <w:rsid w:val="001D6CF0"/>
    <w:rsid w:val="001D6D85"/>
    <w:rsid w:val="001D6DEE"/>
    <w:rsid w:val="001D6E8A"/>
    <w:rsid w:val="001D6EDB"/>
    <w:rsid w:val="001D704D"/>
    <w:rsid w:val="001D723C"/>
    <w:rsid w:val="001D733D"/>
    <w:rsid w:val="001D73E7"/>
    <w:rsid w:val="001D74A3"/>
    <w:rsid w:val="001D7557"/>
    <w:rsid w:val="001D75AD"/>
    <w:rsid w:val="001D7631"/>
    <w:rsid w:val="001D76A4"/>
    <w:rsid w:val="001D77CF"/>
    <w:rsid w:val="001D77F4"/>
    <w:rsid w:val="001D78A8"/>
    <w:rsid w:val="001D78AC"/>
    <w:rsid w:val="001D79CD"/>
    <w:rsid w:val="001D7AC0"/>
    <w:rsid w:val="001D7BFF"/>
    <w:rsid w:val="001D7CB1"/>
    <w:rsid w:val="001D7CCE"/>
    <w:rsid w:val="001D7E1A"/>
    <w:rsid w:val="001D7E4D"/>
    <w:rsid w:val="001D7E8B"/>
    <w:rsid w:val="001D7F3A"/>
    <w:rsid w:val="001D7FD9"/>
    <w:rsid w:val="001E00E8"/>
    <w:rsid w:val="001E01C0"/>
    <w:rsid w:val="001E036E"/>
    <w:rsid w:val="001E03DB"/>
    <w:rsid w:val="001E049B"/>
    <w:rsid w:val="001E056D"/>
    <w:rsid w:val="001E05AB"/>
    <w:rsid w:val="001E05E1"/>
    <w:rsid w:val="001E06F4"/>
    <w:rsid w:val="001E072A"/>
    <w:rsid w:val="001E0895"/>
    <w:rsid w:val="001E0896"/>
    <w:rsid w:val="001E0944"/>
    <w:rsid w:val="001E0A65"/>
    <w:rsid w:val="001E0BA5"/>
    <w:rsid w:val="001E0C0C"/>
    <w:rsid w:val="001E0C2A"/>
    <w:rsid w:val="001E0C38"/>
    <w:rsid w:val="001E0C54"/>
    <w:rsid w:val="001E0C82"/>
    <w:rsid w:val="001E0DC2"/>
    <w:rsid w:val="001E0E54"/>
    <w:rsid w:val="001E0E7C"/>
    <w:rsid w:val="001E0F57"/>
    <w:rsid w:val="001E0FC1"/>
    <w:rsid w:val="001E100E"/>
    <w:rsid w:val="001E108A"/>
    <w:rsid w:val="001E10A1"/>
    <w:rsid w:val="001E1166"/>
    <w:rsid w:val="001E11CD"/>
    <w:rsid w:val="001E13F0"/>
    <w:rsid w:val="001E1437"/>
    <w:rsid w:val="001E145D"/>
    <w:rsid w:val="001E146E"/>
    <w:rsid w:val="001E14DD"/>
    <w:rsid w:val="001E1510"/>
    <w:rsid w:val="001E1587"/>
    <w:rsid w:val="001E15F3"/>
    <w:rsid w:val="001E165B"/>
    <w:rsid w:val="001E1709"/>
    <w:rsid w:val="001E1739"/>
    <w:rsid w:val="001E180C"/>
    <w:rsid w:val="001E1979"/>
    <w:rsid w:val="001E19C4"/>
    <w:rsid w:val="001E1A16"/>
    <w:rsid w:val="001E1C57"/>
    <w:rsid w:val="001E1C6A"/>
    <w:rsid w:val="001E1C7C"/>
    <w:rsid w:val="001E1D90"/>
    <w:rsid w:val="001E1DE9"/>
    <w:rsid w:val="001E1E0D"/>
    <w:rsid w:val="001E1E13"/>
    <w:rsid w:val="001E1FC5"/>
    <w:rsid w:val="001E200D"/>
    <w:rsid w:val="001E201C"/>
    <w:rsid w:val="001E2068"/>
    <w:rsid w:val="001E209B"/>
    <w:rsid w:val="001E20B9"/>
    <w:rsid w:val="001E20CB"/>
    <w:rsid w:val="001E2170"/>
    <w:rsid w:val="001E2497"/>
    <w:rsid w:val="001E254D"/>
    <w:rsid w:val="001E255A"/>
    <w:rsid w:val="001E25F8"/>
    <w:rsid w:val="001E260D"/>
    <w:rsid w:val="001E26AE"/>
    <w:rsid w:val="001E26C2"/>
    <w:rsid w:val="001E27AC"/>
    <w:rsid w:val="001E27DE"/>
    <w:rsid w:val="001E2807"/>
    <w:rsid w:val="001E288B"/>
    <w:rsid w:val="001E28DB"/>
    <w:rsid w:val="001E28FD"/>
    <w:rsid w:val="001E29AB"/>
    <w:rsid w:val="001E2A3C"/>
    <w:rsid w:val="001E2A66"/>
    <w:rsid w:val="001E2CDB"/>
    <w:rsid w:val="001E2D08"/>
    <w:rsid w:val="001E2E6D"/>
    <w:rsid w:val="001E3011"/>
    <w:rsid w:val="001E3169"/>
    <w:rsid w:val="001E3367"/>
    <w:rsid w:val="001E33CD"/>
    <w:rsid w:val="001E344F"/>
    <w:rsid w:val="001E34C4"/>
    <w:rsid w:val="001E3640"/>
    <w:rsid w:val="001E36BC"/>
    <w:rsid w:val="001E3738"/>
    <w:rsid w:val="001E3808"/>
    <w:rsid w:val="001E383D"/>
    <w:rsid w:val="001E3A3D"/>
    <w:rsid w:val="001E3E33"/>
    <w:rsid w:val="001E3E61"/>
    <w:rsid w:val="001E3ED2"/>
    <w:rsid w:val="001E3FBA"/>
    <w:rsid w:val="001E409B"/>
    <w:rsid w:val="001E418C"/>
    <w:rsid w:val="001E4264"/>
    <w:rsid w:val="001E4349"/>
    <w:rsid w:val="001E43B3"/>
    <w:rsid w:val="001E4499"/>
    <w:rsid w:val="001E46F8"/>
    <w:rsid w:val="001E4724"/>
    <w:rsid w:val="001E47E1"/>
    <w:rsid w:val="001E482D"/>
    <w:rsid w:val="001E4927"/>
    <w:rsid w:val="001E4B2F"/>
    <w:rsid w:val="001E4BCE"/>
    <w:rsid w:val="001E500D"/>
    <w:rsid w:val="001E523D"/>
    <w:rsid w:val="001E529E"/>
    <w:rsid w:val="001E52CD"/>
    <w:rsid w:val="001E538B"/>
    <w:rsid w:val="001E53ED"/>
    <w:rsid w:val="001E5420"/>
    <w:rsid w:val="001E5480"/>
    <w:rsid w:val="001E54B7"/>
    <w:rsid w:val="001E55B0"/>
    <w:rsid w:val="001E55BC"/>
    <w:rsid w:val="001E56BA"/>
    <w:rsid w:val="001E581B"/>
    <w:rsid w:val="001E5855"/>
    <w:rsid w:val="001E586D"/>
    <w:rsid w:val="001E58F8"/>
    <w:rsid w:val="001E5A18"/>
    <w:rsid w:val="001E5A1F"/>
    <w:rsid w:val="001E5A2B"/>
    <w:rsid w:val="001E5AFB"/>
    <w:rsid w:val="001E5C09"/>
    <w:rsid w:val="001E5C32"/>
    <w:rsid w:val="001E5C37"/>
    <w:rsid w:val="001E5CA6"/>
    <w:rsid w:val="001E5DD6"/>
    <w:rsid w:val="001E5EAE"/>
    <w:rsid w:val="001E5F44"/>
    <w:rsid w:val="001E5F4B"/>
    <w:rsid w:val="001E5F4F"/>
    <w:rsid w:val="001E5F58"/>
    <w:rsid w:val="001E607B"/>
    <w:rsid w:val="001E60CD"/>
    <w:rsid w:val="001E60DC"/>
    <w:rsid w:val="001E61AE"/>
    <w:rsid w:val="001E628C"/>
    <w:rsid w:val="001E6319"/>
    <w:rsid w:val="001E632E"/>
    <w:rsid w:val="001E645E"/>
    <w:rsid w:val="001E6464"/>
    <w:rsid w:val="001E6618"/>
    <w:rsid w:val="001E67F5"/>
    <w:rsid w:val="001E68F6"/>
    <w:rsid w:val="001E6952"/>
    <w:rsid w:val="001E6B54"/>
    <w:rsid w:val="001E6C3D"/>
    <w:rsid w:val="001E6C67"/>
    <w:rsid w:val="001E6C7E"/>
    <w:rsid w:val="001E6DA0"/>
    <w:rsid w:val="001E6DB0"/>
    <w:rsid w:val="001E6E68"/>
    <w:rsid w:val="001E6EE9"/>
    <w:rsid w:val="001E6FB8"/>
    <w:rsid w:val="001E6FE0"/>
    <w:rsid w:val="001E7020"/>
    <w:rsid w:val="001E708A"/>
    <w:rsid w:val="001E70B3"/>
    <w:rsid w:val="001E7132"/>
    <w:rsid w:val="001E71A6"/>
    <w:rsid w:val="001E71DA"/>
    <w:rsid w:val="001E71E7"/>
    <w:rsid w:val="001E71F3"/>
    <w:rsid w:val="001E7351"/>
    <w:rsid w:val="001E7390"/>
    <w:rsid w:val="001E73FA"/>
    <w:rsid w:val="001E7485"/>
    <w:rsid w:val="001E74A1"/>
    <w:rsid w:val="001E76C7"/>
    <w:rsid w:val="001E76D7"/>
    <w:rsid w:val="001E7892"/>
    <w:rsid w:val="001E7897"/>
    <w:rsid w:val="001E79AF"/>
    <w:rsid w:val="001E7A6B"/>
    <w:rsid w:val="001E7AA4"/>
    <w:rsid w:val="001E7B5C"/>
    <w:rsid w:val="001E7BF3"/>
    <w:rsid w:val="001E7C14"/>
    <w:rsid w:val="001E7D24"/>
    <w:rsid w:val="001E7E0E"/>
    <w:rsid w:val="001E7EAF"/>
    <w:rsid w:val="001E7F13"/>
    <w:rsid w:val="001E7FE8"/>
    <w:rsid w:val="001F01B7"/>
    <w:rsid w:val="001F01CD"/>
    <w:rsid w:val="001F021A"/>
    <w:rsid w:val="001F0374"/>
    <w:rsid w:val="001F0534"/>
    <w:rsid w:val="001F0596"/>
    <w:rsid w:val="001F059F"/>
    <w:rsid w:val="001F089C"/>
    <w:rsid w:val="001F08D2"/>
    <w:rsid w:val="001F096A"/>
    <w:rsid w:val="001F09DC"/>
    <w:rsid w:val="001F0B68"/>
    <w:rsid w:val="001F0BE9"/>
    <w:rsid w:val="001F0D06"/>
    <w:rsid w:val="001F0DB4"/>
    <w:rsid w:val="001F0EE7"/>
    <w:rsid w:val="001F0FC7"/>
    <w:rsid w:val="001F100C"/>
    <w:rsid w:val="001F1077"/>
    <w:rsid w:val="001F10F0"/>
    <w:rsid w:val="001F1242"/>
    <w:rsid w:val="001F124F"/>
    <w:rsid w:val="001F1392"/>
    <w:rsid w:val="001F1520"/>
    <w:rsid w:val="001F15EB"/>
    <w:rsid w:val="001F15FD"/>
    <w:rsid w:val="001F1668"/>
    <w:rsid w:val="001F16A7"/>
    <w:rsid w:val="001F16D2"/>
    <w:rsid w:val="001F16EB"/>
    <w:rsid w:val="001F17E7"/>
    <w:rsid w:val="001F17EC"/>
    <w:rsid w:val="001F1910"/>
    <w:rsid w:val="001F1952"/>
    <w:rsid w:val="001F19C2"/>
    <w:rsid w:val="001F1A7F"/>
    <w:rsid w:val="001F1A8D"/>
    <w:rsid w:val="001F1B4C"/>
    <w:rsid w:val="001F1BDE"/>
    <w:rsid w:val="001F1CE7"/>
    <w:rsid w:val="001F1E9E"/>
    <w:rsid w:val="001F1EC4"/>
    <w:rsid w:val="001F1F45"/>
    <w:rsid w:val="001F203B"/>
    <w:rsid w:val="001F20A1"/>
    <w:rsid w:val="001F2195"/>
    <w:rsid w:val="001F23EF"/>
    <w:rsid w:val="001F2468"/>
    <w:rsid w:val="001F255C"/>
    <w:rsid w:val="001F271B"/>
    <w:rsid w:val="001F28FB"/>
    <w:rsid w:val="001F291E"/>
    <w:rsid w:val="001F293C"/>
    <w:rsid w:val="001F29C7"/>
    <w:rsid w:val="001F2A1E"/>
    <w:rsid w:val="001F2B39"/>
    <w:rsid w:val="001F2B79"/>
    <w:rsid w:val="001F2BF3"/>
    <w:rsid w:val="001F2C53"/>
    <w:rsid w:val="001F2D73"/>
    <w:rsid w:val="001F2E5F"/>
    <w:rsid w:val="001F2E8E"/>
    <w:rsid w:val="001F2EBC"/>
    <w:rsid w:val="001F2FA9"/>
    <w:rsid w:val="001F305E"/>
    <w:rsid w:val="001F3090"/>
    <w:rsid w:val="001F31B1"/>
    <w:rsid w:val="001F31E0"/>
    <w:rsid w:val="001F3400"/>
    <w:rsid w:val="001F342F"/>
    <w:rsid w:val="001F3713"/>
    <w:rsid w:val="001F3722"/>
    <w:rsid w:val="001F37D4"/>
    <w:rsid w:val="001F383E"/>
    <w:rsid w:val="001F3877"/>
    <w:rsid w:val="001F38E7"/>
    <w:rsid w:val="001F3999"/>
    <w:rsid w:val="001F3A9D"/>
    <w:rsid w:val="001F3AF5"/>
    <w:rsid w:val="001F3BE2"/>
    <w:rsid w:val="001F3C22"/>
    <w:rsid w:val="001F3C88"/>
    <w:rsid w:val="001F3D03"/>
    <w:rsid w:val="001F3DA0"/>
    <w:rsid w:val="001F3DAC"/>
    <w:rsid w:val="001F3DBC"/>
    <w:rsid w:val="001F3EB6"/>
    <w:rsid w:val="001F3ECA"/>
    <w:rsid w:val="001F3FA8"/>
    <w:rsid w:val="001F4004"/>
    <w:rsid w:val="001F4027"/>
    <w:rsid w:val="001F4060"/>
    <w:rsid w:val="001F407F"/>
    <w:rsid w:val="001F4196"/>
    <w:rsid w:val="001F41C6"/>
    <w:rsid w:val="001F4296"/>
    <w:rsid w:val="001F42A5"/>
    <w:rsid w:val="001F42FA"/>
    <w:rsid w:val="001F4304"/>
    <w:rsid w:val="001F4357"/>
    <w:rsid w:val="001F4616"/>
    <w:rsid w:val="001F4649"/>
    <w:rsid w:val="001F471D"/>
    <w:rsid w:val="001F4910"/>
    <w:rsid w:val="001F493C"/>
    <w:rsid w:val="001F494C"/>
    <w:rsid w:val="001F4985"/>
    <w:rsid w:val="001F498F"/>
    <w:rsid w:val="001F49C8"/>
    <w:rsid w:val="001F4B09"/>
    <w:rsid w:val="001F4B16"/>
    <w:rsid w:val="001F4B56"/>
    <w:rsid w:val="001F4C8F"/>
    <w:rsid w:val="001F4D4E"/>
    <w:rsid w:val="001F4E51"/>
    <w:rsid w:val="001F4F28"/>
    <w:rsid w:val="001F4F38"/>
    <w:rsid w:val="001F4FAD"/>
    <w:rsid w:val="001F511E"/>
    <w:rsid w:val="001F5130"/>
    <w:rsid w:val="001F5148"/>
    <w:rsid w:val="001F515E"/>
    <w:rsid w:val="001F5198"/>
    <w:rsid w:val="001F542D"/>
    <w:rsid w:val="001F5458"/>
    <w:rsid w:val="001F54C3"/>
    <w:rsid w:val="001F55A2"/>
    <w:rsid w:val="001F55C0"/>
    <w:rsid w:val="001F56A0"/>
    <w:rsid w:val="001F578A"/>
    <w:rsid w:val="001F57DE"/>
    <w:rsid w:val="001F586E"/>
    <w:rsid w:val="001F58A4"/>
    <w:rsid w:val="001F5A0B"/>
    <w:rsid w:val="001F5AB7"/>
    <w:rsid w:val="001F5C70"/>
    <w:rsid w:val="001F5C85"/>
    <w:rsid w:val="001F5CD7"/>
    <w:rsid w:val="001F5F3C"/>
    <w:rsid w:val="001F5FBD"/>
    <w:rsid w:val="001F605B"/>
    <w:rsid w:val="001F6139"/>
    <w:rsid w:val="001F619C"/>
    <w:rsid w:val="001F6258"/>
    <w:rsid w:val="001F6304"/>
    <w:rsid w:val="001F6391"/>
    <w:rsid w:val="001F63C3"/>
    <w:rsid w:val="001F64DD"/>
    <w:rsid w:val="001F6564"/>
    <w:rsid w:val="001F6571"/>
    <w:rsid w:val="001F6576"/>
    <w:rsid w:val="001F6600"/>
    <w:rsid w:val="001F663F"/>
    <w:rsid w:val="001F6662"/>
    <w:rsid w:val="001F6806"/>
    <w:rsid w:val="001F6862"/>
    <w:rsid w:val="001F68E5"/>
    <w:rsid w:val="001F68F7"/>
    <w:rsid w:val="001F6D0B"/>
    <w:rsid w:val="001F6DD3"/>
    <w:rsid w:val="001F6DEF"/>
    <w:rsid w:val="001F6F2E"/>
    <w:rsid w:val="001F6F55"/>
    <w:rsid w:val="001F6F5A"/>
    <w:rsid w:val="001F7077"/>
    <w:rsid w:val="001F7299"/>
    <w:rsid w:val="001F72D6"/>
    <w:rsid w:val="001F7545"/>
    <w:rsid w:val="001F76AB"/>
    <w:rsid w:val="001F76AC"/>
    <w:rsid w:val="001F7712"/>
    <w:rsid w:val="001F772D"/>
    <w:rsid w:val="001F7796"/>
    <w:rsid w:val="001F7878"/>
    <w:rsid w:val="001F7A83"/>
    <w:rsid w:val="001F7B33"/>
    <w:rsid w:val="001F7B43"/>
    <w:rsid w:val="001F7C77"/>
    <w:rsid w:val="001F7C90"/>
    <w:rsid w:val="001F7DB1"/>
    <w:rsid w:val="001F7DC7"/>
    <w:rsid w:val="001F7E4E"/>
    <w:rsid w:val="001F7E8D"/>
    <w:rsid w:val="001F7EA4"/>
    <w:rsid w:val="001F7F36"/>
    <w:rsid w:val="001F7F55"/>
    <w:rsid w:val="00200016"/>
    <w:rsid w:val="002000A7"/>
    <w:rsid w:val="0020018E"/>
    <w:rsid w:val="0020019C"/>
    <w:rsid w:val="0020026D"/>
    <w:rsid w:val="00200357"/>
    <w:rsid w:val="002003F2"/>
    <w:rsid w:val="00200609"/>
    <w:rsid w:val="00200684"/>
    <w:rsid w:val="00200695"/>
    <w:rsid w:val="00200744"/>
    <w:rsid w:val="002009F8"/>
    <w:rsid w:val="00200A3F"/>
    <w:rsid w:val="00200B06"/>
    <w:rsid w:val="00200B76"/>
    <w:rsid w:val="00200B88"/>
    <w:rsid w:val="00200BBF"/>
    <w:rsid w:val="00200BCE"/>
    <w:rsid w:val="00200DD3"/>
    <w:rsid w:val="00200E7B"/>
    <w:rsid w:val="00200F02"/>
    <w:rsid w:val="00200F43"/>
    <w:rsid w:val="00200FC0"/>
    <w:rsid w:val="002010B8"/>
    <w:rsid w:val="00201419"/>
    <w:rsid w:val="0020141E"/>
    <w:rsid w:val="002014D4"/>
    <w:rsid w:val="002014EA"/>
    <w:rsid w:val="00201519"/>
    <w:rsid w:val="00201560"/>
    <w:rsid w:val="0020157B"/>
    <w:rsid w:val="00201603"/>
    <w:rsid w:val="00201632"/>
    <w:rsid w:val="00201762"/>
    <w:rsid w:val="0020189E"/>
    <w:rsid w:val="002018C0"/>
    <w:rsid w:val="00201957"/>
    <w:rsid w:val="002019B7"/>
    <w:rsid w:val="00201AAD"/>
    <w:rsid w:val="00201C85"/>
    <w:rsid w:val="00201CD0"/>
    <w:rsid w:val="00201D37"/>
    <w:rsid w:val="00201D75"/>
    <w:rsid w:val="00201D77"/>
    <w:rsid w:val="00201EF9"/>
    <w:rsid w:val="00202139"/>
    <w:rsid w:val="00202153"/>
    <w:rsid w:val="00202276"/>
    <w:rsid w:val="002022A9"/>
    <w:rsid w:val="00202339"/>
    <w:rsid w:val="00202353"/>
    <w:rsid w:val="00202356"/>
    <w:rsid w:val="00202392"/>
    <w:rsid w:val="00202418"/>
    <w:rsid w:val="0020243D"/>
    <w:rsid w:val="00202441"/>
    <w:rsid w:val="0020246A"/>
    <w:rsid w:val="0020249E"/>
    <w:rsid w:val="0020251F"/>
    <w:rsid w:val="00202559"/>
    <w:rsid w:val="002025AC"/>
    <w:rsid w:val="002026CD"/>
    <w:rsid w:val="002027B6"/>
    <w:rsid w:val="00202829"/>
    <w:rsid w:val="00202A9B"/>
    <w:rsid w:val="00202B81"/>
    <w:rsid w:val="00202C09"/>
    <w:rsid w:val="00202CC0"/>
    <w:rsid w:val="00202D4D"/>
    <w:rsid w:val="00202E03"/>
    <w:rsid w:val="00202F2E"/>
    <w:rsid w:val="00202F5B"/>
    <w:rsid w:val="00202F96"/>
    <w:rsid w:val="00203098"/>
    <w:rsid w:val="002030A1"/>
    <w:rsid w:val="00203278"/>
    <w:rsid w:val="00203339"/>
    <w:rsid w:val="0020339E"/>
    <w:rsid w:val="00203409"/>
    <w:rsid w:val="0020346A"/>
    <w:rsid w:val="002034C2"/>
    <w:rsid w:val="0020367D"/>
    <w:rsid w:val="002036BE"/>
    <w:rsid w:val="00203722"/>
    <w:rsid w:val="00203726"/>
    <w:rsid w:val="00203760"/>
    <w:rsid w:val="002037D1"/>
    <w:rsid w:val="0020388E"/>
    <w:rsid w:val="002038BA"/>
    <w:rsid w:val="00203BB7"/>
    <w:rsid w:val="00203C3D"/>
    <w:rsid w:val="00203CF2"/>
    <w:rsid w:val="00203DA8"/>
    <w:rsid w:val="00203F43"/>
    <w:rsid w:val="00203FB7"/>
    <w:rsid w:val="00204061"/>
    <w:rsid w:val="002041F0"/>
    <w:rsid w:val="00204260"/>
    <w:rsid w:val="002042FF"/>
    <w:rsid w:val="00204343"/>
    <w:rsid w:val="002046CA"/>
    <w:rsid w:val="002046F9"/>
    <w:rsid w:val="00204A52"/>
    <w:rsid w:val="00204B41"/>
    <w:rsid w:val="00204C1E"/>
    <w:rsid w:val="00204D26"/>
    <w:rsid w:val="00204DFD"/>
    <w:rsid w:val="00204E06"/>
    <w:rsid w:val="00204E55"/>
    <w:rsid w:val="00204E66"/>
    <w:rsid w:val="002050BA"/>
    <w:rsid w:val="002050BC"/>
    <w:rsid w:val="0020516D"/>
    <w:rsid w:val="00205373"/>
    <w:rsid w:val="002053A7"/>
    <w:rsid w:val="0020544A"/>
    <w:rsid w:val="00205491"/>
    <w:rsid w:val="002054EE"/>
    <w:rsid w:val="0020557C"/>
    <w:rsid w:val="002055D6"/>
    <w:rsid w:val="002057A3"/>
    <w:rsid w:val="002058BF"/>
    <w:rsid w:val="00205911"/>
    <w:rsid w:val="0020594A"/>
    <w:rsid w:val="0020598B"/>
    <w:rsid w:val="00205A35"/>
    <w:rsid w:val="00205A88"/>
    <w:rsid w:val="00205B41"/>
    <w:rsid w:val="00205B53"/>
    <w:rsid w:val="00205C51"/>
    <w:rsid w:val="00205CAF"/>
    <w:rsid w:val="00205D00"/>
    <w:rsid w:val="00205D31"/>
    <w:rsid w:val="00205E7A"/>
    <w:rsid w:val="00205E97"/>
    <w:rsid w:val="00205FDE"/>
    <w:rsid w:val="0020603C"/>
    <w:rsid w:val="00206070"/>
    <w:rsid w:val="00206101"/>
    <w:rsid w:val="0020614F"/>
    <w:rsid w:val="002062B1"/>
    <w:rsid w:val="00206368"/>
    <w:rsid w:val="00206383"/>
    <w:rsid w:val="0020647D"/>
    <w:rsid w:val="002066D0"/>
    <w:rsid w:val="002066FF"/>
    <w:rsid w:val="002067F4"/>
    <w:rsid w:val="0020682C"/>
    <w:rsid w:val="0020685C"/>
    <w:rsid w:val="00206881"/>
    <w:rsid w:val="00206A53"/>
    <w:rsid w:val="00206B40"/>
    <w:rsid w:val="00206B7D"/>
    <w:rsid w:val="00206CA1"/>
    <w:rsid w:val="00206D6B"/>
    <w:rsid w:val="00206EDD"/>
    <w:rsid w:val="00206F50"/>
    <w:rsid w:val="002073AE"/>
    <w:rsid w:val="0020747F"/>
    <w:rsid w:val="00207516"/>
    <w:rsid w:val="0020759E"/>
    <w:rsid w:val="002075EA"/>
    <w:rsid w:val="002076C1"/>
    <w:rsid w:val="002076F1"/>
    <w:rsid w:val="00207760"/>
    <w:rsid w:val="0020778B"/>
    <w:rsid w:val="0020781D"/>
    <w:rsid w:val="002079D3"/>
    <w:rsid w:val="00207B92"/>
    <w:rsid w:val="00207D05"/>
    <w:rsid w:val="00207D43"/>
    <w:rsid w:val="00207F1B"/>
    <w:rsid w:val="00207F4F"/>
    <w:rsid w:val="00207FB5"/>
    <w:rsid w:val="0021004A"/>
    <w:rsid w:val="0021006C"/>
    <w:rsid w:val="002100A3"/>
    <w:rsid w:val="00210311"/>
    <w:rsid w:val="00210575"/>
    <w:rsid w:val="002105BC"/>
    <w:rsid w:val="00210634"/>
    <w:rsid w:val="00210665"/>
    <w:rsid w:val="0021068D"/>
    <w:rsid w:val="002106B0"/>
    <w:rsid w:val="0021071B"/>
    <w:rsid w:val="00210789"/>
    <w:rsid w:val="00210A12"/>
    <w:rsid w:val="00210A9C"/>
    <w:rsid w:val="00210B00"/>
    <w:rsid w:val="00210B71"/>
    <w:rsid w:val="00210C39"/>
    <w:rsid w:val="00210CAD"/>
    <w:rsid w:val="00210D1F"/>
    <w:rsid w:val="00210E04"/>
    <w:rsid w:val="00210E42"/>
    <w:rsid w:val="00210EC5"/>
    <w:rsid w:val="00210EDD"/>
    <w:rsid w:val="00211019"/>
    <w:rsid w:val="00211208"/>
    <w:rsid w:val="00211245"/>
    <w:rsid w:val="0021125E"/>
    <w:rsid w:val="00211374"/>
    <w:rsid w:val="002113A9"/>
    <w:rsid w:val="002116EF"/>
    <w:rsid w:val="00211787"/>
    <w:rsid w:val="002117D7"/>
    <w:rsid w:val="00211819"/>
    <w:rsid w:val="00211865"/>
    <w:rsid w:val="00211961"/>
    <w:rsid w:val="00211B4E"/>
    <w:rsid w:val="00211B77"/>
    <w:rsid w:val="00211C2E"/>
    <w:rsid w:val="00211F31"/>
    <w:rsid w:val="002121BE"/>
    <w:rsid w:val="0021232F"/>
    <w:rsid w:val="0021236A"/>
    <w:rsid w:val="002123CB"/>
    <w:rsid w:val="002123E1"/>
    <w:rsid w:val="00212431"/>
    <w:rsid w:val="0021258E"/>
    <w:rsid w:val="002125DB"/>
    <w:rsid w:val="002127C5"/>
    <w:rsid w:val="002128DE"/>
    <w:rsid w:val="00212BB1"/>
    <w:rsid w:val="00212C8E"/>
    <w:rsid w:val="00212CAF"/>
    <w:rsid w:val="00212CBE"/>
    <w:rsid w:val="00212D33"/>
    <w:rsid w:val="00212E33"/>
    <w:rsid w:val="00212ED1"/>
    <w:rsid w:val="002132F7"/>
    <w:rsid w:val="0021332D"/>
    <w:rsid w:val="00213378"/>
    <w:rsid w:val="00213410"/>
    <w:rsid w:val="00213552"/>
    <w:rsid w:val="002135F4"/>
    <w:rsid w:val="0021376F"/>
    <w:rsid w:val="002137E0"/>
    <w:rsid w:val="0021380E"/>
    <w:rsid w:val="00213848"/>
    <w:rsid w:val="002138AB"/>
    <w:rsid w:val="0021392F"/>
    <w:rsid w:val="00213938"/>
    <w:rsid w:val="00213979"/>
    <w:rsid w:val="00213A13"/>
    <w:rsid w:val="00213A58"/>
    <w:rsid w:val="00213A59"/>
    <w:rsid w:val="00213BCD"/>
    <w:rsid w:val="00213BEF"/>
    <w:rsid w:val="00213C6D"/>
    <w:rsid w:val="00213CA7"/>
    <w:rsid w:val="00213E30"/>
    <w:rsid w:val="00213E3F"/>
    <w:rsid w:val="00213EA1"/>
    <w:rsid w:val="00213F00"/>
    <w:rsid w:val="00213F45"/>
    <w:rsid w:val="0021406E"/>
    <w:rsid w:val="002140B1"/>
    <w:rsid w:val="002140B4"/>
    <w:rsid w:val="002142BE"/>
    <w:rsid w:val="00214317"/>
    <w:rsid w:val="00214416"/>
    <w:rsid w:val="00214443"/>
    <w:rsid w:val="00214490"/>
    <w:rsid w:val="002145A8"/>
    <w:rsid w:val="00214612"/>
    <w:rsid w:val="00214719"/>
    <w:rsid w:val="00214745"/>
    <w:rsid w:val="002147BC"/>
    <w:rsid w:val="0021486D"/>
    <w:rsid w:val="0021488A"/>
    <w:rsid w:val="002148CA"/>
    <w:rsid w:val="00214A70"/>
    <w:rsid w:val="00214BFB"/>
    <w:rsid w:val="00214C73"/>
    <w:rsid w:val="00214DA1"/>
    <w:rsid w:val="00214DD5"/>
    <w:rsid w:val="00214DFF"/>
    <w:rsid w:val="00214E35"/>
    <w:rsid w:val="00214F7C"/>
    <w:rsid w:val="00214FCF"/>
    <w:rsid w:val="00215164"/>
    <w:rsid w:val="002153B4"/>
    <w:rsid w:val="0021554D"/>
    <w:rsid w:val="0021568A"/>
    <w:rsid w:val="002156E2"/>
    <w:rsid w:val="002157FB"/>
    <w:rsid w:val="00215935"/>
    <w:rsid w:val="00215A1F"/>
    <w:rsid w:val="00215AAF"/>
    <w:rsid w:val="00215ABE"/>
    <w:rsid w:val="00215B76"/>
    <w:rsid w:val="00215C19"/>
    <w:rsid w:val="00215FA0"/>
    <w:rsid w:val="00215FC2"/>
    <w:rsid w:val="00216042"/>
    <w:rsid w:val="002161BA"/>
    <w:rsid w:val="00216474"/>
    <w:rsid w:val="0021656D"/>
    <w:rsid w:val="0021670D"/>
    <w:rsid w:val="00216826"/>
    <w:rsid w:val="00216B24"/>
    <w:rsid w:val="00216C78"/>
    <w:rsid w:val="00216D24"/>
    <w:rsid w:val="00216D71"/>
    <w:rsid w:val="00216DAF"/>
    <w:rsid w:val="00216E67"/>
    <w:rsid w:val="00216ECE"/>
    <w:rsid w:val="00216F4C"/>
    <w:rsid w:val="002170AF"/>
    <w:rsid w:val="00217175"/>
    <w:rsid w:val="002171BA"/>
    <w:rsid w:val="002171F4"/>
    <w:rsid w:val="00217240"/>
    <w:rsid w:val="002172DA"/>
    <w:rsid w:val="002172DD"/>
    <w:rsid w:val="002172FD"/>
    <w:rsid w:val="00217466"/>
    <w:rsid w:val="002174B0"/>
    <w:rsid w:val="0021753A"/>
    <w:rsid w:val="00217548"/>
    <w:rsid w:val="00217663"/>
    <w:rsid w:val="002176B5"/>
    <w:rsid w:val="002176CA"/>
    <w:rsid w:val="002176DC"/>
    <w:rsid w:val="00217714"/>
    <w:rsid w:val="00217764"/>
    <w:rsid w:val="002178A2"/>
    <w:rsid w:val="002178E6"/>
    <w:rsid w:val="00217951"/>
    <w:rsid w:val="0021795B"/>
    <w:rsid w:val="002179C0"/>
    <w:rsid w:val="002179EE"/>
    <w:rsid w:val="00217A2F"/>
    <w:rsid w:val="00217A4E"/>
    <w:rsid w:val="00217BE2"/>
    <w:rsid w:val="00217C52"/>
    <w:rsid w:val="00217C74"/>
    <w:rsid w:val="00217E34"/>
    <w:rsid w:val="00217E58"/>
    <w:rsid w:val="0022002F"/>
    <w:rsid w:val="00220087"/>
    <w:rsid w:val="00220170"/>
    <w:rsid w:val="002201D6"/>
    <w:rsid w:val="00220294"/>
    <w:rsid w:val="002202B1"/>
    <w:rsid w:val="00220402"/>
    <w:rsid w:val="002204EF"/>
    <w:rsid w:val="002205B4"/>
    <w:rsid w:val="0022061E"/>
    <w:rsid w:val="0022066D"/>
    <w:rsid w:val="0022066F"/>
    <w:rsid w:val="002206B1"/>
    <w:rsid w:val="00220792"/>
    <w:rsid w:val="00220882"/>
    <w:rsid w:val="0022089A"/>
    <w:rsid w:val="0022093A"/>
    <w:rsid w:val="00220A10"/>
    <w:rsid w:val="00220A45"/>
    <w:rsid w:val="00220ADF"/>
    <w:rsid w:val="00220B14"/>
    <w:rsid w:val="00220C3A"/>
    <w:rsid w:val="00220C92"/>
    <w:rsid w:val="00220D72"/>
    <w:rsid w:val="00220E38"/>
    <w:rsid w:val="00220E8F"/>
    <w:rsid w:val="00220E90"/>
    <w:rsid w:val="00220F05"/>
    <w:rsid w:val="00220F0E"/>
    <w:rsid w:val="00221036"/>
    <w:rsid w:val="0022113F"/>
    <w:rsid w:val="002211B3"/>
    <w:rsid w:val="0022133B"/>
    <w:rsid w:val="00221426"/>
    <w:rsid w:val="002214A8"/>
    <w:rsid w:val="00221692"/>
    <w:rsid w:val="0022175D"/>
    <w:rsid w:val="0022189C"/>
    <w:rsid w:val="002219E1"/>
    <w:rsid w:val="002219FD"/>
    <w:rsid w:val="00221AC8"/>
    <w:rsid w:val="00221B49"/>
    <w:rsid w:val="00221C2F"/>
    <w:rsid w:val="00221CE0"/>
    <w:rsid w:val="00221D40"/>
    <w:rsid w:val="00221E14"/>
    <w:rsid w:val="00221E34"/>
    <w:rsid w:val="00221E72"/>
    <w:rsid w:val="00221E78"/>
    <w:rsid w:val="00221F27"/>
    <w:rsid w:val="00221F60"/>
    <w:rsid w:val="00222000"/>
    <w:rsid w:val="00222036"/>
    <w:rsid w:val="00222065"/>
    <w:rsid w:val="0022208B"/>
    <w:rsid w:val="002220DA"/>
    <w:rsid w:val="00222315"/>
    <w:rsid w:val="002223E3"/>
    <w:rsid w:val="00222463"/>
    <w:rsid w:val="0022256C"/>
    <w:rsid w:val="002225B0"/>
    <w:rsid w:val="0022280B"/>
    <w:rsid w:val="0022283F"/>
    <w:rsid w:val="00222895"/>
    <w:rsid w:val="00222AAA"/>
    <w:rsid w:val="00222AE3"/>
    <w:rsid w:val="00222E51"/>
    <w:rsid w:val="00222E5C"/>
    <w:rsid w:val="00222E9C"/>
    <w:rsid w:val="00222FE4"/>
    <w:rsid w:val="00223032"/>
    <w:rsid w:val="002230FA"/>
    <w:rsid w:val="002231A0"/>
    <w:rsid w:val="00223376"/>
    <w:rsid w:val="002238B9"/>
    <w:rsid w:val="002238CB"/>
    <w:rsid w:val="002239EE"/>
    <w:rsid w:val="00223B3E"/>
    <w:rsid w:val="00223B6E"/>
    <w:rsid w:val="00223BE9"/>
    <w:rsid w:val="00223F5E"/>
    <w:rsid w:val="00223FAF"/>
    <w:rsid w:val="0022407C"/>
    <w:rsid w:val="002240EB"/>
    <w:rsid w:val="002242CF"/>
    <w:rsid w:val="0022447F"/>
    <w:rsid w:val="00224487"/>
    <w:rsid w:val="00224488"/>
    <w:rsid w:val="002246FA"/>
    <w:rsid w:val="00224A01"/>
    <w:rsid w:val="00224B0B"/>
    <w:rsid w:val="00224C9F"/>
    <w:rsid w:val="00224D6D"/>
    <w:rsid w:val="00224ECB"/>
    <w:rsid w:val="00225047"/>
    <w:rsid w:val="0022515B"/>
    <w:rsid w:val="002254A5"/>
    <w:rsid w:val="002254CB"/>
    <w:rsid w:val="00225535"/>
    <w:rsid w:val="002255CC"/>
    <w:rsid w:val="0022571F"/>
    <w:rsid w:val="002258CC"/>
    <w:rsid w:val="00225931"/>
    <w:rsid w:val="00225A27"/>
    <w:rsid w:val="00225A53"/>
    <w:rsid w:val="00225BBF"/>
    <w:rsid w:val="00225DD9"/>
    <w:rsid w:val="00225DEB"/>
    <w:rsid w:val="00225F12"/>
    <w:rsid w:val="00225F1D"/>
    <w:rsid w:val="00226043"/>
    <w:rsid w:val="002261EC"/>
    <w:rsid w:val="0022620B"/>
    <w:rsid w:val="00226274"/>
    <w:rsid w:val="002262F6"/>
    <w:rsid w:val="00226402"/>
    <w:rsid w:val="00226495"/>
    <w:rsid w:val="002264A4"/>
    <w:rsid w:val="002264E8"/>
    <w:rsid w:val="00226502"/>
    <w:rsid w:val="0022650E"/>
    <w:rsid w:val="002265C2"/>
    <w:rsid w:val="0022679E"/>
    <w:rsid w:val="0022690A"/>
    <w:rsid w:val="00226952"/>
    <w:rsid w:val="00226959"/>
    <w:rsid w:val="002269F8"/>
    <w:rsid w:val="00226C8A"/>
    <w:rsid w:val="00226E44"/>
    <w:rsid w:val="00226E60"/>
    <w:rsid w:val="00226EEA"/>
    <w:rsid w:val="00226F9B"/>
    <w:rsid w:val="0022704E"/>
    <w:rsid w:val="002270D9"/>
    <w:rsid w:val="00227123"/>
    <w:rsid w:val="0022713B"/>
    <w:rsid w:val="002272C5"/>
    <w:rsid w:val="002272E5"/>
    <w:rsid w:val="00227467"/>
    <w:rsid w:val="00227478"/>
    <w:rsid w:val="002277EA"/>
    <w:rsid w:val="00227830"/>
    <w:rsid w:val="00227959"/>
    <w:rsid w:val="00227ACC"/>
    <w:rsid w:val="00227B72"/>
    <w:rsid w:val="00227C19"/>
    <w:rsid w:val="00227F39"/>
    <w:rsid w:val="00227F3D"/>
    <w:rsid w:val="0023004A"/>
    <w:rsid w:val="00230072"/>
    <w:rsid w:val="0023023F"/>
    <w:rsid w:val="0023032D"/>
    <w:rsid w:val="0023037C"/>
    <w:rsid w:val="0023038F"/>
    <w:rsid w:val="002303AC"/>
    <w:rsid w:val="002304AF"/>
    <w:rsid w:val="00230517"/>
    <w:rsid w:val="0023054A"/>
    <w:rsid w:val="00230592"/>
    <w:rsid w:val="002305AC"/>
    <w:rsid w:val="00230774"/>
    <w:rsid w:val="002307FB"/>
    <w:rsid w:val="002308B6"/>
    <w:rsid w:val="002308DF"/>
    <w:rsid w:val="00230CAF"/>
    <w:rsid w:val="00230CC5"/>
    <w:rsid w:val="00230CE9"/>
    <w:rsid w:val="00230D52"/>
    <w:rsid w:val="00230DCD"/>
    <w:rsid w:val="00230E51"/>
    <w:rsid w:val="00230E8B"/>
    <w:rsid w:val="00230FBC"/>
    <w:rsid w:val="00230FFC"/>
    <w:rsid w:val="00231009"/>
    <w:rsid w:val="00231047"/>
    <w:rsid w:val="0023107F"/>
    <w:rsid w:val="002310D3"/>
    <w:rsid w:val="00231270"/>
    <w:rsid w:val="00231467"/>
    <w:rsid w:val="002314D1"/>
    <w:rsid w:val="002314E6"/>
    <w:rsid w:val="00231535"/>
    <w:rsid w:val="002315AD"/>
    <w:rsid w:val="0023165E"/>
    <w:rsid w:val="00231668"/>
    <w:rsid w:val="0023173C"/>
    <w:rsid w:val="002317D0"/>
    <w:rsid w:val="0023181B"/>
    <w:rsid w:val="00231916"/>
    <w:rsid w:val="00231A84"/>
    <w:rsid w:val="00231AEE"/>
    <w:rsid w:val="00231CAD"/>
    <w:rsid w:val="00231D89"/>
    <w:rsid w:val="00231E15"/>
    <w:rsid w:val="00231E4F"/>
    <w:rsid w:val="00231FA3"/>
    <w:rsid w:val="00231FD2"/>
    <w:rsid w:val="00231FD6"/>
    <w:rsid w:val="00232014"/>
    <w:rsid w:val="00232111"/>
    <w:rsid w:val="00232155"/>
    <w:rsid w:val="002321DA"/>
    <w:rsid w:val="00232280"/>
    <w:rsid w:val="002322D5"/>
    <w:rsid w:val="00232392"/>
    <w:rsid w:val="002323A0"/>
    <w:rsid w:val="002323DD"/>
    <w:rsid w:val="00232505"/>
    <w:rsid w:val="002327B9"/>
    <w:rsid w:val="00232853"/>
    <w:rsid w:val="00232906"/>
    <w:rsid w:val="00232B9F"/>
    <w:rsid w:val="00232BB3"/>
    <w:rsid w:val="00232C37"/>
    <w:rsid w:val="00232CB9"/>
    <w:rsid w:val="00232CEC"/>
    <w:rsid w:val="00232F59"/>
    <w:rsid w:val="00232F74"/>
    <w:rsid w:val="00232FBA"/>
    <w:rsid w:val="00232FE6"/>
    <w:rsid w:val="002330FB"/>
    <w:rsid w:val="002331A4"/>
    <w:rsid w:val="00233302"/>
    <w:rsid w:val="002333C3"/>
    <w:rsid w:val="00233448"/>
    <w:rsid w:val="0023357D"/>
    <w:rsid w:val="0023358C"/>
    <w:rsid w:val="002337EC"/>
    <w:rsid w:val="0023380B"/>
    <w:rsid w:val="00233857"/>
    <w:rsid w:val="0023387C"/>
    <w:rsid w:val="002338AD"/>
    <w:rsid w:val="00233B95"/>
    <w:rsid w:val="00233BE3"/>
    <w:rsid w:val="00233D0C"/>
    <w:rsid w:val="00233D2A"/>
    <w:rsid w:val="00233D50"/>
    <w:rsid w:val="00233DC7"/>
    <w:rsid w:val="00233E09"/>
    <w:rsid w:val="00233E2C"/>
    <w:rsid w:val="00233E4C"/>
    <w:rsid w:val="00233F07"/>
    <w:rsid w:val="002341BC"/>
    <w:rsid w:val="002341E6"/>
    <w:rsid w:val="002341E7"/>
    <w:rsid w:val="002344EA"/>
    <w:rsid w:val="00234550"/>
    <w:rsid w:val="002345F3"/>
    <w:rsid w:val="002346C6"/>
    <w:rsid w:val="002346D0"/>
    <w:rsid w:val="002347FB"/>
    <w:rsid w:val="00234829"/>
    <w:rsid w:val="002349B5"/>
    <w:rsid w:val="00234AC8"/>
    <w:rsid w:val="00234BA5"/>
    <w:rsid w:val="00234C0B"/>
    <w:rsid w:val="00234DFE"/>
    <w:rsid w:val="00234F0A"/>
    <w:rsid w:val="00234FAC"/>
    <w:rsid w:val="00235084"/>
    <w:rsid w:val="00235123"/>
    <w:rsid w:val="002351C5"/>
    <w:rsid w:val="002351FB"/>
    <w:rsid w:val="00235219"/>
    <w:rsid w:val="0023526B"/>
    <w:rsid w:val="002352A4"/>
    <w:rsid w:val="00235517"/>
    <w:rsid w:val="00235553"/>
    <w:rsid w:val="00235575"/>
    <w:rsid w:val="00235649"/>
    <w:rsid w:val="0023566C"/>
    <w:rsid w:val="00235686"/>
    <w:rsid w:val="002357E9"/>
    <w:rsid w:val="0023586F"/>
    <w:rsid w:val="002358E5"/>
    <w:rsid w:val="00235A76"/>
    <w:rsid w:val="00235C4B"/>
    <w:rsid w:val="00235CD1"/>
    <w:rsid w:val="00235D4A"/>
    <w:rsid w:val="00235E31"/>
    <w:rsid w:val="00235EE4"/>
    <w:rsid w:val="00235F69"/>
    <w:rsid w:val="00235F78"/>
    <w:rsid w:val="00235F92"/>
    <w:rsid w:val="002361BF"/>
    <w:rsid w:val="002362DD"/>
    <w:rsid w:val="002362E0"/>
    <w:rsid w:val="00236320"/>
    <w:rsid w:val="0023639C"/>
    <w:rsid w:val="00236528"/>
    <w:rsid w:val="00236570"/>
    <w:rsid w:val="00236607"/>
    <w:rsid w:val="002367E5"/>
    <w:rsid w:val="002368E4"/>
    <w:rsid w:val="002368ED"/>
    <w:rsid w:val="00236B81"/>
    <w:rsid w:val="00236CBF"/>
    <w:rsid w:val="00236D1A"/>
    <w:rsid w:val="00236DF1"/>
    <w:rsid w:val="00236E46"/>
    <w:rsid w:val="00236EDC"/>
    <w:rsid w:val="00236FA1"/>
    <w:rsid w:val="00236FA2"/>
    <w:rsid w:val="00236FBD"/>
    <w:rsid w:val="00237079"/>
    <w:rsid w:val="00237087"/>
    <w:rsid w:val="0023708B"/>
    <w:rsid w:val="002371C1"/>
    <w:rsid w:val="00237547"/>
    <w:rsid w:val="002375D6"/>
    <w:rsid w:val="002377D1"/>
    <w:rsid w:val="00237AF1"/>
    <w:rsid w:val="00237C90"/>
    <w:rsid w:val="00237D24"/>
    <w:rsid w:val="00237E0C"/>
    <w:rsid w:val="00237F04"/>
    <w:rsid w:val="00237F73"/>
    <w:rsid w:val="00237F76"/>
    <w:rsid w:val="00237FAD"/>
    <w:rsid w:val="00237FCF"/>
    <w:rsid w:val="002400C8"/>
    <w:rsid w:val="002401EB"/>
    <w:rsid w:val="00240278"/>
    <w:rsid w:val="0024034B"/>
    <w:rsid w:val="002403EA"/>
    <w:rsid w:val="00240419"/>
    <w:rsid w:val="0024046A"/>
    <w:rsid w:val="002404BF"/>
    <w:rsid w:val="0024084B"/>
    <w:rsid w:val="00240872"/>
    <w:rsid w:val="002408BA"/>
    <w:rsid w:val="002408EC"/>
    <w:rsid w:val="0024090E"/>
    <w:rsid w:val="00240A92"/>
    <w:rsid w:val="00240AAF"/>
    <w:rsid w:val="00240AD3"/>
    <w:rsid w:val="00240C2B"/>
    <w:rsid w:val="00240C5C"/>
    <w:rsid w:val="00240EAC"/>
    <w:rsid w:val="00240F23"/>
    <w:rsid w:val="00241056"/>
    <w:rsid w:val="002411C0"/>
    <w:rsid w:val="002412A7"/>
    <w:rsid w:val="002412E0"/>
    <w:rsid w:val="00241365"/>
    <w:rsid w:val="00241399"/>
    <w:rsid w:val="00241464"/>
    <w:rsid w:val="002414C5"/>
    <w:rsid w:val="0024150A"/>
    <w:rsid w:val="00241514"/>
    <w:rsid w:val="00241610"/>
    <w:rsid w:val="00241714"/>
    <w:rsid w:val="002418E9"/>
    <w:rsid w:val="00241974"/>
    <w:rsid w:val="00241A51"/>
    <w:rsid w:val="00241B12"/>
    <w:rsid w:val="00241B56"/>
    <w:rsid w:val="00241B5E"/>
    <w:rsid w:val="00241BDF"/>
    <w:rsid w:val="00241C26"/>
    <w:rsid w:val="00241C55"/>
    <w:rsid w:val="00241DA9"/>
    <w:rsid w:val="00241E3C"/>
    <w:rsid w:val="00241FA7"/>
    <w:rsid w:val="00241FBA"/>
    <w:rsid w:val="002420A7"/>
    <w:rsid w:val="002420DE"/>
    <w:rsid w:val="002420E9"/>
    <w:rsid w:val="00242151"/>
    <w:rsid w:val="002422CB"/>
    <w:rsid w:val="002422EE"/>
    <w:rsid w:val="002423E9"/>
    <w:rsid w:val="002424DF"/>
    <w:rsid w:val="002424FF"/>
    <w:rsid w:val="002425E6"/>
    <w:rsid w:val="00242686"/>
    <w:rsid w:val="00242B08"/>
    <w:rsid w:val="00242B29"/>
    <w:rsid w:val="00242B7E"/>
    <w:rsid w:val="00242E36"/>
    <w:rsid w:val="00242EC9"/>
    <w:rsid w:val="00242EFC"/>
    <w:rsid w:val="00242F78"/>
    <w:rsid w:val="00242FAD"/>
    <w:rsid w:val="002430FA"/>
    <w:rsid w:val="002432D4"/>
    <w:rsid w:val="00243302"/>
    <w:rsid w:val="0024332C"/>
    <w:rsid w:val="0024348C"/>
    <w:rsid w:val="002434F4"/>
    <w:rsid w:val="002435BD"/>
    <w:rsid w:val="00243611"/>
    <w:rsid w:val="00243655"/>
    <w:rsid w:val="0024368E"/>
    <w:rsid w:val="00243696"/>
    <w:rsid w:val="00243768"/>
    <w:rsid w:val="002437CD"/>
    <w:rsid w:val="002437E7"/>
    <w:rsid w:val="00243A39"/>
    <w:rsid w:val="00243A9C"/>
    <w:rsid w:val="00243ABF"/>
    <w:rsid w:val="00243CE4"/>
    <w:rsid w:val="00243D85"/>
    <w:rsid w:val="00243E06"/>
    <w:rsid w:val="00243E34"/>
    <w:rsid w:val="00243EEF"/>
    <w:rsid w:val="00243FF0"/>
    <w:rsid w:val="002440F3"/>
    <w:rsid w:val="00244123"/>
    <w:rsid w:val="002442DF"/>
    <w:rsid w:val="00244410"/>
    <w:rsid w:val="00244498"/>
    <w:rsid w:val="00244546"/>
    <w:rsid w:val="0024454C"/>
    <w:rsid w:val="002445AC"/>
    <w:rsid w:val="00244620"/>
    <w:rsid w:val="002446CA"/>
    <w:rsid w:val="0024473D"/>
    <w:rsid w:val="0024479A"/>
    <w:rsid w:val="002447DB"/>
    <w:rsid w:val="00244843"/>
    <w:rsid w:val="002449AD"/>
    <w:rsid w:val="00244A30"/>
    <w:rsid w:val="00244A3D"/>
    <w:rsid w:val="00244A97"/>
    <w:rsid w:val="00244B05"/>
    <w:rsid w:val="00244DCB"/>
    <w:rsid w:val="00244F43"/>
    <w:rsid w:val="00245135"/>
    <w:rsid w:val="00245200"/>
    <w:rsid w:val="00245299"/>
    <w:rsid w:val="002452F0"/>
    <w:rsid w:val="00245397"/>
    <w:rsid w:val="0024541A"/>
    <w:rsid w:val="002454B9"/>
    <w:rsid w:val="00245587"/>
    <w:rsid w:val="00245612"/>
    <w:rsid w:val="00245625"/>
    <w:rsid w:val="0024566A"/>
    <w:rsid w:val="002457DA"/>
    <w:rsid w:val="002458C7"/>
    <w:rsid w:val="00245957"/>
    <w:rsid w:val="002459DD"/>
    <w:rsid w:val="00245A7C"/>
    <w:rsid w:val="00245AA1"/>
    <w:rsid w:val="00245B15"/>
    <w:rsid w:val="00245C13"/>
    <w:rsid w:val="00245D9B"/>
    <w:rsid w:val="00245DDB"/>
    <w:rsid w:val="00245E69"/>
    <w:rsid w:val="00245ED1"/>
    <w:rsid w:val="00245FF6"/>
    <w:rsid w:val="0024614E"/>
    <w:rsid w:val="002461A1"/>
    <w:rsid w:val="002461AC"/>
    <w:rsid w:val="002462C7"/>
    <w:rsid w:val="0024633F"/>
    <w:rsid w:val="002463DB"/>
    <w:rsid w:val="002463F7"/>
    <w:rsid w:val="002464D0"/>
    <w:rsid w:val="0024657C"/>
    <w:rsid w:val="002465E3"/>
    <w:rsid w:val="002466E8"/>
    <w:rsid w:val="00246708"/>
    <w:rsid w:val="0024677A"/>
    <w:rsid w:val="002468E9"/>
    <w:rsid w:val="00246904"/>
    <w:rsid w:val="00246923"/>
    <w:rsid w:val="002469D2"/>
    <w:rsid w:val="00246A83"/>
    <w:rsid w:val="00246AA5"/>
    <w:rsid w:val="00246AC9"/>
    <w:rsid w:val="00246B0E"/>
    <w:rsid w:val="00246BA4"/>
    <w:rsid w:val="00246BC3"/>
    <w:rsid w:val="00246C90"/>
    <w:rsid w:val="00246D45"/>
    <w:rsid w:val="00246DEC"/>
    <w:rsid w:val="00246DFC"/>
    <w:rsid w:val="00246EA0"/>
    <w:rsid w:val="00246F8E"/>
    <w:rsid w:val="00246FD1"/>
    <w:rsid w:val="00247058"/>
    <w:rsid w:val="0024708C"/>
    <w:rsid w:val="002470BD"/>
    <w:rsid w:val="00247147"/>
    <w:rsid w:val="0024717F"/>
    <w:rsid w:val="002471AB"/>
    <w:rsid w:val="00247359"/>
    <w:rsid w:val="0024756F"/>
    <w:rsid w:val="00247587"/>
    <w:rsid w:val="00247683"/>
    <w:rsid w:val="002476C2"/>
    <w:rsid w:val="00247777"/>
    <w:rsid w:val="00247779"/>
    <w:rsid w:val="00247805"/>
    <w:rsid w:val="00247852"/>
    <w:rsid w:val="00247A51"/>
    <w:rsid w:val="00247A8E"/>
    <w:rsid w:val="00247B4C"/>
    <w:rsid w:val="00247B5A"/>
    <w:rsid w:val="00247D47"/>
    <w:rsid w:val="00247D5A"/>
    <w:rsid w:val="00247D8D"/>
    <w:rsid w:val="00247DD3"/>
    <w:rsid w:val="00247F26"/>
    <w:rsid w:val="00247F47"/>
    <w:rsid w:val="002500BF"/>
    <w:rsid w:val="0025015E"/>
    <w:rsid w:val="002501DA"/>
    <w:rsid w:val="0025028F"/>
    <w:rsid w:val="002502F1"/>
    <w:rsid w:val="002503FB"/>
    <w:rsid w:val="0025044F"/>
    <w:rsid w:val="00250476"/>
    <w:rsid w:val="00250558"/>
    <w:rsid w:val="00250592"/>
    <w:rsid w:val="00250629"/>
    <w:rsid w:val="00250638"/>
    <w:rsid w:val="00250825"/>
    <w:rsid w:val="0025088E"/>
    <w:rsid w:val="002508FC"/>
    <w:rsid w:val="0025094D"/>
    <w:rsid w:val="0025098C"/>
    <w:rsid w:val="002509B6"/>
    <w:rsid w:val="00250A01"/>
    <w:rsid w:val="00250A7E"/>
    <w:rsid w:val="00250BFB"/>
    <w:rsid w:val="00250C2F"/>
    <w:rsid w:val="00250C5E"/>
    <w:rsid w:val="00250C68"/>
    <w:rsid w:val="00250C78"/>
    <w:rsid w:val="00250D33"/>
    <w:rsid w:val="00250EEF"/>
    <w:rsid w:val="00250F41"/>
    <w:rsid w:val="002512E6"/>
    <w:rsid w:val="00251489"/>
    <w:rsid w:val="00251497"/>
    <w:rsid w:val="002514E3"/>
    <w:rsid w:val="0025153D"/>
    <w:rsid w:val="002515ED"/>
    <w:rsid w:val="00251668"/>
    <w:rsid w:val="00251772"/>
    <w:rsid w:val="002517C0"/>
    <w:rsid w:val="0025185F"/>
    <w:rsid w:val="002518D5"/>
    <w:rsid w:val="00251909"/>
    <w:rsid w:val="00251A4B"/>
    <w:rsid w:val="00251AA4"/>
    <w:rsid w:val="00251B6B"/>
    <w:rsid w:val="00251C7C"/>
    <w:rsid w:val="00251CE3"/>
    <w:rsid w:val="00251D1C"/>
    <w:rsid w:val="00251DE0"/>
    <w:rsid w:val="00251E23"/>
    <w:rsid w:val="00251EC0"/>
    <w:rsid w:val="00251F71"/>
    <w:rsid w:val="00252113"/>
    <w:rsid w:val="0025215B"/>
    <w:rsid w:val="00252160"/>
    <w:rsid w:val="0025217F"/>
    <w:rsid w:val="00252387"/>
    <w:rsid w:val="002524E4"/>
    <w:rsid w:val="002524F1"/>
    <w:rsid w:val="002525C0"/>
    <w:rsid w:val="002526B7"/>
    <w:rsid w:val="00252701"/>
    <w:rsid w:val="0025279A"/>
    <w:rsid w:val="00252865"/>
    <w:rsid w:val="0025290C"/>
    <w:rsid w:val="00252981"/>
    <w:rsid w:val="00252B8E"/>
    <w:rsid w:val="00252C07"/>
    <w:rsid w:val="00252CA0"/>
    <w:rsid w:val="00252CAB"/>
    <w:rsid w:val="00252CD8"/>
    <w:rsid w:val="00252D22"/>
    <w:rsid w:val="00252D5A"/>
    <w:rsid w:val="00252D78"/>
    <w:rsid w:val="00252DA3"/>
    <w:rsid w:val="00252DF2"/>
    <w:rsid w:val="00252EEB"/>
    <w:rsid w:val="00252F6C"/>
    <w:rsid w:val="00252FDE"/>
    <w:rsid w:val="0025303A"/>
    <w:rsid w:val="002530CF"/>
    <w:rsid w:val="00253280"/>
    <w:rsid w:val="002532FE"/>
    <w:rsid w:val="00253418"/>
    <w:rsid w:val="00253443"/>
    <w:rsid w:val="0025349C"/>
    <w:rsid w:val="002535BB"/>
    <w:rsid w:val="002535D9"/>
    <w:rsid w:val="0025370F"/>
    <w:rsid w:val="00253739"/>
    <w:rsid w:val="002537F3"/>
    <w:rsid w:val="002538A7"/>
    <w:rsid w:val="00253969"/>
    <w:rsid w:val="00253ABF"/>
    <w:rsid w:val="00253BDA"/>
    <w:rsid w:val="00253C2E"/>
    <w:rsid w:val="00253C55"/>
    <w:rsid w:val="00253DFE"/>
    <w:rsid w:val="00253E4A"/>
    <w:rsid w:val="00253E5F"/>
    <w:rsid w:val="00253EF5"/>
    <w:rsid w:val="00254002"/>
    <w:rsid w:val="00254095"/>
    <w:rsid w:val="002540F4"/>
    <w:rsid w:val="0025417B"/>
    <w:rsid w:val="00254194"/>
    <w:rsid w:val="00254230"/>
    <w:rsid w:val="0025455A"/>
    <w:rsid w:val="002545CC"/>
    <w:rsid w:val="00254807"/>
    <w:rsid w:val="0025486D"/>
    <w:rsid w:val="00254888"/>
    <w:rsid w:val="002548EE"/>
    <w:rsid w:val="00254A33"/>
    <w:rsid w:val="00254A90"/>
    <w:rsid w:val="00254B30"/>
    <w:rsid w:val="00254B35"/>
    <w:rsid w:val="00254B3C"/>
    <w:rsid w:val="00254C15"/>
    <w:rsid w:val="00254C77"/>
    <w:rsid w:val="00254CC9"/>
    <w:rsid w:val="00254DBC"/>
    <w:rsid w:val="00254E25"/>
    <w:rsid w:val="00254E38"/>
    <w:rsid w:val="00254E4B"/>
    <w:rsid w:val="00254EE3"/>
    <w:rsid w:val="00254FFE"/>
    <w:rsid w:val="00255146"/>
    <w:rsid w:val="00255447"/>
    <w:rsid w:val="002555D6"/>
    <w:rsid w:val="002558A0"/>
    <w:rsid w:val="00255A31"/>
    <w:rsid w:val="00255AFA"/>
    <w:rsid w:val="00255C1D"/>
    <w:rsid w:val="00255C46"/>
    <w:rsid w:val="00255C55"/>
    <w:rsid w:val="00255C62"/>
    <w:rsid w:val="00255DCB"/>
    <w:rsid w:val="00255DF6"/>
    <w:rsid w:val="00255E38"/>
    <w:rsid w:val="00255E7B"/>
    <w:rsid w:val="00255EBB"/>
    <w:rsid w:val="00255EE6"/>
    <w:rsid w:val="00255F8F"/>
    <w:rsid w:val="00255FC5"/>
    <w:rsid w:val="0025602F"/>
    <w:rsid w:val="00256034"/>
    <w:rsid w:val="00256045"/>
    <w:rsid w:val="00256095"/>
    <w:rsid w:val="002561C5"/>
    <w:rsid w:val="002562FA"/>
    <w:rsid w:val="00256302"/>
    <w:rsid w:val="00256444"/>
    <w:rsid w:val="002564DD"/>
    <w:rsid w:val="00256554"/>
    <w:rsid w:val="002565EA"/>
    <w:rsid w:val="00256621"/>
    <w:rsid w:val="0025664C"/>
    <w:rsid w:val="002566A7"/>
    <w:rsid w:val="002567ED"/>
    <w:rsid w:val="002567F5"/>
    <w:rsid w:val="0025680F"/>
    <w:rsid w:val="00256820"/>
    <w:rsid w:val="00256877"/>
    <w:rsid w:val="00256917"/>
    <w:rsid w:val="0025695F"/>
    <w:rsid w:val="002569B1"/>
    <w:rsid w:val="00256C56"/>
    <w:rsid w:val="00256D96"/>
    <w:rsid w:val="00256DB1"/>
    <w:rsid w:val="00256DBB"/>
    <w:rsid w:val="00256E6F"/>
    <w:rsid w:val="00256ECE"/>
    <w:rsid w:val="00256F20"/>
    <w:rsid w:val="00256FCD"/>
    <w:rsid w:val="00257002"/>
    <w:rsid w:val="00257067"/>
    <w:rsid w:val="002570B5"/>
    <w:rsid w:val="002571A8"/>
    <w:rsid w:val="00257259"/>
    <w:rsid w:val="002572FF"/>
    <w:rsid w:val="00257336"/>
    <w:rsid w:val="00257473"/>
    <w:rsid w:val="002575AE"/>
    <w:rsid w:val="002575E3"/>
    <w:rsid w:val="0025760C"/>
    <w:rsid w:val="0025775D"/>
    <w:rsid w:val="002577D4"/>
    <w:rsid w:val="0025781B"/>
    <w:rsid w:val="00257A52"/>
    <w:rsid w:val="00257AE0"/>
    <w:rsid w:val="00257B35"/>
    <w:rsid w:val="00257C5A"/>
    <w:rsid w:val="00260019"/>
    <w:rsid w:val="0026002B"/>
    <w:rsid w:val="00260108"/>
    <w:rsid w:val="002602C6"/>
    <w:rsid w:val="0026039F"/>
    <w:rsid w:val="0026049D"/>
    <w:rsid w:val="002604BB"/>
    <w:rsid w:val="002604F6"/>
    <w:rsid w:val="0026054A"/>
    <w:rsid w:val="00260579"/>
    <w:rsid w:val="0026063B"/>
    <w:rsid w:val="0026069E"/>
    <w:rsid w:val="002606B4"/>
    <w:rsid w:val="002608E8"/>
    <w:rsid w:val="0026095C"/>
    <w:rsid w:val="00260A92"/>
    <w:rsid w:val="00260AE6"/>
    <w:rsid w:val="00260BF6"/>
    <w:rsid w:val="00260C4E"/>
    <w:rsid w:val="00260CA7"/>
    <w:rsid w:val="00260D6D"/>
    <w:rsid w:val="002610A5"/>
    <w:rsid w:val="00261200"/>
    <w:rsid w:val="00261405"/>
    <w:rsid w:val="00261418"/>
    <w:rsid w:val="0026149D"/>
    <w:rsid w:val="00261500"/>
    <w:rsid w:val="00261752"/>
    <w:rsid w:val="0026180F"/>
    <w:rsid w:val="002618CC"/>
    <w:rsid w:val="0026190B"/>
    <w:rsid w:val="0026196B"/>
    <w:rsid w:val="00261996"/>
    <w:rsid w:val="002619FF"/>
    <w:rsid w:val="00261A6A"/>
    <w:rsid w:val="00261A88"/>
    <w:rsid w:val="00261CE1"/>
    <w:rsid w:val="00261D1E"/>
    <w:rsid w:val="00261D43"/>
    <w:rsid w:val="00261D63"/>
    <w:rsid w:val="00261DEC"/>
    <w:rsid w:val="00261E6F"/>
    <w:rsid w:val="00261ECB"/>
    <w:rsid w:val="00261F2D"/>
    <w:rsid w:val="002620BB"/>
    <w:rsid w:val="002622D4"/>
    <w:rsid w:val="00262350"/>
    <w:rsid w:val="0026237D"/>
    <w:rsid w:val="00262412"/>
    <w:rsid w:val="00262464"/>
    <w:rsid w:val="002624ED"/>
    <w:rsid w:val="0026251C"/>
    <w:rsid w:val="0026274E"/>
    <w:rsid w:val="00262765"/>
    <w:rsid w:val="00262826"/>
    <w:rsid w:val="00262869"/>
    <w:rsid w:val="00262872"/>
    <w:rsid w:val="00262936"/>
    <w:rsid w:val="00262A6D"/>
    <w:rsid w:val="00262B1A"/>
    <w:rsid w:val="00262B5B"/>
    <w:rsid w:val="00262BD0"/>
    <w:rsid w:val="00262CF9"/>
    <w:rsid w:val="00262DCE"/>
    <w:rsid w:val="00262DE1"/>
    <w:rsid w:val="00262ED4"/>
    <w:rsid w:val="00262F7B"/>
    <w:rsid w:val="00262F7E"/>
    <w:rsid w:val="00263156"/>
    <w:rsid w:val="002631D2"/>
    <w:rsid w:val="00263447"/>
    <w:rsid w:val="0026353E"/>
    <w:rsid w:val="0026367B"/>
    <w:rsid w:val="002637C5"/>
    <w:rsid w:val="0026384F"/>
    <w:rsid w:val="00263988"/>
    <w:rsid w:val="002639B5"/>
    <w:rsid w:val="00263AC4"/>
    <w:rsid w:val="00263B24"/>
    <w:rsid w:val="00263C3F"/>
    <w:rsid w:val="00263D50"/>
    <w:rsid w:val="00263DCD"/>
    <w:rsid w:val="00263FD6"/>
    <w:rsid w:val="00264043"/>
    <w:rsid w:val="00264069"/>
    <w:rsid w:val="00264158"/>
    <w:rsid w:val="002641CE"/>
    <w:rsid w:val="002641EC"/>
    <w:rsid w:val="00264262"/>
    <w:rsid w:val="002642DB"/>
    <w:rsid w:val="00264361"/>
    <w:rsid w:val="0026440A"/>
    <w:rsid w:val="0026441A"/>
    <w:rsid w:val="002644C8"/>
    <w:rsid w:val="002644E9"/>
    <w:rsid w:val="002645B0"/>
    <w:rsid w:val="0026466F"/>
    <w:rsid w:val="002646C4"/>
    <w:rsid w:val="002646F2"/>
    <w:rsid w:val="00264700"/>
    <w:rsid w:val="002647AE"/>
    <w:rsid w:val="00264857"/>
    <w:rsid w:val="00264990"/>
    <w:rsid w:val="002649C5"/>
    <w:rsid w:val="00264A22"/>
    <w:rsid w:val="00264AD4"/>
    <w:rsid w:val="00264D37"/>
    <w:rsid w:val="00264DBF"/>
    <w:rsid w:val="00264F1B"/>
    <w:rsid w:val="00265027"/>
    <w:rsid w:val="0026503B"/>
    <w:rsid w:val="00265050"/>
    <w:rsid w:val="0026513B"/>
    <w:rsid w:val="0026522E"/>
    <w:rsid w:val="002653C5"/>
    <w:rsid w:val="00265476"/>
    <w:rsid w:val="002654C0"/>
    <w:rsid w:val="002656B6"/>
    <w:rsid w:val="002656E4"/>
    <w:rsid w:val="0026587E"/>
    <w:rsid w:val="002658C3"/>
    <w:rsid w:val="00265930"/>
    <w:rsid w:val="002659D2"/>
    <w:rsid w:val="00265A33"/>
    <w:rsid w:val="00265B26"/>
    <w:rsid w:val="00265B5B"/>
    <w:rsid w:val="00265BFE"/>
    <w:rsid w:val="00265C23"/>
    <w:rsid w:val="00265C24"/>
    <w:rsid w:val="00265C65"/>
    <w:rsid w:val="00265C78"/>
    <w:rsid w:val="00265D34"/>
    <w:rsid w:val="00265E92"/>
    <w:rsid w:val="00265EAE"/>
    <w:rsid w:val="00265EED"/>
    <w:rsid w:val="00265F87"/>
    <w:rsid w:val="00266043"/>
    <w:rsid w:val="00266082"/>
    <w:rsid w:val="002661AB"/>
    <w:rsid w:val="00266237"/>
    <w:rsid w:val="002662C4"/>
    <w:rsid w:val="00266386"/>
    <w:rsid w:val="002663AA"/>
    <w:rsid w:val="0026649F"/>
    <w:rsid w:val="00266568"/>
    <w:rsid w:val="00266692"/>
    <w:rsid w:val="0026669F"/>
    <w:rsid w:val="002666E3"/>
    <w:rsid w:val="002666FB"/>
    <w:rsid w:val="0026677B"/>
    <w:rsid w:val="0026680D"/>
    <w:rsid w:val="002669A8"/>
    <w:rsid w:val="00266A6F"/>
    <w:rsid w:val="00266AD3"/>
    <w:rsid w:val="00266C02"/>
    <w:rsid w:val="00266C6A"/>
    <w:rsid w:val="00266C84"/>
    <w:rsid w:val="00266CBD"/>
    <w:rsid w:val="00266F7B"/>
    <w:rsid w:val="002670C7"/>
    <w:rsid w:val="00267126"/>
    <w:rsid w:val="00267231"/>
    <w:rsid w:val="0026731D"/>
    <w:rsid w:val="00267356"/>
    <w:rsid w:val="00267425"/>
    <w:rsid w:val="0026751C"/>
    <w:rsid w:val="00267581"/>
    <w:rsid w:val="002675E6"/>
    <w:rsid w:val="002677B9"/>
    <w:rsid w:val="00267843"/>
    <w:rsid w:val="002678F3"/>
    <w:rsid w:val="00267BBF"/>
    <w:rsid w:val="00267C2F"/>
    <w:rsid w:val="00267CCB"/>
    <w:rsid w:val="00267D06"/>
    <w:rsid w:val="00267D1E"/>
    <w:rsid w:val="00267D73"/>
    <w:rsid w:val="00267DF5"/>
    <w:rsid w:val="00267F87"/>
    <w:rsid w:val="00267F93"/>
    <w:rsid w:val="00267FD7"/>
    <w:rsid w:val="00267FF0"/>
    <w:rsid w:val="00270011"/>
    <w:rsid w:val="00270035"/>
    <w:rsid w:val="00270064"/>
    <w:rsid w:val="00270117"/>
    <w:rsid w:val="00270255"/>
    <w:rsid w:val="00270274"/>
    <w:rsid w:val="002702D1"/>
    <w:rsid w:val="0027033C"/>
    <w:rsid w:val="0027056B"/>
    <w:rsid w:val="002705D6"/>
    <w:rsid w:val="002706A3"/>
    <w:rsid w:val="002707B7"/>
    <w:rsid w:val="00270960"/>
    <w:rsid w:val="002709FB"/>
    <w:rsid w:val="00270AE2"/>
    <w:rsid w:val="00270B6A"/>
    <w:rsid w:val="00270CC7"/>
    <w:rsid w:val="00270D7F"/>
    <w:rsid w:val="00270E5B"/>
    <w:rsid w:val="00270EED"/>
    <w:rsid w:val="00270EFD"/>
    <w:rsid w:val="00270FEB"/>
    <w:rsid w:val="00271043"/>
    <w:rsid w:val="00271057"/>
    <w:rsid w:val="00271151"/>
    <w:rsid w:val="002711E3"/>
    <w:rsid w:val="00271202"/>
    <w:rsid w:val="0027137B"/>
    <w:rsid w:val="002714BB"/>
    <w:rsid w:val="0027160D"/>
    <w:rsid w:val="002717BA"/>
    <w:rsid w:val="002717F3"/>
    <w:rsid w:val="00271880"/>
    <w:rsid w:val="0027189A"/>
    <w:rsid w:val="002718FA"/>
    <w:rsid w:val="0027190F"/>
    <w:rsid w:val="00271A0C"/>
    <w:rsid w:val="00271B42"/>
    <w:rsid w:val="00271B6F"/>
    <w:rsid w:val="00271C67"/>
    <w:rsid w:val="00271D08"/>
    <w:rsid w:val="00271DEF"/>
    <w:rsid w:val="00271DFB"/>
    <w:rsid w:val="00271E46"/>
    <w:rsid w:val="002720B6"/>
    <w:rsid w:val="002722C9"/>
    <w:rsid w:val="002723A7"/>
    <w:rsid w:val="0027254A"/>
    <w:rsid w:val="00272766"/>
    <w:rsid w:val="002727C7"/>
    <w:rsid w:val="00272884"/>
    <w:rsid w:val="002728AA"/>
    <w:rsid w:val="00272947"/>
    <w:rsid w:val="0027295B"/>
    <w:rsid w:val="00272AA8"/>
    <w:rsid w:val="00272AB6"/>
    <w:rsid w:val="00272BE8"/>
    <w:rsid w:val="00272BEC"/>
    <w:rsid w:val="00272E21"/>
    <w:rsid w:val="00272EFE"/>
    <w:rsid w:val="00272F31"/>
    <w:rsid w:val="00272F47"/>
    <w:rsid w:val="00272F8E"/>
    <w:rsid w:val="00272FF4"/>
    <w:rsid w:val="0027314D"/>
    <w:rsid w:val="00273206"/>
    <w:rsid w:val="002732C0"/>
    <w:rsid w:val="002733A3"/>
    <w:rsid w:val="002733D2"/>
    <w:rsid w:val="0027343E"/>
    <w:rsid w:val="002734B9"/>
    <w:rsid w:val="002734C8"/>
    <w:rsid w:val="002734EB"/>
    <w:rsid w:val="00273727"/>
    <w:rsid w:val="00273786"/>
    <w:rsid w:val="002738E4"/>
    <w:rsid w:val="00273944"/>
    <w:rsid w:val="0027399C"/>
    <w:rsid w:val="002739B4"/>
    <w:rsid w:val="00273B31"/>
    <w:rsid w:val="00273B39"/>
    <w:rsid w:val="00273D50"/>
    <w:rsid w:val="00273D89"/>
    <w:rsid w:val="00273DA5"/>
    <w:rsid w:val="00273DF6"/>
    <w:rsid w:val="00273EE6"/>
    <w:rsid w:val="00273F4B"/>
    <w:rsid w:val="002740A6"/>
    <w:rsid w:val="0027433D"/>
    <w:rsid w:val="00274342"/>
    <w:rsid w:val="00274505"/>
    <w:rsid w:val="00274508"/>
    <w:rsid w:val="00274534"/>
    <w:rsid w:val="00274562"/>
    <w:rsid w:val="002745E2"/>
    <w:rsid w:val="0027465A"/>
    <w:rsid w:val="002746AE"/>
    <w:rsid w:val="0027487A"/>
    <w:rsid w:val="0027495B"/>
    <w:rsid w:val="002749EB"/>
    <w:rsid w:val="00274C59"/>
    <w:rsid w:val="00274C6B"/>
    <w:rsid w:val="00274DCD"/>
    <w:rsid w:val="00274E73"/>
    <w:rsid w:val="00274F89"/>
    <w:rsid w:val="002753E3"/>
    <w:rsid w:val="0027544B"/>
    <w:rsid w:val="0027552C"/>
    <w:rsid w:val="00275592"/>
    <w:rsid w:val="002755E1"/>
    <w:rsid w:val="00275639"/>
    <w:rsid w:val="00275680"/>
    <w:rsid w:val="00275781"/>
    <w:rsid w:val="002757AD"/>
    <w:rsid w:val="00275819"/>
    <w:rsid w:val="00275925"/>
    <w:rsid w:val="0027595D"/>
    <w:rsid w:val="00275964"/>
    <w:rsid w:val="00275B7E"/>
    <w:rsid w:val="00275C3A"/>
    <w:rsid w:val="00275C76"/>
    <w:rsid w:val="00275CF4"/>
    <w:rsid w:val="00275E94"/>
    <w:rsid w:val="0027609D"/>
    <w:rsid w:val="00276185"/>
    <w:rsid w:val="002761CE"/>
    <w:rsid w:val="0027628A"/>
    <w:rsid w:val="00276360"/>
    <w:rsid w:val="002763EE"/>
    <w:rsid w:val="00276457"/>
    <w:rsid w:val="0027648B"/>
    <w:rsid w:val="002764AE"/>
    <w:rsid w:val="002765C1"/>
    <w:rsid w:val="00276656"/>
    <w:rsid w:val="002767A2"/>
    <w:rsid w:val="002767EC"/>
    <w:rsid w:val="0027694B"/>
    <w:rsid w:val="00276ABB"/>
    <w:rsid w:val="00276AF7"/>
    <w:rsid w:val="00276BD5"/>
    <w:rsid w:val="00276C03"/>
    <w:rsid w:val="00276D54"/>
    <w:rsid w:val="00276D77"/>
    <w:rsid w:val="00276DDF"/>
    <w:rsid w:val="00276E77"/>
    <w:rsid w:val="00276F6F"/>
    <w:rsid w:val="00277249"/>
    <w:rsid w:val="0027725E"/>
    <w:rsid w:val="0027735E"/>
    <w:rsid w:val="0027737C"/>
    <w:rsid w:val="0027738C"/>
    <w:rsid w:val="00277419"/>
    <w:rsid w:val="00277527"/>
    <w:rsid w:val="0027758F"/>
    <w:rsid w:val="0027772A"/>
    <w:rsid w:val="0027787E"/>
    <w:rsid w:val="002778B3"/>
    <w:rsid w:val="002778D9"/>
    <w:rsid w:val="00277947"/>
    <w:rsid w:val="00277EC6"/>
    <w:rsid w:val="00277F7C"/>
    <w:rsid w:val="00280041"/>
    <w:rsid w:val="002800B8"/>
    <w:rsid w:val="00280212"/>
    <w:rsid w:val="00280246"/>
    <w:rsid w:val="002804EF"/>
    <w:rsid w:val="002805BA"/>
    <w:rsid w:val="00280720"/>
    <w:rsid w:val="00280A7E"/>
    <w:rsid w:val="00280BCF"/>
    <w:rsid w:val="00280C21"/>
    <w:rsid w:val="00280C61"/>
    <w:rsid w:val="00280EB3"/>
    <w:rsid w:val="00281142"/>
    <w:rsid w:val="0028122D"/>
    <w:rsid w:val="002813D4"/>
    <w:rsid w:val="002813F3"/>
    <w:rsid w:val="0028148E"/>
    <w:rsid w:val="002815AC"/>
    <w:rsid w:val="0028161D"/>
    <w:rsid w:val="00281867"/>
    <w:rsid w:val="0028189B"/>
    <w:rsid w:val="002818A9"/>
    <w:rsid w:val="002818DA"/>
    <w:rsid w:val="002818EA"/>
    <w:rsid w:val="00281A77"/>
    <w:rsid w:val="00281B2B"/>
    <w:rsid w:val="00281C39"/>
    <w:rsid w:val="00281ED4"/>
    <w:rsid w:val="00281ED5"/>
    <w:rsid w:val="00282010"/>
    <w:rsid w:val="00282116"/>
    <w:rsid w:val="00282158"/>
    <w:rsid w:val="002821E2"/>
    <w:rsid w:val="00282238"/>
    <w:rsid w:val="0028225D"/>
    <w:rsid w:val="0028230D"/>
    <w:rsid w:val="002823C8"/>
    <w:rsid w:val="002824F5"/>
    <w:rsid w:val="0028253D"/>
    <w:rsid w:val="002825C5"/>
    <w:rsid w:val="002825D6"/>
    <w:rsid w:val="0028262C"/>
    <w:rsid w:val="00282690"/>
    <w:rsid w:val="002826C5"/>
    <w:rsid w:val="00282752"/>
    <w:rsid w:val="002827E6"/>
    <w:rsid w:val="00282839"/>
    <w:rsid w:val="0028284F"/>
    <w:rsid w:val="00282898"/>
    <w:rsid w:val="002829E1"/>
    <w:rsid w:val="00282E59"/>
    <w:rsid w:val="00282FA9"/>
    <w:rsid w:val="00283075"/>
    <w:rsid w:val="002830A9"/>
    <w:rsid w:val="002830DE"/>
    <w:rsid w:val="0028314F"/>
    <w:rsid w:val="002831B0"/>
    <w:rsid w:val="00283331"/>
    <w:rsid w:val="00283350"/>
    <w:rsid w:val="00283379"/>
    <w:rsid w:val="00283487"/>
    <w:rsid w:val="00283495"/>
    <w:rsid w:val="002834DF"/>
    <w:rsid w:val="0028352C"/>
    <w:rsid w:val="0028370D"/>
    <w:rsid w:val="00283783"/>
    <w:rsid w:val="002838E4"/>
    <w:rsid w:val="002839A0"/>
    <w:rsid w:val="00283A3E"/>
    <w:rsid w:val="00283B69"/>
    <w:rsid w:val="00283BEF"/>
    <w:rsid w:val="00283C17"/>
    <w:rsid w:val="00283C84"/>
    <w:rsid w:val="00283D33"/>
    <w:rsid w:val="00283D4F"/>
    <w:rsid w:val="00283D73"/>
    <w:rsid w:val="00283D7A"/>
    <w:rsid w:val="00283E85"/>
    <w:rsid w:val="00283EA3"/>
    <w:rsid w:val="00283FFC"/>
    <w:rsid w:val="002842B3"/>
    <w:rsid w:val="0028435F"/>
    <w:rsid w:val="00284444"/>
    <w:rsid w:val="00284501"/>
    <w:rsid w:val="0028459E"/>
    <w:rsid w:val="002846BE"/>
    <w:rsid w:val="002846CF"/>
    <w:rsid w:val="0028471A"/>
    <w:rsid w:val="0028476E"/>
    <w:rsid w:val="002847B0"/>
    <w:rsid w:val="002848F6"/>
    <w:rsid w:val="00284A15"/>
    <w:rsid w:val="00284A57"/>
    <w:rsid w:val="00284A65"/>
    <w:rsid w:val="00284AAA"/>
    <w:rsid w:val="00284B40"/>
    <w:rsid w:val="00284BB0"/>
    <w:rsid w:val="00284C6E"/>
    <w:rsid w:val="00284D24"/>
    <w:rsid w:val="00284E00"/>
    <w:rsid w:val="00284E3B"/>
    <w:rsid w:val="00284E52"/>
    <w:rsid w:val="00284ED8"/>
    <w:rsid w:val="0028509F"/>
    <w:rsid w:val="002851B9"/>
    <w:rsid w:val="00285230"/>
    <w:rsid w:val="002855D0"/>
    <w:rsid w:val="00285706"/>
    <w:rsid w:val="00285783"/>
    <w:rsid w:val="00285788"/>
    <w:rsid w:val="00285876"/>
    <w:rsid w:val="00285936"/>
    <w:rsid w:val="00285A17"/>
    <w:rsid w:val="00285A45"/>
    <w:rsid w:val="00285B8C"/>
    <w:rsid w:val="00285BEE"/>
    <w:rsid w:val="00285C0A"/>
    <w:rsid w:val="00285C77"/>
    <w:rsid w:val="00285DAF"/>
    <w:rsid w:val="00285F5D"/>
    <w:rsid w:val="00285FDC"/>
    <w:rsid w:val="0028607D"/>
    <w:rsid w:val="0028629F"/>
    <w:rsid w:val="002862ED"/>
    <w:rsid w:val="00286364"/>
    <w:rsid w:val="002863EE"/>
    <w:rsid w:val="00286531"/>
    <w:rsid w:val="00286536"/>
    <w:rsid w:val="002865EF"/>
    <w:rsid w:val="00286618"/>
    <w:rsid w:val="0028667C"/>
    <w:rsid w:val="0028669F"/>
    <w:rsid w:val="002867DC"/>
    <w:rsid w:val="00286803"/>
    <w:rsid w:val="0028688E"/>
    <w:rsid w:val="002868BE"/>
    <w:rsid w:val="00286938"/>
    <w:rsid w:val="0028698F"/>
    <w:rsid w:val="002869EF"/>
    <w:rsid w:val="00286A57"/>
    <w:rsid w:val="00286A63"/>
    <w:rsid w:val="00286AB0"/>
    <w:rsid w:val="00286B46"/>
    <w:rsid w:val="00286CFB"/>
    <w:rsid w:val="00286E11"/>
    <w:rsid w:val="00286E40"/>
    <w:rsid w:val="00286E90"/>
    <w:rsid w:val="00286F02"/>
    <w:rsid w:val="002871C3"/>
    <w:rsid w:val="0028723C"/>
    <w:rsid w:val="00287265"/>
    <w:rsid w:val="00287375"/>
    <w:rsid w:val="0028737C"/>
    <w:rsid w:val="002874E9"/>
    <w:rsid w:val="0028753A"/>
    <w:rsid w:val="002875B3"/>
    <w:rsid w:val="00287662"/>
    <w:rsid w:val="002876C6"/>
    <w:rsid w:val="002876D1"/>
    <w:rsid w:val="002877BF"/>
    <w:rsid w:val="00287869"/>
    <w:rsid w:val="002878EE"/>
    <w:rsid w:val="002878F5"/>
    <w:rsid w:val="00287973"/>
    <w:rsid w:val="00287A53"/>
    <w:rsid w:val="00287AD8"/>
    <w:rsid w:val="00287AFC"/>
    <w:rsid w:val="00287E09"/>
    <w:rsid w:val="00287E10"/>
    <w:rsid w:val="00287E6C"/>
    <w:rsid w:val="00287ECA"/>
    <w:rsid w:val="00287F2B"/>
    <w:rsid w:val="00287F86"/>
    <w:rsid w:val="0028C721"/>
    <w:rsid w:val="0029002F"/>
    <w:rsid w:val="002901A6"/>
    <w:rsid w:val="002901B9"/>
    <w:rsid w:val="00290256"/>
    <w:rsid w:val="002902B9"/>
    <w:rsid w:val="002902EF"/>
    <w:rsid w:val="0029043F"/>
    <w:rsid w:val="00290491"/>
    <w:rsid w:val="002904B2"/>
    <w:rsid w:val="00290760"/>
    <w:rsid w:val="002907DC"/>
    <w:rsid w:val="00290803"/>
    <w:rsid w:val="00290815"/>
    <w:rsid w:val="0029090D"/>
    <w:rsid w:val="00290C3A"/>
    <w:rsid w:val="00290C6D"/>
    <w:rsid w:val="00290CF0"/>
    <w:rsid w:val="00290E22"/>
    <w:rsid w:val="00290EF6"/>
    <w:rsid w:val="00291050"/>
    <w:rsid w:val="0029126F"/>
    <w:rsid w:val="00291368"/>
    <w:rsid w:val="0029136E"/>
    <w:rsid w:val="00291774"/>
    <w:rsid w:val="00291788"/>
    <w:rsid w:val="0029187A"/>
    <w:rsid w:val="0029197D"/>
    <w:rsid w:val="00291AEE"/>
    <w:rsid w:val="00291B28"/>
    <w:rsid w:val="00291C6C"/>
    <w:rsid w:val="00291D31"/>
    <w:rsid w:val="00291E47"/>
    <w:rsid w:val="00291F59"/>
    <w:rsid w:val="00291FF1"/>
    <w:rsid w:val="00292193"/>
    <w:rsid w:val="002921A3"/>
    <w:rsid w:val="002921D9"/>
    <w:rsid w:val="00292283"/>
    <w:rsid w:val="0029228D"/>
    <w:rsid w:val="0029234F"/>
    <w:rsid w:val="0029238D"/>
    <w:rsid w:val="002923E7"/>
    <w:rsid w:val="002925B6"/>
    <w:rsid w:val="0029260B"/>
    <w:rsid w:val="00292636"/>
    <w:rsid w:val="0029267F"/>
    <w:rsid w:val="002926D2"/>
    <w:rsid w:val="0029274F"/>
    <w:rsid w:val="00292761"/>
    <w:rsid w:val="002928BE"/>
    <w:rsid w:val="0029290F"/>
    <w:rsid w:val="0029292D"/>
    <w:rsid w:val="002929E1"/>
    <w:rsid w:val="00292A06"/>
    <w:rsid w:val="00292CA8"/>
    <w:rsid w:val="00292D1C"/>
    <w:rsid w:val="00292E37"/>
    <w:rsid w:val="00292F53"/>
    <w:rsid w:val="00292FED"/>
    <w:rsid w:val="0029308B"/>
    <w:rsid w:val="002931B3"/>
    <w:rsid w:val="002931CF"/>
    <w:rsid w:val="002931F4"/>
    <w:rsid w:val="00293242"/>
    <w:rsid w:val="002932DE"/>
    <w:rsid w:val="00293459"/>
    <w:rsid w:val="0029360A"/>
    <w:rsid w:val="00293659"/>
    <w:rsid w:val="002937C2"/>
    <w:rsid w:val="0029397C"/>
    <w:rsid w:val="002939A5"/>
    <w:rsid w:val="00293A4C"/>
    <w:rsid w:val="00293ABE"/>
    <w:rsid w:val="00293CD3"/>
    <w:rsid w:val="00293E47"/>
    <w:rsid w:val="00293EDB"/>
    <w:rsid w:val="00294011"/>
    <w:rsid w:val="00294042"/>
    <w:rsid w:val="0029406B"/>
    <w:rsid w:val="0029411A"/>
    <w:rsid w:val="0029416C"/>
    <w:rsid w:val="0029423F"/>
    <w:rsid w:val="00294363"/>
    <w:rsid w:val="0029440E"/>
    <w:rsid w:val="00294454"/>
    <w:rsid w:val="00294503"/>
    <w:rsid w:val="002945D8"/>
    <w:rsid w:val="00294633"/>
    <w:rsid w:val="002946E3"/>
    <w:rsid w:val="00294B1F"/>
    <w:rsid w:val="00294B78"/>
    <w:rsid w:val="00294C5B"/>
    <w:rsid w:val="00294CD9"/>
    <w:rsid w:val="00294DF8"/>
    <w:rsid w:val="00294ED0"/>
    <w:rsid w:val="002950F1"/>
    <w:rsid w:val="00295238"/>
    <w:rsid w:val="00295260"/>
    <w:rsid w:val="002952AC"/>
    <w:rsid w:val="0029533F"/>
    <w:rsid w:val="00295461"/>
    <w:rsid w:val="0029546C"/>
    <w:rsid w:val="00295642"/>
    <w:rsid w:val="00295688"/>
    <w:rsid w:val="002956B5"/>
    <w:rsid w:val="0029570B"/>
    <w:rsid w:val="00295721"/>
    <w:rsid w:val="00295727"/>
    <w:rsid w:val="00295784"/>
    <w:rsid w:val="002957BA"/>
    <w:rsid w:val="002958C3"/>
    <w:rsid w:val="00295922"/>
    <w:rsid w:val="0029592A"/>
    <w:rsid w:val="002959ED"/>
    <w:rsid w:val="002959F2"/>
    <w:rsid w:val="00295A3A"/>
    <w:rsid w:val="00295A6D"/>
    <w:rsid w:val="00295C79"/>
    <w:rsid w:val="00295D5F"/>
    <w:rsid w:val="00295EE9"/>
    <w:rsid w:val="00295F45"/>
    <w:rsid w:val="00296061"/>
    <w:rsid w:val="002960CA"/>
    <w:rsid w:val="002962BC"/>
    <w:rsid w:val="002962F6"/>
    <w:rsid w:val="002963F1"/>
    <w:rsid w:val="0029644F"/>
    <w:rsid w:val="002964BB"/>
    <w:rsid w:val="002965CE"/>
    <w:rsid w:val="002966A4"/>
    <w:rsid w:val="00296732"/>
    <w:rsid w:val="00296753"/>
    <w:rsid w:val="0029677B"/>
    <w:rsid w:val="0029678C"/>
    <w:rsid w:val="00296866"/>
    <w:rsid w:val="00296891"/>
    <w:rsid w:val="002968D6"/>
    <w:rsid w:val="00296986"/>
    <w:rsid w:val="00296996"/>
    <w:rsid w:val="00296B2A"/>
    <w:rsid w:val="00296B37"/>
    <w:rsid w:val="00296BB1"/>
    <w:rsid w:val="00296C47"/>
    <w:rsid w:val="00296C8B"/>
    <w:rsid w:val="00296DB8"/>
    <w:rsid w:val="00296E83"/>
    <w:rsid w:val="00296EE2"/>
    <w:rsid w:val="00296F7E"/>
    <w:rsid w:val="00296FCE"/>
    <w:rsid w:val="00296FD2"/>
    <w:rsid w:val="002970B8"/>
    <w:rsid w:val="00297255"/>
    <w:rsid w:val="00297277"/>
    <w:rsid w:val="002972A9"/>
    <w:rsid w:val="002972BC"/>
    <w:rsid w:val="002973C4"/>
    <w:rsid w:val="00297514"/>
    <w:rsid w:val="00297556"/>
    <w:rsid w:val="002976E0"/>
    <w:rsid w:val="0029774A"/>
    <w:rsid w:val="00297765"/>
    <w:rsid w:val="00297779"/>
    <w:rsid w:val="002978E8"/>
    <w:rsid w:val="00297ADA"/>
    <w:rsid w:val="00297ADF"/>
    <w:rsid w:val="00297AF8"/>
    <w:rsid w:val="00297BD2"/>
    <w:rsid w:val="00297CE6"/>
    <w:rsid w:val="00297E22"/>
    <w:rsid w:val="00297F25"/>
    <w:rsid w:val="00297FC0"/>
    <w:rsid w:val="002A00AE"/>
    <w:rsid w:val="002A022C"/>
    <w:rsid w:val="002A026B"/>
    <w:rsid w:val="002A0364"/>
    <w:rsid w:val="002A048E"/>
    <w:rsid w:val="002A04A7"/>
    <w:rsid w:val="002A04C4"/>
    <w:rsid w:val="002A04F6"/>
    <w:rsid w:val="002A0715"/>
    <w:rsid w:val="002A0780"/>
    <w:rsid w:val="002A07B7"/>
    <w:rsid w:val="002A07E0"/>
    <w:rsid w:val="002A08CF"/>
    <w:rsid w:val="002A090A"/>
    <w:rsid w:val="002A0A69"/>
    <w:rsid w:val="002A0C4F"/>
    <w:rsid w:val="002A0CA4"/>
    <w:rsid w:val="002A0CD9"/>
    <w:rsid w:val="002A0D01"/>
    <w:rsid w:val="002A0D02"/>
    <w:rsid w:val="002A0DD9"/>
    <w:rsid w:val="002A0E68"/>
    <w:rsid w:val="002A0E9D"/>
    <w:rsid w:val="002A0EB4"/>
    <w:rsid w:val="002A100C"/>
    <w:rsid w:val="002A11BA"/>
    <w:rsid w:val="002A11DF"/>
    <w:rsid w:val="002A1562"/>
    <w:rsid w:val="002A15CD"/>
    <w:rsid w:val="002A1712"/>
    <w:rsid w:val="002A1774"/>
    <w:rsid w:val="002A177C"/>
    <w:rsid w:val="002A1780"/>
    <w:rsid w:val="002A183C"/>
    <w:rsid w:val="002A18CD"/>
    <w:rsid w:val="002A1904"/>
    <w:rsid w:val="002A1B53"/>
    <w:rsid w:val="002A1B67"/>
    <w:rsid w:val="002A1B9D"/>
    <w:rsid w:val="002A1BC4"/>
    <w:rsid w:val="002A1C30"/>
    <w:rsid w:val="002A1C6B"/>
    <w:rsid w:val="002A1C6C"/>
    <w:rsid w:val="002A1E1F"/>
    <w:rsid w:val="002A1F8E"/>
    <w:rsid w:val="002A208E"/>
    <w:rsid w:val="002A20E9"/>
    <w:rsid w:val="002A2196"/>
    <w:rsid w:val="002A21A8"/>
    <w:rsid w:val="002A2430"/>
    <w:rsid w:val="002A2463"/>
    <w:rsid w:val="002A2504"/>
    <w:rsid w:val="002A26C4"/>
    <w:rsid w:val="002A26FB"/>
    <w:rsid w:val="002A2707"/>
    <w:rsid w:val="002A2727"/>
    <w:rsid w:val="002A2738"/>
    <w:rsid w:val="002A2952"/>
    <w:rsid w:val="002A29C6"/>
    <w:rsid w:val="002A29DF"/>
    <w:rsid w:val="002A2AA9"/>
    <w:rsid w:val="002A2AAE"/>
    <w:rsid w:val="002A2B30"/>
    <w:rsid w:val="002A2BCF"/>
    <w:rsid w:val="002A2D28"/>
    <w:rsid w:val="002A2D58"/>
    <w:rsid w:val="002A2DAC"/>
    <w:rsid w:val="002A2DC5"/>
    <w:rsid w:val="002A2DF0"/>
    <w:rsid w:val="002A2FF6"/>
    <w:rsid w:val="002A301F"/>
    <w:rsid w:val="002A3182"/>
    <w:rsid w:val="002A3283"/>
    <w:rsid w:val="002A32A8"/>
    <w:rsid w:val="002A3363"/>
    <w:rsid w:val="002A33FE"/>
    <w:rsid w:val="002A3430"/>
    <w:rsid w:val="002A3569"/>
    <w:rsid w:val="002A35E0"/>
    <w:rsid w:val="002A362F"/>
    <w:rsid w:val="002A36FB"/>
    <w:rsid w:val="002A379B"/>
    <w:rsid w:val="002A37A0"/>
    <w:rsid w:val="002A38D1"/>
    <w:rsid w:val="002A3A26"/>
    <w:rsid w:val="002A3B18"/>
    <w:rsid w:val="002A3BD1"/>
    <w:rsid w:val="002A3CE8"/>
    <w:rsid w:val="002A3D14"/>
    <w:rsid w:val="002A3DCF"/>
    <w:rsid w:val="002A3DFC"/>
    <w:rsid w:val="002A3E0C"/>
    <w:rsid w:val="002A4085"/>
    <w:rsid w:val="002A4117"/>
    <w:rsid w:val="002A4157"/>
    <w:rsid w:val="002A422E"/>
    <w:rsid w:val="002A4252"/>
    <w:rsid w:val="002A4341"/>
    <w:rsid w:val="002A4380"/>
    <w:rsid w:val="002A44BC"/>
    <w:rsid w:val="002A4501"/>
    <w:rsid w:val="002A4562"/>
    <w:rsid w:val="002A456A"/>
    <w:rsid w:val="002A466C"/>
    <w:rsid w:val="002A477C"/>
    <w:rsid w:val="002A47F9"/>
    <w:rsid w:val="002A4840"/>
    <w:rsid w:val="002A4863"/>
    <w:rsid w:val="002A48F9"/>
    <w:rsid w:val="002A496B"/>
    <w:rsid w:val="002A499C"/>
    <w:rsid w:val="002A4A35"/>
    <w:rsid w:val="002A4C60"/>
    <w:rsid w:val="002A4DB6"/>
    <w:rsid w:val="002A4E46"/>
    <w:rsid w:val="002A4E49"/>
    <w:rsid w:val="002A4E72"/>
    <w:rsid w:val="002A4E84"/>
    <w:rsid w:val="002A4EB1"/>
    <w:rsid w:val="002A4EB9"/>
    <w:rsid w:val="002A4F6B"/>
    <w:rsid w:val="002A4F7D"/>
    <w:rsid w:val="002A4FB3"/>
    <w:rsid w:val="002A507E"/>
    <w:rsid w:val="002A50B9"/>
    <w:rsid w:val="002A50C4"/>
    <w:rsid w:val="002A50F6"/>
    <w:rsid w:val="002A5140"/>
    <w:rsid w:val="002A5147"/>
    <w:rsid w:val="002A51C7"/>
    <w:rsid w:val="002A5264"/>
    <w:rsid w:val="002A5269"/>
    <w:rsid w:val="002A5299"/>
    <w:rsid w:val="002A530D"/>
    <w:rsid w:val="002A5359"/>
    <w:rsid w:val="002A53D9"/>
    <w:rsid w:val="002A5484"/>
    <w:rsid w:val="002A55A5"/>
    <w:rsid w:val="002A56B3"/>
    <w:rsid w:val="002A574E"/>
    <w:rsid w:val="002A58DF"/>
    <w:rsid w:val="002A5997"/>
    <w:rsid w:val="002A5A23"/>
    <w:rsid w:val="002A5A67"/>
    <w:rsid w:val="002A5AB1"/>
    <w:rsid w:val="002A5B66"/>
    <w:rsid w:val="002A5C06"/>
    <w:rsid w:val="002A5CA2"/>
    <w:rsid w:val="002A5D13"/>
    <w:rsid w:val="002A5E38"/>
    <w:rsid w:val="002A5EE1"/>
    <w:rsid w:val="002A5F18"/>
    <w:rsid w:val="002A5F3E"/>
    <w:rsid w:val="002A5F8E"/>
    <w:rsid w:val="002A5FC3"/>
    <w:rsid w:val="002A5FED"/>
    <w:rsid w:val="002A606F"/>
    <w:rsid w:val="002A6229"/>
    <w:rsid w:val="002A623A"/>
    <w:rsid w:val="002A62D2"/>
    <w:rsid w:val="002A62D4"/>
    <w:rsid w:val="002A631A"/>
    <w:rsid w:val="002A638D"/>
    <w:rsid w:val="002A63AB"/>
    <w:rsid w:val="002A647D"/>
    <w:rsid w:val="002A64C5"/>
    <w:rsid w:val="002A64CA"/>
    <w:rsid w:val="002A64EF"/>
    <w:rsid w:val="002A6515"/>
    <w:rsid w:val="002A65FB"/>
    <w:rsid w:val="002A6631"/>
    <w:rsid w:val="002A665B"/>
    <w:rsid w:val="002A6662"/>
    <w:rsid w:val="002A66BF"/>
    <w:rsid w:val="002A67B4"/>
    <w:rsid w:val="002A6878"/>
    <w:rsid w:val="002A68A7"/>
    <w:rsid w:val="002A6904"/>
    <w:rsid w:val="002A6B0F"/>
    <w:rsid w:val="002A6B67"/>
    <w:rsid w:val="002A6BD8"/>
    <w:rsid w:val="002A6C59"/>
    <w:rsid w:val="002A6CEC"/>
    <w:rsid w:val="002A6CFA"/>
    <w:rsid w:val="002A6E88"/>
    <w:rsid w:val="002A6EC2"/>
    <w:rsid w:val="002A6F3A"/>
    <w:rsid w:val="002A712A"/>
    <w:rsid w:val="002A71DB"/>
    <w:rsid w:val="002A7239"/>
    <w:rsid w:val="002A74AC"/>
    <w:rsid w:val="002A74D5"/>
    <w:rsid w:val="002A758E"/>
    <w:rsid w:val="002A7620"/>
    <w:rsid w:val="002A764F"/>
    <w:rsid w:val="002A767C"/>
    <w:rsid w:val="002A7757"/>
    <w:rsid w:val="002A77AE"/>
    <w:rsid w:val="002A782B"/>
    <w:rsid w:val="002A7941"/>
    <w:rsid w:val="002A7A91"/>
    <w:rsid w:val="002A7B58"/>
    <w:rsid w:val="002A7C0B"/>
    <w:rsid w:val="002A7C0F"/>
    <w:rsid w:val="002A7CFB"/>
    <w:rsid w:val="002A7D54"/>
    <w:rsid w:val="002A7D62"/>
    <w:rsid w:val="002A7D6B"/>
    <w:rsid w:val="002A7E66"/>
    <w:rsid w:val="002A7EAE"/>
    <w:rsid w:val="002A7ED5"/>
    <w:rsid w:val="002A7FA5"/>
    <w:rsid w:val="002B012C"/>
    <w:rsid w:val="002B0235"/>
    <w:rsid w:val="002B03C8"/>
    <w:rsid w:val="002B0492"/>
    <w:rsid w:val="002B04B6"/>
    <w:rsid w:val="002B0523"/>
    <w:rsid w:val="002B0530"/>
    <w:rsid w:val="002B05E5"/>
    <w:rsid w:val="002B078A"/>
    <w:rsid w:val="002B094D"/>
    <w:rsid w:val="002B097F"/>
    <w:rsid w:val="002B0AC4"/>
    <w:rsid w:val="002B0AD0"/>
    <w:rsid w:val="002B0B0A"/>
    <w:rsid w:val="002B0BF6"/>
    <w:rsid w:val="002B0CEA"/>
    <w:rsid w:val="002B0EC8"/>
    <w:rsid w:val="002B0F02"/>
    <w:rsid w:val="002B1003"/>
    <w:rsid w:val="002B13AC"/>
    <w:rsid w:val="002B13B4"/>
    <w:rsid w:val="002B14BA"/>
    <w:rsid w:val="002B1681"/>
    <w:rsid w:val="002B1701"/>
    <w:rsid w:val="002B1713"/>
    <w:rsid w:val="002B17C2"/>
    <w:rsid w:val="002B1884"/>
    <w:rsid w:val="002B18A2"/>
    <w:rsid w:val="002B1904"/>
    <w:rsid w:val="002B1B3C"/>
    <w:rsid w:val="002B1BB2"/>
    <w:rsid w:val="002B1C26"/>
    <w:rsid w:val="002B1DC8"/>
    <w:rsid w:val="002B1E1C"/>
    <w:rsid w:val="002B1EA6"/>
    <w:rsid w:val="002B1ECB"/>
    <w:rsid w:val="002B1F4A"/>
    <w:rsid w:val="002B1FC2"/>
    <w:rsid w:val="002B206C"/>
    <w:rsid w:val="002B2100"/>
    <w:rsid w:val="002B215E"/>
    <w:rsid w:val="002B21BA"/>
    <w:rsid w:val="002B21CA"/>
    <w:rsid w:val="002B21D6"/>
    <w:rsid w:val="002B2295"/>
    <w:rsid w:val="002B22AA"/>
    <w:rsid w:val="002B2320"/>
    <w:rsid w:val="002B2468"/>
    <w:rsid w:val="002B247C"/>
    <w:rsid w:val="002B2499"/>
    <w:rsid w:val="002B24B3"/>
    <w:rsid w:val="002B24B5"/>
    <w:rsid w:val="002B25CE"/>
    <w:rsid w:val="002B265C"/>
    <w:rsid w:val="002B2670"/>
    <w:rsid w:val="002B2715"/>
    <w:rsid w:val="002B27E5"/>
    <w:rsid w:val="002B283C"/>
    <w:rsid w:val="002B2882"/>
    <w:rsid w:val="002B2A1B"/>
    <w:rsid w:val="002B2A79"/>
    <w:rsid w:val="002B2AE0"/>
    <w:rsid w:val="002B2B2A"/>
    <w:rsid w:val="002B2BF5"/>
    <w:rsid w:val="002B2CBA"/>
    <w:rsid w:val="002B2D60"/>
    <w:rsid w:val="002B2D80"/>
    <w:rsid w:val="002B2DF4"/>
    <w:rsid w:val="002B2E62"/>
    <w:rsid w:val="002B2FA7"/>
    <w:rsid w:val="002B30AF"/>
    <w:rsid w:val="002B3219"/>
    <w:rsid w:val="002B3381"/>
    <w:rsid w:val="002B34FD"/>
    <w:rsid w:val="002B3579"/>
    <w:rsid w:val="002B3748"/>
    <w:rsid w:val="002B3789"/>
    <w:rsid w:val="002B398A"/>
    <w:rsid w:val="002B39DF"/>
    <w:rsid w:val="002B3C4E"/>
    <w:rsid w:val="002B3C60"/>
    <w:rsid w:val="002B3CF2"/>
    <w:rsid w:val="002B3D8E"/>
    <w:rsid w:val="002B3DAC"/>
    <w:rsid w:val="002B3F12"/>
    <w:rsid w:val="002B3F84"/>
    <w:rsid w:val="002B415D"/>
    <w:rsid w:val="002B422A"/>
    <w:rsid w:val="002B42BD"/>
    <w:rsid w:val="002B4347"/>
    <w:rsid w:val="002B442C"/>
    <w:rsid w:val="002B44F3"/>
    <w:rsid w:val="002B4510"/>
    <w:rsid w:val="002B4664"/>
    <w:rsid w:val="002B46E6"/>
    <w:rsid w:val="002B4739"/>
    <w:rsid w:val="002B475E"/>
    <w:rsid w:val="002B48C0"/>
    <w:rsid w:val="002B48CF"/>
    <w:rsid w:val="002B48D1"/>
    <w:rsid w:val="002B4C27"/>
    <w:rsid w:val="002B4C4F"/>
    <w:rsid w:val="002B4EC3"/>
    <w:rsid w:val="002B4FFC"/>
    <w:rsid w:val="002B50AC"/>
    <w:rsid w:val="002B50E7"/>
    <w:rsid w:val="002B5132"/>
    <w:rsid w:val="002B5198"/>
    <w:rsid w:val="002B51A3"/>
    <w:rsid w:val="002B54AA"/>
    <w:rsid w:val="002B55D7"/>
    <w:rsid w:val="002B5668"/>
    <w:rsid w:val="002B567D"/>
    <w:rsid w:val="002B567F"/>
    <w:rsid w:val="002B56A7"/>
    <w:rsid w:val="002B57B6"/>
    <w:rsid w:val="002B57CC"/>
    <w:rsid w:val="002B5838"/>
    <w:rsid w:val="002B58C9"/>
    <w:rsid w:val="002B59DF"/>
    <w:rsid w:val="002B59F7"/>
    <w:rsid w:val="002B5A04"/>
    <w:rsid w:val="002B5B38"/>
    <w:rsid w:val="002B5C3E"/>
    <w:rsid w:val="002B5C48"/>
    <w:rsid w:val="002B5C82"/>
    <w:rsid w:val="002B5E6D"/>
    <w:rsid w:val="002B61D5"/>
    <w:rsid w:val="002B62A6"/>
    <w:rsid w:val="002B6535"/>
    <w:rsid w:val="002B655A"/>
    <w:rsid w:val="002B65CE"/>
    <w:rsid w:val="002B65D6"/>
    <w:rsid w:val="002B665D"/>
    <w:rsid w:val="002B667E"/>
    <w:rsid w:val="002B67B8"/>
    <w:rsid w:val="002B686E"/>
    <w:rsid w:val="002B6873"/>
    <w:rsid w:val="002B6900"/>
    <w:rsid w:val="002B6939"/>
    <w:rsid w:val="002B698E"/>
    <w:rsid w:val="002B6A94"/>
    <w:rsid w:val="002B6ADC"/>
    <w:rsid w:val="002B6B07"/>
    <w:rsid w:val="002B6BA6"/>
    <w:rsid w:val="002B6D04"/>
    <w:rsid w:val="002B6D38"/>
    <w:rsid w:val="002B6FD0"/>
    <w:rsid w:val="002B714D"/>
    <w:rsid w:val="002B7361"/>
    <w:rsid w:val="002B73AD"/>
    <w:rsid w:val="002B7461"/>
    <w:rsid w:val="002B74A7"/>
    <w:rsid w:val="002B7537"/>
    <w:rsid w:val="002B75B8"/>
    <w:rsid w:val="002B78AD"/>
    <w:rsid w:val="002B79D5"/>
    <w:rsid w:val="002B7A23"/>
    <w:rsid w:val="002B7C28"/>
    <w:rsid w:val="002B7C6F"/>
    <w:rsid w:val="002B7D1A"/>
    <w:rsid w:val="002B7E0F"/>
    <w:rsid w:val="002C016B"/>
    <w:rsid w:val="002C01E5"/>
    <w:rsid w:val="002C0340"/>
    <w:rsid w:val="002C03E8"/>
    <w:rsid w:val="002C0449"/>
    <w:rsid w:val="002C050E"/>
    <w:rsid w:val="002C05D6"/>
    <w:rsid w:val="002C077B"/>
    <w:rsid w:val="002C0993"/>
    <w:rsid w:val="002C0A08"/>
    <w:rsid w:val="002C0A77"/>
    <w:rsid w:val="002C0BE2"/>
    <w:rsid w:val="002C0D91"/>
    <w:rsid w:val="002C103C"/>
    <w:rsid w:val="002C10DB"/>
    <w:rsid w:val="002C128B"/>
    <w:rsid w:val="002C12B8"/>
    <w:rsid w:val="002C131B"/>
    <w:rsid w:val="002C13A5"/>
    <w:rsid w:val="002C13C4"/>
    <w:rsid w:val="002C1822"/>
    <w:rsid w:val="002C182E"/>
    <w:rsid w:val="002C19C2"/>
    <w:rsid w:val="002C1A29"/>
    <w:rsid w:val="002C1AA2"/>
    <w:rsid w:val="002C1B91"/>
    <w:rsid w:val="002C1C7D"/>
    <w:rsid w:val="002C1CA2"/>
    <w:rsid w:val="002C1D84"/>
    <w:rsid w:val="002C1DD5"/>
    <w:rsid w:val="002C1DDA"/>
    <w:rsid w:val="002C1DF6"/>
    <w:rsid w:val="002C1DF7"/>
    <w:rsid w:val="002C1E88"/>
    <w:rsid w:val="002C1E94"/>
    <w:rsid w:val="002C1F34"/>
    <w:rsid w:val="002C1F71"/>
    <w:rsid w:val="002C200E"/>
    <w:rsid w:val="002C2041"/>
    <w:rsid w:val="002C2048"/>
    <w:rsid w:val="002C20B7"/>
    <w:rsid w:val="002C22F4"/>
    <w:rsid w:val="002C231C"/>
    <w:rsid w:val="002C2375"/>
    <w:rsid w:val="002C2438"/>
    <w:rsid w:val="002C25FA"/>
    <w:rsid w:val="002C268B"/>
    <w:rsid w:val="002C27E7"/>
    <w:rsid w:val="002C2925"/>
    <w:rsid w:val="002C295D"/>
    <w:rsid w:val="002C2A6E"/>
    <w:rsid w:val="002C2AA9"/>
    <w:rsid w:val="002C2BAC"/>
    <w:rsid w:val="002C2DC9"/>
    <w:rsid w:val="002C2EE0"/>
    <w:rsid w:val="002C2FEE"/>
    <w:rsid w:val="002C3043"/>
    <w:rsid w:val="002C3224"/>
    <w:rsid w:val="002C322B"/>
    <w:rsid w:val="002C325B"/>
    <w:rsid w:val="002C3271"/>
    <w:rsid w:val="002C32D0"/>
    <w:rsid w:val="002C333A"/>
    <w:rsid w:val="002C34D2"/>
    <w:rsid w:val="002C34E5"/>
    <w:rsid w:val="002C351F"/>
    <w:rsid w:val="002C358C"/>
    <w:rsid w:val="002C3623"/>
    <w:rsid w:val="002C365C"/>
    <w:rsid w:val="002C372F"/>
    <w:rsid w:val="002C3785"/>
    <w:rsid w:val="002C37FE"/>
    <w:rsid w:val="002C3852"/>
    <w:rsid w:val="002C38C8"/>
    <w:rsid w:val="002C38D4"/>
    <w:rsid w:val="002C3914"/>
    <w:rsid w:val="002C39D0"/>
    <w:rsid w:val="002C3A86"/>
    <w:rsid w:val="002C3A8A"/>
    <w:rsid w:val="002C3AB4"/>
    <w:rsid w:val="002C3C64"/>
    <w:rsid w:val="002C3C89"/>
    <w:rsid w:val="002C3CE0"/>
    <w:rsid w:val="002C3D81"/>
    <w:rsid w:val="002C3E33"/>
    <w:rsid w:val="002C3F01"/>
    <w:rsid w:val="002C3F3F"/>
    <w:rsid w:val="002C3FC4"/>
    <w:rsid w:val="002C4068"/>
    <w:rsid w:val="002C4073"/>
    <w:rsid w:val="002C4093"/>
    <w:rsid w:val="002C40C9"/>
    <w:rsid w:val="002C42C9"/>
    <w:rsid w:val="002C43F4"/>
    <w:rsid w:val="002C4590"/>
    <w:rsid w:val="002C463C"/>
    <w:rsid w:val="002C469C"/>
    <w:rsid w:val="002C4760"/>
    <w:rsid w:val="002C47C2"/>
    <w:rsid w:val="002C483F"/>
    <w:rsid w:val="002C48DD"/>
    <w:rsid w:val="002C49EB"/>
    <w:rsid w:val="002C4A46"/>
    <w:rsid w:val="002C4A8D"/>
    <w:rsid w:val="002C4B6B"/>
    <w:rsid w:val="002C4B6C"/>
    <w:rsid w:val="002C4C24"/>
    <w:rsid w:val="002C4C75"/>
    <w:rsid w:val="002C4C7A"/>
    <w:rsid w:val="002C4D16"/>
    <w:rsid w:val="002C4D22"/>
    <w:rsid w:val="002C4DF6"/>
    <w:rsid w:val="002C4E1C"/>
    <w:rsid w:val="002C4E46"/>
    <w:rsid w:val="002C4FC2"/>
    <w:rsid w:val="002C5057"/>
    <w:rsid w:val="002C5093"/>
    <w:rsid w:val="002C5115"/>
    <w:rsid w:val="002C51EC"/>
    <w:rsid w:val="002C535A"/>
    <w:rsid w:val="002C53B5"/>
    <w:rsid w:val="002C53B6"/>
    <w:rsid w:val="002C53F0"/>
    <w:rsid w:val="002C53F9"/>
    <w:rsid w:val="002C56C6"/>
    <w:rsid w:val="002C5773"/>
    <w:rsid w:val="002C5795"/>
    <w:rsid w:val="002C579C"/>
    <w:rsid w:val="002C5962"/>
    <w:rsid w:val="002C5986"/>
    <w:rsid w:val="002C5A28"/>
    <w:rsid w:val="002C5B77"/>
    <w:rsid w:val="002C5C0F"/>
    <w:rsid w:val="002C5D01"/>
    <w:rsid w:val="002C5D97"/>
    <w:rsid w:val="002C5E13"/>
    <w:rsid w:val="002C5E41"/>
    <w:rsid w:val="002C5EB9"/>
    <w:rsid w:val="002C5FFC"/>
    <w:rsid w:val="002C6049"/>
    <w:rsid w:val="002C614C"/>
    <w:rsid w:val="002C621F"/>
    <w:rsid w:val="002C62F8"/>
    <w:rsid w:val="002C63F4"/>
    <w:rsid w:val="002C647D"/>
    <w:rsid w:val="002C6531"/>
    <w:rsid w:val="002C6585"/>
    <w:rsid w:val="002C6676"/>
    <w:rsid w:val="002C66B8"/>
    <w:rsid w:val="002C67B1"/>
    <w:rsid w:val="002C686F"/>
    <w:rsid w:val="002C6A06"/>
    <w:rsid w:val="002C6E70"/>
    <w:rsid w:val="002C6F6F"/>
    <w:rsid w:val="002C701A"/>
    <w:rsid w:val="002C7056"/>
    <w:rsid w:val="002C7071"/>
    <w:rsid w:val="002C70C3"/>
    <w:rsid w:val="002C716B"/>
    <w:rsid w:val="002C71CA"/>
    <w:rsid w:val="002C72B3"/>
    <w:rsid w:val="002C7555"/>
    <w:rsid w:val="002C757F"/>
    <w:rsid w:val="002C75F2"/>
    <w:rsid w:val="002C766D"/>
    <w:rsid w:val="002C76A6"/>
    <w:rsid w:val="002C772D"/>
    <w:rsid w:val="002C7865"/>
    <w:rsid w:val="002C78B4"/>
    <w:rsid w:val="002C79EA"/>
    <w:rsid w:val="002C7A4F"/>
    <w:rsid w:val="002C7A54"/>
    <w:rsid w:val="002C7A85"/>
    <w:rsid w:val="002C7B35"/>
    <w:rsid w:val="002C7BCB"/>
    <w:rsid w:val="002C7C1F"/>
    <w:rsid w:val="002C7CAA"/>
    <w:rsid w:val="002C7DCF"/>
    <w:rsid w:val="002C7E11"/>
    <w:rsid w:val="002D012E"/>
    <w:rsid w:val="002D013E"/>
    <w:rsid w:val="002D0207"/>
    <w:rsid w:val="002D0210"/>
    <w:rsid w:val="002D02CB"/>
    <w:rsid w:val="002D03AD"/>
    <w:rsid w:val="002D054B"/>
    <w:rsid w:val="002D05D4"/>
    <w:rsid w:val="002D072D"/>
    <w:rsid w:val="002D0811"/>
    <w:rsid w:val="002D0A20"/>
    <w:rsid w:val="002D0AA4"/>
    <w:rsid w:val="002D0B89"/>
    <w:rsid w:val="002D0BE4"/>
    <w:rsid w:val="002D0CF7"/>
    <w:rsid w:val="002D0D2A"/>
    <w:rsid w:val="002D0D2C"/>
    <w:rsid w:val="002D0E2C"/>
    <w:rsid w:val="002D0E6C"/>
    <w:rsid w:val="002D10D7"/>
    <w:rsid w:val="002D10F0"/>
    <w:rsid w:val="002D110E"/>
    <w:rsid w:val="002D111A"/>
    <w:rsid w:val="002D122F"/>
    <w:rsid w:val="002D1288"/>
    <w:rsid w:val="002D12F1"/>
    <w:rsid w:val="002D136C"/>
    <w:rsid w:val="002D1381"/>
    <w:rsid w:val="002D1454"/>
    <w:rsid w:val="002D146A"/>
    <w:rsid w:val="002D1487"/>
    <w:rsid w:val="002D1491"/>
    <w:rsid w:val="002D14BF"/>
    <w:rsid w:val="002D1567"/>
    <w:rsid w:val="002D16EF"/>
    <w:rsid w:val="002D193E"/>
    <w:rsid w:val="002D1A5D"/>
    <w:rsid w:val="002D1A92"/>
    <w:rsid w:val="002D1C53"/>
    <w:rsid w:val="002D1C7C"/>
    <w:rsid w:val="002D1E18"/>
    <w:rsid w:val="002D1E9C"/>
    <w:rsid w:val="002D1F0D"/>
    <w:rsid w:val="002D1FD0"/>
    <w:rsid w:val="002D2036"/>
    <w:rsid w:val="002D21AC"/>
    <w:rsid w:val="002D23E4"/>
    <w:rsid w:val="002D2451"/>
    <w:rsid w:val="002D24F9"/>
    <w:rsid w:val="002D251C"/>
    <w:rsid w:val="002D2648"/>
    <w:rsid w:val="002D26DF"/>
    <w:rsid w:val="002D277F"/>
    <w:rsid w:val="002D27B4"/>
    <w:rsid w:val="002D2861"/>
    <w:rsid w:val="002D2874"/>
    <w:rsid w:val="002D28B9"/>
    <w:rsid w:val="002D29D6"/>
    <w:rsid w:val="002D29DF"/>
    <w:rsid w:val="002D2A2E"/>
    <w:rsid w:val="002D2AB9"/>
    <w:rsid w:val="002D2ACC"/>
    <w:rsid w:val="002D2D1C"/>
    <w:rsid w:val="002D2DB0"/>
    <w:rsid w:val="002D2DC2"/>
    <w:rsid w:val="002D2E58"/>
    <w:rsid w:val="002D2E67"/>
    <w:rsid w:val="002D2E98"/>
    <w:rsid w:val="002D2FF5"/>
    <w:rsid w:val="002D3031"/>
    <w:rsid w:val="002D3032"/>
    <w:rsid w:val="002D3041"/>
    <w:rsid w:val="002D310B"/>
    <w:rsid w:val="002D3179"/>
    <w:rsid w:val="002D31AC"/>
    <w:rsid w:val="002D327B"/>
    <w:rsid w:val="002D33AB"/>
    <w:rsid w:val="002D3544"/>
    <w:rsid w:val="002D3680"/>
    <w:rsid w:val="002D36C3"/>
    <w:rsid w:val="002D36DB"/>
    <w:rsid w:val="002D3713"/>
    <w:rsid w:val="002D3791"/>
    <w:rsid w:val="002D38C7"/>
    <w:rsid w:val="002D3963"/>
    <w:rsid w:val="002D39D5"/>
    <w:rsid w:val="002D3C4B"/>
    <w:rsid w:val="002D3CB0"/>
    <w:rsid w:val="002D3D97"/>
    <w:rsid w:val="002D3DA0"/>
    <w:rsid w:val="002D3E87"/>
    <w:rsid w:val="002D4082"/>
    <w:rsid w:val="002D4138"/>
    <w:rsid w:val="002D418D"/>
    <w:rsid w:val="002D4198"/>
    <w:rsid w:val="002D4243"/>
    <w:rsid w:val="002D4349"/>
    <w:rsid w:val="002D4394"/>
    <w:rsid w:val="002D4465"/>
    <w:rsid w:val="002D44A3"/>
    <w:rsid w:val="002D45D3"/>
    <w:rsid w:val="002D4682"/>
    <w:rsid w:val="002D46BF"/>
    <w:rsid w:val="002D46F1"/>
    <w:rsid w:val="002D46FF"/>
    <w:rsid w:val="002D4828"/>
    <w:rsid w:val="002D48C8"/>
    <w:rsid w:val="002D4A27"/>
    <w:rsid w:val="002D4AE8"/>
    <w:rsid w:val="002D4AE9"/>
    <w:rsid w:val="002D4B7D"/>
    <w:rsid w:val="002D4B82"/>
    <w:rsid w:val="002D4D14"/>
    <w:rsid w:val="002D4ECF"/>
    <w:rsid w:val="002D4ED6"/>
    <w:rsid w:val="002D4FAF"/>
    <w:rsid w:val="002D504C"/>
    <w:rsid w:val="002D50F5"/>
    <w:rsid w:val="002D514F"/>
    <w:rsid w:val="002D5220"/>
    <w:rsid w:val="002D52D4"/>
    <w:rsid w:val="002D53A1"/>
    <w:rsid w:val="002D54BC"/>
    <w:rsid w:val="002D54BD"/>
    <w:rsid w:val="002D5622"/>
    <w:rsid w:val="002D5672"/>
    <w:rsid w:val="002D56ED"/>
    <w:rsid w:val="002D57FC"/>
    <w:rsid w:val="002D5946"/>
    <w:rsid w:val="002D59F4"/>
    <w:rsid w:val="002D5A76"/>
    <w:rsid w:val="002D5B84"/>
    <w:rsid w:val="002D5CCC"/>
    <w:rsid w:val="002D6134"/>
    <w:rsid w:val="002D6240"/>
    <w:rsid w:val="002D647A"/>
    <w:rsid w:val="002D64FA"/>
    <w:rsid w:val="002D662E"/>
    <w:rsid w:val="002D6631"/>
    <w:rsid w:val="002D6880"/>
    <w:rsid w:val="002D690B"/>
    <w:rsid w:val="002D6913"/>
    <w:rsid w:val="002D6938"/>
    <w:rsid w:val="002D6BF7"/>
    <w:rsid w:val="002D6C73"/>
    <w:rsid w:val="002D6CC7"/>
    <w:rsid w:val="002D6D35"/>
    <w:rsid w:val="002D6D65"/>
    <w:rsid w:val="002D6DC0"/>
    <w:rsid w:val="002D6E20"/>
    <w:rsid w:val="002D6E5C"/>
    <w:rsid w:val="002D6F15"/>
    <w:rsid w:val="002D6F44"/>
    <w:rsid w:val="002D6F7F"/>
    <w:rsid w:val="002D6FD3"/>
    <w:rsid w:val="002D6FDE"/>
    <w:rsid w:val="002D6FF4"/>
    <w:rsid w:val="002D711E"/>
    <w:rsid w:val="002D712A"/>
    <w:rsid w:val="002D7387"/>
    <w:rsid w:val="002D7615"/>
    <w:rsid w:val="002D76A7"/>
    <w:rsid w:val="002D7740"/>
    <w:rsid w:val="002D7A7F"/>
    <w:rsid w:val="002D7AAA"/>
    <w:rsid w:val="002D7B52"/>
    <w:rsid w:val="002D7B8B"/>
    <w:rsid w:val="002D7C23"/>
    <w:rsid w:val="002D7C56"/>
    <w:rsid w:val="002D7EC9"/>
    <w:rsid w:val="002D7F85"/>
    <w:rsid w:val="002D7FFD"/>
    <w:rsid w:val="002E00BE"/>
    <w:rsid w:val="002E00EA"/>
    <w:rsid w:val="002E01BC"/>
    <w:rsid w:val="002E0292"/>
    <w:rsid w:val="002E0351"/>
    <w:rsid w:val="002E0357"/>
    <w:rsid w:val="002E03C3"/>
    <w:rsid w:val="002E072C"/>
    <w:rsid w:val="002E0735"/>
    <w:rsid w:val="002E07D4"/>
    <w:rsid w:val="002E0805"/>
    <w:rsid w:val="002E0886"/>
    <w:rsid w:val="002E08B3"/>
    <w:rsid w:val="002E08CA"/>
    <w:rsid w:val="002E0A1F"/>
    <w:rsid w:val="002E0B96"/>
    <w:rsid w:val="002E0CD6"/>
    <w:rsid w:val="002E0CDE"/>
    <w:rsid w:val="002E0DCE"/>
    <w:rsid w:val="002E0EA2"/>
    <w:rsid w:val="002E0F75"/>
    <w:rsid w:val="002E117C"/>
    <w:rsid w:val="002E1211"/>
    <w:rsid w:val="002E1277"/>
    <w:rsid w:val="002E1303"/>
    <w:rsid w:val="002E134A"/>
    <w:rsid w:val="002E1558"/>
    <w:rsid w:val="002E15AF"/>
    <w:rsid w:val="002E1795"/>
    <w:rsid w:val="002E1807"/>
    <w:rsid w:val="002E1901"/>
    <w:rsid w:val="002E1997"/>
    <w:rsid w:val="002E19BA"/>
    <w:rsid w:val="002E1A40"/>
    <w:rsid w:val="002E1A85"/>
    <w:rsid w:val="002E1AD0"/>
    <w:rsid w:val="002E1B14"/>
    <w:rsid w:val="002E1B18"/>
    <w:rsid w:val="002E1B3B"/>
    <w:rsid w:val="002E1B5F"/>
    <w:rsid w:val="002E1BC5"/>
    <w:rsid w:val="002E1BFE"/>
    <w:rsid w:val="002E1C18"/>
    <w:rsid w:val="002E1FDC"/>
    <w:rsid w:val="002E212F"/>
    <w:rsid w:val="002E2180"/>
    <w:rsid w:val="002E21A7"/>
    <w:rsid w:val="002E2219"/>
    <w:rsid w:val="002E2233"/>
    <w:rsid w:val="002E2345"/>
    <w:rsid w:val="002E234E"/>
    <w:rsid w:val="002E2351"/>
    <w:rsid w:val="002E23B5"/>
    <w:rsid w:val="002E23FE"/>
    <w:rsid w:val="002E241D"/>
    <w:rsid w:val="002E249E"/>
    <w:rsid w:val="002E24A6"/>
    <w:rsid w:val="002E258E"/>
    <w:rsid w:val="002E25DF"/>
    <w:rsid w:val="002E26BC"/>
    <w:rsid w:val="002E2985"/>
    <w:rsid w:val="002E2ABB"/>
    <w:rsid w:val="002E2B19"/>
    <w:rsid w:val="002E2C96"/>
    <w:rsid w:val="002E2D2C"/>
    <w:rsid w:val="002E2F1E"/>
    <w:rsid w:val="002E2F37"/>
    <w:rsid w:val="002E3054"/>
    <w:rsid w:val="002E314E"/>
    <w:rsid w:val="002E3289"/>
    <w:rsid w:val="002E32E9"/>
    <w:rsid w:val="002E349B"/>
    <w:rsid w:val="002E3529"/>
    <w:rsid w:val="002E3618"/>
    <w:rsid w:val="002E3796"/>
    <w:rsid w:val="002E37E2"/>
    <w:rsid w:val="002E38F2"/>
    <w:rsid w:val="002E3905"/>
    <w:rsid w:val="002E3907"/>
    <w:rsid w:val="002E3970"/>
    <w:rsid w:val="002E39D6"/>
    <w:rsid w:val="002E3A49"/>
    <w:rsid w:val="002E3A77"/>
    <w:rsid w:val="002E3AE5"/>
    <w:rsid w:val="002E3B58"/>
    <w:rsid w:val="002E3B65"/>
    <w:rsid w:val="002E3BBA"/>
    <w:rsid w:val="002E3D1B"/>
    <w:rsid w:val="002E3D47"/>
    <w:rsid w:val="002E3E03"/>
    <w:rsid w:val="002E3E85"/>
    <w:rsid w:val="002E4136"/>
    <w:rsid w:val="002E4226"/>
    <w:rsid w:val="002E4227"/>
    <w:rsid w:val="002E42BA"/>
    <w:rsid w:val="002E42F3"/>
    <w:rsid w:val="002E4332"/>
    <w:rsid w:val="002E43DA"/>
    <w:rsid w:val="002E442C"/>
    <w:rsid w:val="002E44DB"/>
    <w:rsid w:val="002E4555"/>
    <w:rsid w:val="002E4560"/>
    <w:rsid w:val="002E45F5"/>
    <w:rsid w:val="002E46AF"/>
    <w:rsid w:val="002E486F"/>
    <w:rsid w:val="002E48A9"/>
    <w:rsid w:val="002E49BD"/>
    <w:rsid w:val="002E4A77"/>
    <w:rsid w:val="002E4A8B"/>
    <w:rsid w:val="002E4AED"/>
    <w:rsid w:val="002E4BDC"/>
    <w:rsid w:val="002E4C21"/>
    <w:rsid w:val="002E4CAB"/>
    <w:rsid w:val="002E4D94"/>
    <w:rsid w:val="002E4DA0"/>
    <w:rsid w:val="002E5073"/>
    <w:rsid w:val="002E508A"/>
    <w:rsid w:val="002E50CC"/>
    <w:rsid w:val="002E513F"/>
    <w:rsid w:val="002E5197"/>
    <w:rsid w:val="002E523E"/>
    <w:rsid w:val="002E5262"/>
    <w:rsid w:val="002E532B"/>
    <w:rsid w:val="002E53B7"/>
    <w:rsid w:val="002E53BF"/>
    <w:rsid w:val="002E543F"/>
    <w:rsid w:val="002E55F9"/>
    <w:rsid w:val="002E566B"/>
    <w:rsid w:val="002E56C5"/>
    <w:rsid w:val="002E5765"/>
    <w:rsid w:val="002E582B"/>
    <w:rsid w:val="002E5856"/>
    <w:rsid w:val="002E5955"/>
    <w:rsid w:val="002E59F9"/>
    <w:rsid w:val="002E5A47"/>
    <w:rsid w:val="002E5ADF"/>
    <w:rsid w:val="002E5C3A"/>
    <w:rsid w:val="002E5D05"/>
    <w:rsid w:val="002E5D3C"/>
    <w:rsid w:val="002E5D70"/>
    <w:rsid w:val="002E5DAD"/>
    <w:rsid w:val="002E5EF2"/>
    <w:rsid w:val="002E5F11"/>
    <w:rsid w:val="002E5FE3"/>
    <w:rsid w:val="002E60CF"/>
    <w:rsid w:val="002E60FE"/>
    <w:rsid w:val="002E6163"/>
    <w:rsid w:val="002E61A7"/>
    <w:rsid w:val="002E622B"/>
    <w:rsid w:val="002E626C"/>
    <w:rsid w:val="002E627A"/>
    <w:rsid w:val="002E6281"/>
    <w:rsid w:val="002E62C7"/>
    <w:rsid w:val="002E6449"/>
    <w:rsid w:val="002E644C"/>
    <w:rsid w:val="002E6505"/>
    <w:rsid w:val="002E6518"/>
    <w:rsid w:val="002E65B4"/>
    <w:rsid w:val="002E6676"/>
    <w:rsid w:val="002E66FA"/>
    <w:rsid w:val="002E676A"/>
    <w:rsid w:val="002E6799"/>
    <w:rsid w:val="002E679B"/>
    <w:rsid w:val="002E67A3"/>
    <w:rsid w:val="002E67C7"/>
    <w:rsid w:val="002E687E"/>
    <w:rsid w:val="002E6A7F"/>
    <w:rsid w:val="002E6ACC"/>
    <w:rsid w:val="002E6AEE"/>
    <w:rsid w:val="002E6B51"/>
    <w:rsid w:val="002E6C3B"/>
    <w:rsid w:val="002E6CE7"/>
    <w:rsid w:val="002E6D2A"/>
    <w:rsid w:val="002E6E49"/>
    <w:rsid w:val="002E6F22"/>
    <w:rsid w:val="002E70EC"/>
    <w:rsid w:val="002E7128"/>
    <w:rsid w:val="002E7264"/>
    <w:rsid w:val="002E73F6"/>
    <w:rsid w:val="002E76CA"/>
    <w:rsid w:val="002E7793"/>
    <w:rsid w:val="002E78A5"/>
    <w:rsid w:val="002E78FD"/>
    <w:rsid w:val="002E7A35"/>
    <w:rsid w:val="002E7DC8"/>
    <w:rsid w:val="002E7ED4"/>
    <w:rsid w:val="002F00A7"/>
    <w:rsid w:val="002F00D6"/>
    <w:rsid w:val="002F0218"/>
    <w:rsid w:val="002F0240"/>
    <w:rsid w:val="002F0246"/>
    <w:rsid w:val="002F0301"/>
    <w:rsid w:val="002F0319"/>
    <w:rsid w:val="002F0325"/>
    <w:rsid w:val="002F0329"/>
    <w:rsid w:val="002F0354"/>
    <w:rsid w:val="002F03AE"/>
    <w:rsid w:val="002F03D5"/>
    <w:rsid w:val="002F04D0"/>
    <w:rsid w:val="002F051D"/>
    <w:rsid w:val="002F0589"/>
    <w:rsid w:val="002F058A"/>
    <w:rsid w:val="002F05BF"/>
    <w:rsid w:val="002F0714"/>
    <w:rsid w:val="002F0749"/>
    <w:rsid w:val="002F08CF"/>
    <w:rsid w:val="002F0959"/>
    <w:rsid w:val="002F099A"/>
    <w:rsid w:val="002F09FE"/>
    <w:rsid w:val="002F0A5B"/>
    <w:rsid w:val="002F0B79"/>
    <w:rsid w:val="002F0D27"/>
    <w:rsid w:val="002F0D7B"/>
    <w:rsid w:val="002F0DB1"/>
    <w:rsid w:val="002F0E68"/>
    <w:rsid w:val="002F0F07"/>
    <w:rsid w:val="002F0FDF"/>
    <w:rsid w:val="002F1078"/>
    <w:rsid w:val="002F10B6"/>
    <w:rsid w:val="002F10B8"/>
    <w:rsid w:val="002F12BE"/>
    <w:rsid w:val="002F12EC"/>
    <w:rsid w:val="002F1375"/>
    <w:rsid w:val="002F140D"/>
    <w:rsid w:val="002F141F"/>
    <w:rsid w:val="002F1420"/>
    <w:rsid w:val="002F15CE"/>
    <w:rsid w:val="002F16A6"/>
    <w:rsid w:val="002F16B5"/>
    <w:rsid w:val="002F16F9"/>
    <w:rsid w:val="002F1863"/>
    <w:rsid w:val="002F191C"/>
    <w:rsid w:val="002F19B8"/>
    <w:rsid w:val="002F1A13"/>
    <w:rsid w:val="002F1A67"/>
    <w:rsid w:val="002F1AB4"/>
    <w:rsid w:val="002F1B2B"/>
    <w:rsid w:val="002F1BF8"/>
    <w:rsid w:val="002F1C52"/>
    <w:rsid w:val="002F1D27"/>
    <w:rsid w:val="002F1FB6"/>
    <w:rsid w:val="002F2024"/>
    <w:rsid w:val="002F2085"/>
    <w:rsid w:val="002F208D"/>
    <w:rsid w:val="002F20B6"/>
    <w:rsid w:val="002F22F9"/>
    <w:rsid w:val="002F242B"/>
    <w:rsid w:val="002F2557"/>
    <w:rsid w:val="002F2580"/>
    <w:rsid w:val="002F2595"/>
    <w:rsid w:val="002F2620"/>
    <w:rsid w:val="002F26AB"/>
    <w:rsid w:val="002F26FA"/>
    <w:rsid w:val="002F277D"/>
    <w:rsid w:val="002F27CD"/>
    <w:rsid w:val="002F281C"/>
    <w:rsid w:val="002F284A"/>
    <w:rsid w:val="002F28AF"/>
    <w:rsid w:val="002F28EB"/>
    <w:rsid w:val="002F29F5"/>
    <w:rsid w:val="002F2BF3"/>
    <w:rsid w:val="002F2CC3"/>
    <w:rsid w:val="002F2D1E"/>
    <w:rsid w:val="002F2D4A"/>
    <w:rsid w:val="002F2D86"/>
    <w:rsid w:val="002F2DE6"/>
    <w:rsid w:val="002F2F02"/>
    <w:rsid w:val="002F3007"/>
    <w:rsid w:val="002F302D"/>
    <w:rsid w:val="002F306A"/>
    <w:rsid w:val="002F307C"/>
    <w:rsid w:val="002F311F"/>
    <w:rsid w:val="002F31BE"/>
    <w:rsid w:val="002F321B"/>
    <w:rsid w:val="002F347E"/>
    <w:rsid w:val="002F34A2"/>
    <w:rsid w:val="002F34B6"/>
    <w:rsid w:val="002F35F0"/>
    <w:rsid w:val="002F3653"/>
    <w:rsid w:val="002F36BC"/>
    <w:rsid w:val="002F39BC"/>
    <w:rsid w:val="002F3A42"/>
    <w:rsid w:val="002F3AD0"/>
    <w:rsid w:val="002F3AE4"/>
    <w:rsid w:val="002F3AEA"/>
    <w:rsid w:val="002F3E3B"/>
    <w:rsid w:val="002F3EBD"/>
    <w:rsid w:val="002F3FE2"/>
    <w:rsid w:val="002F4064"/>
    <w:rsid w:val="002F4246"/>
    <w:rsid w:val="002F4255"/>
    <w:rsid w:val="002F4268"/>
    <w:rsid w:val="002F44D0"/>
    <w:rsid w:val="002F4508"/>
    <w:rsid w:val="002F4550"/>
    <w:rsid w:val="002F46BF"/>
    <w:rsid w:val="002F4791"/>
    <w:rsid w:val="002F4847"/>
    <w:rsid w:val="002F484B"/>
    <w:rsid w:val="002F4890"/>
    <w:rsid w:val="002F48E1"/>
    <w:rsid w:val="002F4984"/>
    <w:rsid w:val="002F499B"/>
    <w:rsid w:val="002F4A46"/>
    <w:rsid w:val="002F4B19"/>
    <w:rsid w:val="002F4CDB"/>
    <w:rsid w:val="002F4D77"/>
    <w:rsid w:val="002F4DB1"/>
    <w:rsid w:val="002F4E11"/>
    <w:rsid w:val="002F4E7C"/>
    <w:rsid w:val="002F4EE7"/>
    <w:rsid w:val="002F5058"/>
    <w:rsid w:val="002F5141"/>
    <w:rsid w:val="002F52E8"/>
    <w:rsid w:val="002F5335"/>
    <w:rsid w:val="002F534E"/>
    <w:rsid w:val="002F5577"/>
    <w:rsid w:val="002F55C8"/>
    <w:rsid w:val="002F5610"/>
    <w:rsid w:val="002F583D"/>
    <w:rsid w:val="002F5957"/>
    <w:rsid w:val="002F5C2A"/>
    <w:rsid w:val="002F5CED"/>
    <w:rsid w:val="002F5F27"/>
    <w:rsid w:val="002F5F3C"/>
    <w:rsid w:val="002F5FAE"/>
    <w:rsid w:val="002F5FCB"/>
    <w:rsid w:val="002F6019"/>
    <w:rsid w:val="002F6031"/>
    <w:rsid w:val="002F63A6"/>
    <w:rsid w:val="002F6599"/>
    <w:rsid w:val="002F65E9"/>
    <w:rsid w:val="002F661E"/>
    <w:rsid w:val="002F663F"/>
    <w:rsid w:val="002F6653"/>
    <w:rsid w:val="002F666D"/>
    <w:rsid w:val="002F6792"/>
    <w:rsid w:val="002F68AF"/>
    <w:rsid w:val="002F69F4"/>
    <w:rsid w:val="002F69F7"/>
    <w:rsid w:val="002F6A17"/>
    <w:rsid w:val="002F6BC5"/>
    <w:rsid w:val="002F6C15"/>
    <w:rsid w:val="002F6CCE"/>
    <w:rsid w:val="002F6D80"/>
    <w:rsid w:val="002F6E55"/>
    <w:rsid w:val="002F6E82"/>
    <w:rsid w:val="002F7153"/>
    <w:rsid w:val="002F744F"/>
    <w:rsid w:val="002F774C"/>
    <w:rsid w:val="002F7757"/>
    <w:rsid w:val="002F7808"/>
    <w:rsid w:val="002F7851"/>
    <w:rsid w:val="002F78C7"/>
    <w:rsid w:val="002F794C"/>
    <w:rsid w:val="002F7956"/>
    <w:rsid w:val="002F7B33"/>
    <w:rsid w:val="002F7B95"/>
    <w:rsid w:val="002F7C1D"/>
    <w:rsid w:val="002F7C4F"/>
    <w:rsid w:val="002F7D71"/>
    <w:rsid w:val="002F7DD9"/>
    <w:rsid w:val="002F7FB3"/>
    <w:rsid w:val="002F7FDC"/>
    <w:rsid w:val="00300017"/>
    <w:rsid w:val="00300033"/>
    <w:rsid w:val="00300081"/>
    <w:rsid w:val="003001AC"/>
    <w:rsid w:val="00300315"/>
    <w:rsid w:val="003003B3"/>
    <w:rsid w:val="0030057B"/>
    <w:rsid w:val="00300703"/>
    <w:rsid w:val="003007BB"/>
    <w:rsid w:val="003008C2"/>
    <w:rsid w:val="00300945"/>
    <w:rsid w:val="00300B31"/>
    <w:rsid w:val="00300BC4"/>
    <w:rsid w:val="00300BDF"/>
    <w:rsid w:val="00300C29"/>
    <w:rsid w:val="00300C46"/>
    <w:rsid w:val="00300C5A"/>
    <w:rsid w:val="00300CDE"/>
    <w:rsid w:val="00300E08"/>
    <w:rsid w:val="00300E47"/>
    <w:rsid w:val="00300E9E"/>
    <w:rsid w:val="00300F54"/>
    <w:rsid w:val="00300FD9"/>
    <w:rsid w:val="00300FF9"/>
    <w:rsid w:val="0030111D"/>
    <w:rsid w:val="0030126C"/>
    <w:rsid w:val="003013AE"/>
    <w:rsid w:val="003017D7"/>
    <w:rsid w:val="003017E7"/>
    <w:rsid w:val="0030182B"/>
    <w:rsid w:val="00301918"/>
    <w:rsid w:val="00301BA7"/>
    <w:rsid w:val="00301C15"/>
    <w:rsid w:val="00301E19"/>
    <w:rsid w:val="00301F12"/>
    <w:rsid w:val="00301F97"/>
    <w:rsid w:val="003020C4"/>
    <w:rsid w:val="00302195"/>
    <w:rsid w:val="00302228"/>
    <w:rsid w:val="00302234"/>
    <w:rsid w:val="00302242"/>
    <w:rsid w:val="0030225A"/>
    <w:rsid w:val="003022D1"/>
    <w:rsid w:val="003023D1"/>
    <w:rsid w:val="00302484"/>
    <w:rsid w:val="003024F3"/>
    <w:rsid w:val="0030252A"/>
    <w:rsid w:val="003027EA"/>
    <w:rsid w:val="003028F3"/>
    <w:rsid w:val="00302914"/>
    <w:rsid w:val="003029D5"/>
    <w:rsid w:val="00302A17"/>
    <w:rsid w:val="00302AFC"/>
    <w:rsid w:val="00302CA6"/>
    <w:rsid w:val="00302DEC"/>
    <w:rsid w:val="00302E2D"/>
    <w:rsid w:val="00302E74"/>
    <w:rsid w:val="00302E79"/>
    <w:rsid w:val="00302F41"/>
    <w:rsid w:val="0030310F"/>
    <w:rsid w:val="00303180"/>
    <w:rsid w:val="003031B0"/>
    <w:rsid w:val="003031FF"/>
    <w:rsid w:val="003032C6"/>
    <w:rsid w:val="00303314"/>
    <w:rsid w:val="00303396"/>
    <w:rsid w:val="003033C0"/>
    <w:rsid w:val="003033C7"/>
    <w:rsid w:val="00303424"/>
    <w:rsid w:val="003034CB"/>
    <w:rsid w:val="00303668"/>
    <w:rsid w:val="00303734"/>
    <w:rsid w:val="0030380E"/>
    <w:rsid w:val="00303AE9"/>
    <w:rsid w:val="00303B80"/>
    <w:rsid w:val="00303D09"/>
    <w:rsid w:val="00303E51"/>
    <w:rsid w:val="00303E8F"/>
    <w:rsid w:val="00304071"/>
    <w:rsid w:val="00304129"/>
    <w:rsid w:val="003043CE"/>
    <w:rsid w:val="003044AB"/>
    <w:rsid w:val="0030460E"/>
    <w:rsid w:val="00304620"/>
    <w:rsid w:val="00304623"/>
    <w:rsid w:val="00304715"/>
    <w:rsid w:val="00304792"/>
    <w:rsid w:val="003047A0"/>
    <w:rsid w:val="003047C5"/>
    <w:rsid w:val="00304920"/>
    <w:rsid w:val="00304BD2"/>
    <w:rsid w:val="00304CA6"/>
    <w:rsid w:val="00304D3E"/>
    <w:rsid w:val="00304DE6"/>
    <w:rsid w:val="00304E2A"/>
    <w:rsid w:val="00304F5A"/>
    <w:rsid w:val="00304F82"/>
    <w:rsid w:val="0030509C"/>
    <w:rsid w:val="00305101"/>
    <w:rsid w:val="00305113"/>
    <w:rsid w:val="003051C7"/>
    <w:rsid w:val="00305203"/>
    <w:rsid w:val="00305253"/>
    <w:rsid w:val="00305282"/>
    <w:rsid w:val="00305299"/>
    <w:rsid w:val="003052AE"/>
    <w:rsid w:val="00305379"/>
    <w:rsid w:val="0030549F"/>
    <w:rsid w:val="003059D3"/>
    <w:rsid w:val="00305A04"/>
    <w:rsid w:val="00305A5C"/>
    <w:rsid w:val="00305C29"/>
    <w:rsid w:val="00305C40"/>
    <w:rsid w:val="00306049"/>
    <w:rsid w:val="003060FF"/>
    <w:rsid w:val="003062D7"/>
    <w:rsid w:val="00306331"/>
    <w:rsid w:val="00306354"/>
    <w:rsid w:val="00306451"/>
    <w:rsid w:val="003065EE"/>
    <w:rsid w:val="0030660C"/>
    <w:rsid w:val="00306929"/>
    <w:rsid w:val="00306966"/>
    <w:rsid w:val="003069F1"/>
    <w:rsid w:val="00306A6E"/>
    <w:rsid w:val="00306D7E"/>
    <w:rsid w:val="00306E30"/>
    <w:rsid w:val="00306EDE"/>
    <w:rsid w:val="00306F16"/>
    <w:rsid w:val="0030703E"/>
    <w:rsid w:val="003070A1"/>
    <w:rsid w:val="00307292"/>
    <w:rsid w:val="00307319"/>
    <w:rsid w:val="0030735D"/>
    <w:rsid w:val="0030748B"/>
    <w:rsid w:val="003075BD"/>
    <w:rsid w:val="0030763F"/>
    <w:rsid w:val="00307710"/>
    <w:rsid w:val="00307794"/>
    <w:rsid w:val="00307877"/>
    <w:rsid w:val="00307910"/>
    <w:rsid w:val="003079C3"/>
    <w:rsid w:val="00307A47"/>
    <w:rsid w:val="00307B22"/>
    <w:rsid w:val="00310017"/>
    <w:rsid w:val="00310346"/>
    <w:rsid w:val="00310442"/>
    <w:rsid w:val="00310466"/>
    <w:rsid w:val="003104E1"/>
    <w:rsid w:val="003105C7"/>
    <w:rsid w:val="00310606"/>
    <w:rsid w:val="00310841"/>
    <w:rsid w:val="003108C6"/>
    <w:rsid w:val="003109BF"/>
    <w:rsid w:val="00310A2C"/>
    <w:rsid w:val="00310BF1"/>
    <w:rsid w:val="00310C57"/>
    <w:rsid w:val="00310CEB"/>
    <w:rsid w:val="00310CF8"/>
    <w:rsid w:val="00310D14"/>
    <w:rsid w:val="00310DBF"/>
    <w:rsid w:val="00310E49"/>
    <w:rsid w:val="00310EC8"/>
    <w:rsid w:val="00310F55"/>
    <w:rsid w:val="0031125D"/>
    <w:rsid w:val="003112DA"/>
    <w:rsid w:val="0031142E"/>
    <w:rsid w:val="003115C7"/>
    <w:rsid w:val="00311876"/>
    <w:rsid w:val="003118F5"/>
    <w:rsid w:val="00311A0F"/>
    <w:rsid w:val="00311A9C"/>
    <w:rsid w:val="00311AB9"/>
    <w:rsid w:val="00311AE9"/>
    <w:rsid w:val="00311B63"/>
    <w:rsid w:val="00311C11"/>
    <w:rsid w:val="00311C70"/>
    <w:rsid w:val="00311C95"/>
    <w:rsid w:val="00312080"/>
    <w:rsid w:val="003120D2"/>
    <w:rsid w:val="0031212C"/>
    <w:rsid w:val="00312219"/>
    <w:rsid w:val="003122D4"/>
    <w:rsid w:val="00312384"/>
    <w:rsid w:val="003123AA"/>
    <w:rsid w:val="003123D6"/>
    <w:rsid w:val="003123D9"/>
    <w:rsid w:val="0031243D"/>
    <w:rsid w:val="00312539"/>
    <w:rsid w:val="0031254C"/>
    <w:rsid w:val="00312661"/>
    <w:rsid w:val="003126A6"/>
    <w:rsid w:val="00312828"/>
    <w:rsid w:val="00312B00"/>
    <w:rsid w:val="00312B0E"/>
    <w:rsid w:val="00312D00"/>
    <w:rsid w:val="00312DA7"/>
    <w:rsid w:val="00312DAF"/>
    <w:rsid w:val="00312DDA"/>
    <w:rsid w:val="00312E24"/>
    <w:rsid w:val="00312E54"/>
    <w:rsid w:val="00312EBE"/>
    <w:rsid w:val="00312FB8"/>
    <w:rsid w:val="00312FE2"/>
    <w:rsid w:val="0031315D"/>
    <w:rsid w:val="003131C3"/>
    <w:rsid w:val="00313239"/>
    <w:rsid w:val="0031324A"/>
    <w:rsid w:val="003132C3"/>
    <w:rsid w:val="0031336D"/>
    <w:rsid w:val="0031346B"/>
    <w:rsid w:val="0031357D"/>
    <w:rsid w:val="0031365F"/>
    <w:rsid w:val="003136D8"/>
    <w:rsid w:val="00313714"/>
    <w:rsid w:val="003138C1"/>
    <w:rsid w:val="00313A9E"/>
    <w:rsid w:val="00313B72"/>
    <w:rsid w:val="00313CE2"/>
    <w:rsid w:val="00313D47"/>
    <w:rsid w:val="00313D4A"/>
    <w:rsid w:val="00313DA4"/>
    <w:rsid w:val="00313DC5"/>
    <w:rsid w:val="00313E66"/>
    <w:rsid w:val="00313EA6"/>
    <w:rsid w:val="00313F99"/>
    <w:rsid w:val="003141D1"/>
    <w:rsid w:val="003142FE"/>
    <w:rsid w:val="003143BF"/>
    <w:rsid w:val="003146D7"/>
    <w:rsid w:val="003146E0"/>
    <w:rsid w:val="0031472D"/>
    <w:rsid w:val="003147A2"/>
    <w:rsid w:val="003147EA"/>
    <w:rsid w:val="00314829"/>
    <w:rsid w:val="00314859"/>
    <w:rsid w:val="00314861"/>
    <w:rsid w:val="003148B0"/>
    <w:rsid w:val="003148F4"/>
    <w:rsid w:val="00314AEB"/>
    <w:rsid w:val="00314CA4"/>
    <w:rsid w:val="00314DAE"/>
    <w:rsid w:val="00314EB2"/>
    <w:rsid w:val="00314ED0"/>
    <w:rsid w:val="003150E8"/>
    <w:rsid w:val="0031519F"/>
    <w:rsid w:val="0031567C"/>
    <w:rsid w:val="003157EB"/>
    <w:rsid w:val="003158B3"/>
    <w:rsid w:val="003158C4"/>
    <w:rsid w:val="003159C1"/>
    <w:rsid w:val="003159F8"/>
    <w:rsid w:val="00315AE5"/>
    <w:rsid w:val="00315C36"/>
    <w:rsid w:val="00315DA2"/>
    <w:rsid w:val="00315E5A"/>
    <w:rsid w:val="00316022"/>
    <w:rsid w:val="003160AA"/>
    <w:rsid w:val="003160DB"/>
    <w:rsid w:val="00316140"/>
    <w:rsid w:val="00316327"/>
    <w:rsid w:val="00316755"/>
    <w:rsid w:val="00316784"/>
    <w:rsid w:val="00316A07"/>
    <w:rsid w:val="00316A3D"/>
    <w:rsid w:val="00316C4B"/>
    <w:rsid w:val="00316C69"/>
    <w:rsid w:val="00316D53"/>
    <w:rsid w:val="00316F49"/>
    <w:rsid w:val="00316FAE"/>
    <w:rsid w:val="003170C7"/>
    <w:rsid w:val="003170DD"/>
    <w:rsid w:val="00317205"/>
    <w:rsid w:val="0031721A"/>
    <w:rsid w:val="00317295"/>
    <w:rsid w:val="003172E2"/>
    <w:rsid w:val="00317300"/>
    <w:rsid w:val="00317336"/>
    <w:rsid w:val="00317422"/>
    <w:rsid w:val="00317498"/>
    <w:rsid w:val="003175FA"/>
    <w:rsid w:val="0031784C"/>
    <w:rsid w:val="003178FE"/>
    <w:rsid w:val="003178FF"/>
    <w:rsid w:val="00317B94"/>
    <w:rsid w:val="00317EF6"/>
    <w:rsid w:val="00317F85"/>
    <w:rsid w:val="0032004F"/>
    <w:rsid w:val="003202AC"/>
    <w:rsid w:val="00320359"/>
    <w:rsid w:val="00320447"/>
    <w:rsid w:val="003205F0"/>
    <w:rsid w:val="003206D7"/>
    <w:rsid w:val="00320808"/>
    <w:rsid w:val="00320885"/>
    <w:rsid w:val="00320910"/>
    <w:rsid w:val="00320C2D"/>
    <w:rsid w:val="00320C50"/>
    <w:rsid w:val="00320CE5"/>
    <w:rsid w:val="00320D12"/>
    <w:rsid w:val="00320D7C"/>
    <w:rsid w:val="00320DA0"/>
    <w:rsid w:val="00320E52"/>
    <w:rsid w:val="00320EC2"/>
    <w:rsid w:val="00320FEE"/>
    <w:rsid w:val="00321041"/>
    <w:rsid w:val="0032110E"/>
    <w:rsid w:val="00321130"/>
    <w:rsid w:val="0032121E"/>
    <w:rsid w:val="0032125E"/>
    <w:rsid w:val="0032126B"/>
    <w:rsid w:val="0032175E"/>
    <w:rsid w:val="0032176A"/>
    <w:rsid w:val="003217EB"/>
    <w:rsid w:val="00321823"/>
    <w:rsid w:val="00321933"/>
    <w:rsid w:val="00321AE3"/>
    <w:rsid w:val="00321AE7"/>
    <w:rsid w:val="00321B2B"/>
    <w:rsid w:val="00321CD1"/>
    <w:rsid w:val="00321CD3"/>
    <w:rsid w:val="00321CE7"/>
    <w:rsid w:val="00321D3F"/>
    <w:rsid w:val="00321F0C"/>
    <w:rsid w:val="0032210E"/>
    <w:rsid w:val="0032216C"/>
    <w:rsid w:val="003221D7"/>
    <w:rsid w:val="00322233"/>
    <w:rsid w:val="00322317"/>
    <w:rsid w:val="00322358"/>
    <w:rsid w:val="003223AF"/>
    <w:rsid w:val="0032241F"/>
    <w:rsid w:val="003224CE"/>
    <w:rsid w:val="003225AD"/>
    <w:rsid w:val="003225B5"/>
    <w:rsid w:val="0032261B"/>
    <w:rsid w:val="003226AC"/>
    <w:rsid w:val="00322704"/>
    <w:rsid w:val="00322AF4"/>
    <w:rsid w:val="00322B35"/>
    <w:rsid w:val="00322B5B"/>
    <w:rsid w:val="00322B89"/>
    <w:rsid w:val="00322BC0"/>
    <w:rsid w:val="00322BE8"/>
    <w:rsid w:val="00322C41"/>
    <w:rsid w:val="00322D8E"/>
    <w:rsid w:val="00322DBB"/>
    <w:rsid w:val="00322E1F"/>
    <w:rsid w:val="00322EA4"/>
    <w:rsid w:val="00322ECE"/>
    <w:rsid w:val="00322F73"/>
    <w:rsid w:val="00322F98"/>
    <w:rsid w:val="003231FC"/>
    <w:rsid w:val="00323237"/>
    <w:rsid w:val="00323256"/>
    <w:rsid w:val="0032328A"/>
    <w:rsid w:val="00323304"/>
    <w:rsid w:val="003233FE"/>
    <w:rsid w:val="00323432"/>
    <w:rsid w:val="003234C6"/>
    <w:rsid w:val="00323502"/>
    <w:rsid w:val="00323515"/>
    <w:rsid w:val="00323568"/>
    <w:rsid w:val="003236FF"/>
    <w:rsid w:val="00323734"/>
    <w:rsid w:val="00323769"/>
    <w:rsid w:val="0032382D"/>
    <w:rsid w:val="003238AE"/>
    <w:rsid w:val="003238C1"/>
    <w:rsid w:val="0032394E"/>
    <w:rsid w:val="003239A9"/>
    <w:rsid w:val="00323A2C"/>
    <w:rsid w:val="00323A8D"/>
    <w:rsid w:val="00323ABF"/>
    <w:rsid w:val="00323BB7"/>
    <w:rsid w:val="00323C20"/>
    <w:rsid w:val="00323CAF"/>
    <w:rsid w:val="00323CF3"/>
    <w:rsid w:val="00323D6B"/>
    <w:rsid w:val="00323D8D"/>
    <w:rsid w:val="00323E11"/>
    <w:rsid w:val="00323EE7"/>
    <w:rsid w:val="00324025"/>
    <w:rsid w:val="003240C2"/>
    <w:rsid w:val="00324117"/>
    <w:rsid w:val="003242AC"/>
    <w:rsid w:val="00324462"/>
    <w:rsid w:val="003245EA"/>
    <w:rsid w:val="003248EE"/>
    <w:rsid w:val="00324A78"/>
    <w:rsid w:val="00324CE0"/>
    <w:rsid w:val="00324D6B"/>
    <w:rsid w:val="00324D74"/>
    <w:rsid w:val="00324DB1"/>
    <w:rsid w:val="00324E4E"/>
    <w:rsid w:val="00324EAE"/>
    <w:rsid w:val="00324F19"/>
    <w:rsid w:val="00324FD6"/>
    <w:rsid w:val="0032503A"/>
    <w:rsid w:val="003250CE"/>
    <w:rsid w:val="00325171"/>
    <w:rsid w:val="003251CC"/>
    <w:rsid w:val="003252D8"/>
    <w:rsid w:val="003252E3"/>
    <w:rsid w:val="00325327"/>
    <w:rsid w:val="0032532C"/>
    <w:rsid w:val="003253F2"/>
    <w:rsid w:val="0032552C"/>
    <w:rsid w:val="00325607"/>
    <w:rsid w:val="00325762"/>
    <w:rsid w:val="003257E8"/>
    <w:rsid w:val="0032588F"/>
    <w:rsid w:val="003259E0"/>
    <w:rsid w:val="00325A78"/>
    <w:rsid w:val="00325B42"/>
    <w:rsid w:val="00325B58"/>
    <w:rsid w:val="00325B7A"/>
    <w:rsid w:val="00325C10"/>
    <w:rsid w:val="00325C69"/>
    <w:rsid w:val="00325D21"/>
    <w:rsid w:val="00325D97"/>
    <w:rsid w:val="00326016"/>
    <w:rsid w:val="00326033"/>
    <w:rsid w:val="0032643D"/>
    <w:rsid w:val="003264CF"/>
    <w:rsid w:val="003264E7"/>
    <w:rsid w:val="003264EB"/>
    <w:rsid w:val="003264FA"/>
    <w:rsid w:val="00326561"/>
    <w:rsid w:val="00326719"/>
    <w:rsid w:val="0032677A"/>
    <w:rsid w:val="003267CA"/>
    <w:rsid w:val="003267DE"/>
    <w:rsid w:val="0032685F"/>
    <w:rsid w:val="0032687E"/>
    <w:rsid w:val="003268B2"/>
    <w:rsid w:val="00326953"/>
    <w:rsid w:val="00326B13"/>
    <w:rsid w:val="00326B32"/>
    <w:rsid w:val="00326C10"/>
    <w:rsid w:val="00326C7D"/>
    <w:rsid w:val="00326D03"/>
    <w:rsid w:val="00326D52"/>
    <w:rsid w:val="003271E3"/>
    <w:rsid w:val="0032721D"/>
    <w:rsid w:val="0032737A"/>
    <w:rsid w:val="0032773A"/>
    <w:rsid w:val="0032777C"/>
    <w:rsid w:val="00327817"/>
    <w:rsid w:val="0032785C"/>
    <w:rsid w:val="00327984"/>
    <w:rsid w:val="00327B8B"/>
    <w:rsid w:val="00330051"/>
    <w:rsid w:val="0033016C"/>
    <w:rsid w:val="003301BA"/>
    <w:rsid w:val="003302BF"/>
    <w:rsid w:val="00330419"/>
    <w:rsid w:val="003305ED"/>
    <w:rsid w:val="0033069F"/>
    <w:rsid w:val="00330797"/>
    <w:rsid w:val="003308B5"/>
    <w:rsid w:val="00330A3C"/>
    <w:rsid w:val="00330B22"/>
    <w:rsid w:val="00330B96"/>
    <w:rsid w:val="00330BF5"/>
    <w:rsid w:val="00330C4B"/>
    <w:rsid w:val="00330CEF"/>
    <w:rsid w:val="00330DA6"/>
    <w:rsid w:val="00330E0A"/>
    <w:rsid w:val="00330E95"/>
    <w:rsid w:val="00330EAB"/>
    <w:rsid w:val="00330EE5"/>
    <w:rsid w:val="00330F59"/>
    <w:rsid w:val="00331271"/>
    <w:rsid w:val="003312B9"/>
    <w:rsid w:val="00331474"/>
    <w:rsid w:val="003314B7"/>
    <w:rsid w:val="003314C3"/>
    <w:rsid w:val="003314DC"/>
    <w:rsid w:val="00331662"/>
    <w:rsid w:val="00331786"/>
    <w:rsid w:val="003317CF"/>
    <w:rsid w:val="003319AF"/>
    <w:rsid w:val="00331B85"/>
    <w:rsid w:val="00331C02"/>
    <w:rsid w:val="00331C16"/>
    <w:rsid w:val="00331C1F"/>
    <w:rsid w:val="00331CE3"/>
    <w:rsid w:val="00331E21"/>
    <w:rsid w:val="00331ECD"/>
    <w:rsid w:val="00331F64"/>
    <w:rsid w:val="00332010"/>
    <w:rsid w:val="0033214C"/>
    <w:rsid w:val="00332277"/>
    <w:rsid w:val="0033228C"/>
    <w:rsid w:val="0033233A"/>
    <w:rsid w:val="003323C9"/>
    <w:rsid w:val="003323CE"/>
    <w:rsid w:val="00332751"/>
    <w:rsid w:val="00332774"/>
    <w:rsid w:val="0033278E"/>
    <w:rsid w:val="003328C7"/>
    <w:rsid w:val="003329D0"/>
    <w:rsid w:val="00332AC9"/>
    <w:rsid w:val="00332BFE"/>
    <w:rsid w:val="00332C62"/>
    <w:rsid w:val="00332D22"/>
    <w:rsid w:val="00332D7B"/>
    <w:rsid w:val="00332DE3"/>
    <w:rsid w:val="00333056"/>
    <w:rsid w:val="003331FF"/>
    <w:rsid w:val="00333292"/>
    <w:rsid w:val="0033344A"/>
    <w:rsid w:val="0033349E"/>
    <w:rsid w:val="003336E1"/>
    <w:rsid w:val="00333734"/>
    <w:rsid w:val="0033373C"/>
    <w:rsid w:val="003337A1"/>
    <w:rsid w:val="0033386A"/>
    <w:rsid w:val="0033395A"/>
    <w:rsid w:val="0033395E"/>
    <w:rsid w:val="003339FD"/>
    <w:rsid w:val="00333A74"/>
    <w:rsid w:val="00333BA9"/>
    <w:rsid w:val="00333BF2"/>
    <w:rsid w:val="00333C22"/>
    <w:rsid w:val="00333C29"/>
    <w:rsid w:val="00333C76"/>
    <w:rsid w:val="00333D5F"/>
    <w:rsid w:val="00333E96"/>
    <w:rsid w:val="00334010"/>
    <w:rsid w:val="00334351"/>
    <w:rsid w:val="0033435C"/>
    <w:rsid w:val="00334387"/>
    <w:rsid w:val="003343EB"/>
    <w:rsid w:val="00334494"/>
    <w:rsid w:val="003345C6"/>
    <w:rsid w:val="003345D8"/>
    <w:rsid w:val="00334723"/>
    <w:rsid w:val="0033479E"/>
    <w:rsid w:val="0033484B"/>
    <w:rsid w:val="00334964"/>
    <w:rsid w:val="00334A38"/>
    <w:rsid w:val="00334AB6"/>
    <w:rsid w:val="00334AE7"/>
    <w:rsid w:val="00334AF4"/>
    <w:rsid w:val="00334B81"/>
    <w:rsid w:val="00334E3E"/>
    <w:rsid w:val="00334E52"/>
    <w:rsid w:val="00334EE2"/>
    <w:rsid w:val="00334F7D"/>
    <w:rsid w:val="00334FD4"/>
    <w:rsid w:val="003350F3"/>
    <w:rsid w:val="003353BA"/>
    <w:rsid w:val="003353C8"/>
    <w:rsid w:val="00335429"/>
    <w:rsid w:val="00335435"/>
    <w:rsid w:val="0033547A"/>
    <w:rsid w:val="003354E5"/>
    <w:rsid w:val="0033551C"/>
    <w:rsid w:val="003355C4"/>
    <w:rsid w:val="0033560C"/>
    <w:rsid w:val="0033561E"/>
    <w:rsid w:val="00335627"/>
    <w:rsid w:val="00335691"/>
    <w:rsid w:val="003356AC"/>
    <w:rsid w:val="0033577E"/>
    <w:rsid w:val="003357BC"/>
    <w:rsid w:val="003358BE"/>
    <w:rsid w:val="00335963"/>
    <w:rsid w:val="00335996"/>
    <w:rsid w:val="00335A8C"/>
    <w:rsid w:val="00335B0F"/>
    <w:rsid w:val="00335B7D"/>
    <w:rsid w:val="00335BBE"/>
    <w:rsid w:val="00335DFF"/>
    <w:rsid w:val="00335E93"/>
    <w:rsid w:val="00335F80"/>
    <w:rsid w:val="00335FB1"/>
    <w:rsid w:val="0033606E"/>
    <w:rsid w:val="003360C5"/>
    <w:rsid w:val="003360CF"/>
    <w:rsid w:val="003360F1"/>
    <w:rsid w:val="0033620D"/>
    <w:rsid w:val="003362AF"/>
    <w:rsid w:val="003363C0"/>
    <w:rsid w:val="00336400"/>
    <w:rsid w:val="003364A7"/>
    <w:rsid w:val="003364C9"/>
    <w:rsid w:val="00336549"/>
    <w:rsid w:val="00336712"/>
    <w:rsid w:val="00336727"/>
    <w:rsid w:val="0033673D"/>
    <w:rsid w:val="00336816"/>
    <w:rsid w:val="003368CB"/>
    <w:rsid w:val="00336914"/>
    <w:rsid w:val="00336A47"/>
    <w:rsid w:val="00336AB9"/>
    <w:rsid w:val="00336AF0"/>
    <w:rsid w:val="00336B36"/>
    <w:rsid w:val="00336CBE"/>
    <w:rsid w:val="00336D90"/>
    <w:rsid w:val="00336E88"/>
    <w:rsid w:val="00336F30"/>
    <w:rsid w:val="00336F80"/>
    <w:rsid w:val="0033737D"/>
    <w:rsid w:val="00337387"/>
    <w:rsid w:val="00337427"/>
    <w:rsid w:val="0033754D"/>
    <w:rsid w:val="003375BA"/>
    <w:rsid w:val="00337736"/>
    <w:rsid w:val="00337855"/>
    <w:rsid w:val="00337B05"/>
    <w:rsid w:val="00337C53"/>
    <w:rsid w:val="00337CE4"/>
    <w:rsid w:val="00337DBB"/>
    <w:rsid w:val="00337E02"/>
    <w:rsid w:val="00337F39"/>
    <w:rsid w:val="00340132"/>
    <w:rsid w:val="0034021A"/>
    <w:rsid w:val="00340306"/>
    <w:rsid w:val="0034037C"/>
    <w:rsid w:val="0034039D"/>
    <w:rsid w:val="003404FC"/>
    <w:rsid w:val="00340516"/>
    <w:rsid w:val="003405B4"/>
    <w:rsid w:val="00340704"/>
    <w:rsid w:val="00340AC9"/>
    <w:rsid w:val="00340B66"/>
    <w:rsid w:val="00340D50"/>
    <w:rsid w:val="00340E22"/>
    <w:rsid w:val="00340F8A"/>
    <w:rsid w:val="00341037"/>
    <w:rsid w:val="003410A7"/>
    <w:rsid w:val="0034113D"/>
    <w:rsid w:val="00341244"/>
    <w:rsid w:val="0034127D"/>
    <w:rsid w:val="00341388"/>
    <w:rsid w:val="00341401"/>
    <w:rsid w:val="003415BD"/>
    <w:rsid w:val="003415C4"/>
    <w:rsid w:val="00341608"/>
    <w:rsid w:val="00341637"/>
    <w:rsid w:val="00341760"/>
    <w:rsid w:val="003417AE"/>
    <w:rsid w:val="003417B9"/>
    <w:rsid w:val="0034180F"/>
    <w:rsid w:val="00341856"/>
    <w:rsid w:val="00341894"/>
    <w:rsid w:val="003418CB"/>
    <w:rsid w:val="003418E4"/>
    <w:rsid w:val="003418E7"/>
    <w:rsid w:val="003419AC"/>
    <w:rsid w:val="003419AE"/>
    <w:rsid w:val="003419BF"/>
    <w:rsid w:val="00341B9A"/>
    <w:rsid w:val="00341BC1"/>
    <w:rsid w:val="00341BFA"/>
    <w:rsid w:val="00341C67"/>
    <w:rsid w:val="00341D5E"/>
    <w:rsid w:val="00341E60"/>
    <w:rsid w:val="00341F10"/>
    <w:rsid w:val="00341FBF"/>
    <w:rsid w:val="003420D8"/>
    <w:rsid w:val="003421C8"/>
    <w:rsid w:val="0034229E"/>
    <w:rsid w:val="0034229F"/>
    <w:rsid w:val="00342321"/>
    <w:rsid w:val="0034232C"/>
    <w:rsid w:val="003425AD"/>
    <w:rsid w:val="003425BD"/>
    <w:rsid w:val="003425E5"/>
    <w:rsid w:val="003425F2"/>
    <w:rsid w:val="0034264C"/>
    <w:rsid w:val="003427E2"/>
    <w:rsid w:val="00342803"/>
    <w:rsid w:val="003429A7"/>
    <w:rsid w:val="00342B06"/>
    <w:rsid w:val="00342B59"/>
    <w:rsid w:val="00342C91"/>
    <w:rsid w:val="00342E66"/>
    <w:rsid w:val="00342E95"/>
    <w:rsid w:val="00342F82"/>
    <w:rsid w:val="00342FDC"/>
    <w:rsid w:val="00342FFA"/>
    <w:rsid w:val="0034306C"/>
    <w:rsid w:val="003430EF"/>
    <w:rsid w:val="00343147"/>
    <w:rsid w:val="003431BF"/>
    <w:rsid w:val="003432A8"/>
    <w:rsid w:val="00343437"/>
    <w:rsid w:val="0034347F"/>
    <w:rsid w:val="003434C2"/>
    <w:rsid w:val="003436E3"/>
    <w:rsid w:val="003436F0"/>
    <w:rsid w:val="00343726"/>
    <w:rsid w:val="003437EE"/>
    <w:rsid w:val="0034392F"/>
    <w:rsid w:val="003439A5"/>
    <w:rsid w:val="00343B18"/>
    <w:rsid w:val="00343C8F"/>
    <w:rsid w:val="00343D89"/>
    <w:rsid w:val="00343DA3"/>
    <w:rsid w:val="0034401B"/>
    <w:rsid w:val="003441DF"/>
    <w:rsid w:val="003441EC"/>
    <w:rsid w:val="00344351"/>
    <w:rsid w:val="003443CC"/>
    <w:rsid w:val="003444C4"/>
    <w:rsid w:val="0034456E"/>
    <w:rsid w:val="00344687"/>
    <w:rsid w:val="003447CC"/>
    <w:rsid w:val="003448DC"/>
    <w:rsid w:val="0034494B"/>
    <w:rsid w:val="00344959"/>
    <w:rsid w:val="00344971"/>
    <w:rsid w:val="0034498A"/>
    <w:rsid w:val="00344A0A"/>
    <w:rsid w:val="00344B67"/>
    <w:rsid w:val="00344C14"/>
    <w:rsid w:val="00344C90"/>
    <w:rsid w:val="00344D4C"/>
    <w:rsid w:val="00344F4F"/>
    <w:rsid w:val="00344FB7"/>
    <w:rsid w:val="0034508B"/>
    <w:rsid w:val="003450AE"/>
    <w:rsid w:val="00345263"/>
    <w:rsid w:val="0034527C"/>
    <w:rsid w:val="003452CF"/>
    <w:rsid w:val="00345334"/>
    <w:rsid w:val="003453B9"/>
    <w:rsid w:val="0034550C"/>
    <w:rsid w:val="00345564"/>
    <w:rsid w:val="00345716"/>
    <w:rsid w:val="0034574D"/>
    <w:rsid w:val="00345768"/>
    <w:rsid w:val="003458F1"/>
    <w:rsid w:val="00345906"/>
    <w:rsid w:val="00345917"/>
    <w:rsid w:val="00345AAC"/>
    <w:rsid w:val="00345AB4"/>
    <w:rsid w:val="00345B3D"/>
    <w:rsid w:val="00345D64"/>
    <w:rsid w:val="00345E06"/>
    <w:rsid w:val="00345EF2"/>
    <w:rsid w:val="00345F7D"/>
    <w:rsid w:val="00345F90"/>
    <w:rsid w:val="00345FFD"/>
    <w:rsid w:val="00346098"/>
    <w:rsid w:val="00346144"/>
    <w:rsid w:val="003462D5"/>
    <w:rsid w:val="003462D8"/>
    <w:rsid w:val="003463EC"/>
    <w:rsid w:val="00346441"/>
    <w:rsid w:val="00346457"/>
    <w:rsid w:val="003465C0"/>
    <w:rsid w:val="003465F9"/>
    <w:rsid w:val="00346601"/>
    <w:rsid w:val="00346659"/>
    <w:rsid w:val="00346699"/>
    <w:rsid w:val="0034678E"/>
    <w:rsid w:val="00346814"/>
    <w:rsid w:val="0034688D"/>
    <w:rsid w:val="00346899"/>
    <w:rsid w:val="00346953"/>
    <w:rsid w:val="00346A70"/>
    <w:rsid w:val="00346A76"/>
    <w:rsid w:val="00346B2E"/>
    <w:rsid w:val="00346B7F"/>
    <w:rsid w:val="00346B89"/>
    <w:rsid w:val="00346C36"/>
    <w:rsid w:val="00346C6E"/>
    <w:rsid w:val="00346C72"/>
    <w:rsid w:val="00346DF9"/>
    <w:rsid w:val="00346ED2"/>
    <w:rsid w:val="00346F64"/>
    <w:rsid w:val="00346FB6"/>
    <w:rsid w:val="003470A4"/>
    <w:rsid w:val="00347182"/>
    <w:rsid w:val="00347198"/>
    <w:rsid w:val="00347222"/>
    <w:rsid w:val="0034725F"/>
    <w:rsid w:val="003472C0"/>
    <w:rsid w:val="00347329"/>
    <w:rsid w:val="00347395"/>
    <w:rsid w:val="0034743B"/>
    <w:rsid w:val="00347460"/>
    <w:rsid w:val="00347489"/>
    <w:rsid w:val="003474AF"/>
    <w:rsid w:val="0034758A"/>
    <w:rsid w:val="003475FC"/>
    <w:rsid w:val="003476D9"/>
    <w:rsid w:val="00347707"/>
    <w:rsid w:val="00347717"/>
    <w:rsid w:val="003478A5"/>
    <w:rsid w:val="0034798C"/>
    <w:rsid w:val="00347A88"/>
    <w:rsid w:val="00347A90"/>
    <w:rsid w:val="00347ACC"/>
    <w:rsid w:val="00347B29"/>
    <w:rsid w:val="00347B5B"/>
    <w:rsid w:val="00347C13"/>
    <w:rsid w:val="00347DDE"/>
    <w:rsid w:val="00347E57"/>
    <w:rsid w:val="00347E60"/>
    <w:rsid w:val="00347E96"/>
    <w:rsid w:val="00347F40"/>
    <w:rsid w:val="00350084"/>
    <w:rsid w:val="00350086"/>
    <w:rsid w:val="003500A6"/>
    <w:rsid w:val="00350145"/>
    <w:rsid w:val="0035025A"/>
    <w:rsid w:val="00350270"/>
    <w:rsid w:val="00350423"/>
    <w:rsid w:val="003505AD"/>
    <w:rsid w:val="003505DA"/>
    <w:rsid w:val="0035060F"/>
    <w:rsid w:val="003507A5"/>
    <w:rsid w:val="00350835"/>
    <w:rsid w:val="003508CB"/>
    <w:rsid w:val="00350960"/>
    <w:rsid w:val="00350993"/>
    <w:rsid w:val="00350A00"/>
    <w:rsid w:val="00350A2F"/>
    <w:rsid w:val="00350B91"/>
    <w:rsid w:val="00350EFB"/>
    <w:rsid w:val="00351083"/>
    <w:rsid w:val="00351145"/>
    <w:rsid w:val="0035115F"/>
    <w:rsid w:val="00351212"/>
    <w:rsid w:val="003512B6"/>
    <w:rsid w:val="00351331"/>
    <w:rsid w:val="00351483"/>
    <w:rsid w:val="00351526"/>
    <w:rsid w:val="0035159E"/>
    <w:rsid w:val="0035168E"/>
    <w:rsid w:val="00351807"/>
    <w:rsid w:val="003518F6"/>
    <w:rsid w:val="003518FB"/>
    <w:rsid w:val="00351AB9"/>
    <w:rsid w:val="00351B63"/>
    <w:rsid w:val="00351D04"/>
    <w:rsid w:val="00351D77"/>
    <w:rsid w:val="00351DEE"/>
    <w:rsid w:val="00351F44"/>
    <w:rsid w:val="00352025"/>
    <w:rsid w:val="00352172"/>
    <w:rsid w:val="00352179"/>
    <w:rsid w:val="003522BB"/>
    <w:rsid w:val="00352381"/>
    <w:rsid w:val="00352541"/>
    <w:rsid w:val="0035256B"/>
    <w:rsid w:val="003526D1"/>
    <w:rsid w:val="003526E5"/>
    <w:rsid w:val="00352A42"/>
    <w:rsid w:val="00352BBA"/>
    <w:rsid w:val="00352BC6"/>
    <w:rsid w:val="00352F18"/>
    <w:rsid w:val="00353028"/>
    <w:rsid w:val="00353031"/>
    <w:rsid w:val="00353045"/>
    <w:rsid w:val="00353183"/>
    <w:rsid w:val="003531CB"/>
    <w:rsid w:val="003533C6"/>
    <w:rsid w:val="003534DD"/>
    <w:rsid w:val="003535EE"/>
    <w:rsid w:val="0035382F"/>
    <w:rsid w:val="00353B0C"/>
    <w:rsid w:val="00353B27"/>
    <w:rsid w:val="00353BCB"/>
    <w:rsid w:val="00353D29"/>
    <w:rsid w:val="00353DDC"/>
    <w:rsid w:val="00353EBA"/>
    <w:rsid w:val="00353F43"/>
    <w:rsid w:val="00353F47"/>
    <w:rsid w:val="00353FCE"/>
    <w:rsid w:val="00354085"/>
    <w:rsid w:val="0035410F"/>
    <w:rsid w:val="00354405"/>
    <w:rsid w:val="00354479"/>
    <w:rsid w:val="0035458F"/>
    <w:rsid w:val="0035475D"/>
    <w:rsid w:val="00354796"/>
    <w:rsid w:val="00354887"/>
    <w:rsid w:val="003548F2"/>
    <w:rsid w:val="00354900"/>
    <w:rsid w:val="00354A61"/>
    <w:rsid w:val="00354AE8"/>
    <w:rsid w:val="00354B8D"/>
    <w:rsid w:val="00354B8F"/>
    <w:rsid w:val="00354C71"/>
    <w:rsid w:val="00354DB6"/>
    <w:rsid w:val="00354F55"/>
    <w:rsid w:val="00354F74"/>
    <w:rsid w:val="00355155"/>
    <w:rsid w:val="0035536D"/>
    <w:rsid w:val="003553BB"/>
    <w:rsid w:val="00355462"/>
    <w:rsid w:val="0035549B"/>
    <w:rsid w:val="0035551E"/>
    <w:rsid w:val="003555A9"/>
    <w:rsid w:val="00355624"/>
    <w:rsid w:val="0035565D"/>
    <w:rsid w:val="00355734"/>
    <w:rsid w:val="0035581B"/>
    <w:rsid w:val="003559E1"/>
    <w:rsid w:val="00355A2C"/>
    <w:rsid w:val="00355A55"/>
    <w:rsid w:val="00355A99"/>
    <w:rsid w:val="00355AB5"/>
    <w:rsid w:val="00355B32"/>
    <w:rsid w:val="00355C06"/>
    <w:rsid w:val="00355D04"/>
    <w:rsid w:val="00355D70"/>
    <w:rsid w:val="00355E11"/>
    <w:rsid w:val="00355F2A"/>
    <w:rsid w:val="00355F79"/>
    <w:rsid w:val="00355FE2"/>
    <w:rsid w:val="00356003"/>
    <w:rsid w:val="0035606C"/>
    <w:rsid w:val="0035607E"/>
    <w:rsid w:val="00356167"/>
    <w:rsid w:val="00356335"/>
    <w:rsid w:val="00356363"/>
    <w:rsid w:val="00356411"/>
    <w:rsid w:val="00356463"/>
    <w:rsid w:val="0035649E"/>
    <w:rsid w:val="00356533"/>
    <w:rsid w:val="00356574"/>
    <w:rsid w:val="00356582"/>
    <w:rsid w:val="0035667A"/>
    <w:rsid w:val="003566D1"/>
    <w:rsid w:val="00356A2A"/>
    <w:rsid w:val="00356B16"/>
    <w:rsid w:val="00356B46"/>
    <w:rsid w:val="00356C29"/>
    <w:rsid w:val="00356C2E"/>
    <w:rsid w:val="00356CE3"/>
    <w:rsid w:val="00356D85"/>
    <w:rsid w:val="00356E32"/>
    <w:rsid w:val="00356E9A"/>
    <w:rsid w:val="00356F7F"/>
    <w:rsid w:val="0035702B"/>
    <w:rsid w:val="0035704D"/>
    <w:rsid w:val="003570B9"/>
    <w:rsid w:val="0035715D"/>
    <w:rsid w:val="003571A4"/>
    <w:rsid w:val="0035733A"/>
    <w:rsid w:val="003573B2"/>
    <w:rsid w:val="0035769D"/>
    <w:rsid w:val="0035775E"/>
    <w:rsid w:val="00357787"/>
    <w:rsid w:val="00357795"/>
    <w:rsid w:val="003578A0"/>
    <w:rsid w:val="00357931"/>
    <w:rsid w:val="00357C0F"/>
    <w:rsid w:val="00357ED8"/>
    <w:rsid w:val="00357F74"/>
    <w:rsid w:val="00357FC0"/>
    <w:rsid w:val="00357FD6"/>
    <w:rsid w:val="003600BA"/>
    <w:rsid w:val="0036025D"/>
    <w:rsid w:val="003602FF"/>
    <w:rsid w:val="003603D3"/>
    <w:rsid w:val="003604A9"/>
    <w:rsid w:val="003604F2"/>
    <w:rsid w:val="00360618"/>
    <w:rsid w:val="0036075E"/>
    <w:rsid w:val="003607CD"/>
    <w:rsid w:val="00360834"/>
    <w:rsid w:val="00360995"/>
    <w:rsid w:val="00360A00"/>
    <w:rsid w:val="00360A79"/>
    <w:rsid w:val="00360AF1"/>
    <w:rsid w:val="00360AFF"/>
    <w:rsid w:val="00360B17"/>
    <w:rsid w:val="00360BA9"/>
    <w:rsid w:val="00360BAC"/>
    <w:rsid w:val="00360C47"/>
    <w:rsid w:val="00360C50"/>
    <w:rsid w:val="00360CB1"/>
    <w:rsid w:val="00360D16"/>
    <w:rsid w:val="00360DAC"/>
    <w:rsid w:val="00360DB9"/>
    <w:rsid w:val="003611FF"/>
    <w:rsid w:val="003612B7"/>
    <w:rsid w:val="00361323"/>
    <w:rsid w:val="0036134D"/>
    <w:rsid w:val="003613AC"/>
    <w:rsid w:val="00361494"/>
    <w:rsid w:val="003616B4"/>
    <w:rsid w:val="00361705"/>
    <w:rsid w:val="00361794"/>
    <w:rsid w:val="003617CD"/>
    <w:rsid w:val="003617D4"/>
    <w:rsid w:val="00361853"/>
    <w:rsid w:val="003619A9"/>
    <w:rsid w:val="003619AE"/>
    <w:rsid w:val="003619F1"/>
    <w:rsid w:val="00361A02"/>
    <w:rsid w:val="00361B59"/>
    <w:rsid w:val="00361DBD"/>
    <w:rsid w:val="00361EA7"/>
    <w:rsid w:val="00361EBB"/>
    <w:rsid w:val="00361FC8"/>
    <w:rsid w:val="00361FD7"/>
    <w:rsid w:val="00362014"/>
    <w:rsid w:val="00362020"/>
    <w:rsid w:val="00362146"/>
    <w:rsid w:val="0036215F"/>
    <w:rsid w:val="00362333"/>
    <w:rsid w:val="00362346"/>
    <w:rsid w:val="003623A5"/>
    <w:rsid w:val="003624A1"/>
    <w:rsid w:val="003625F8"/>
    <w:rsid w:val="00362633"/>
    <w:rsid w:val="0036266D"/>
    <w:rsid w:val="0036266F"/>
    <w:rsid w:val="0036268F"/>
    <w:rsid w:val="00362753"/>
    <w:rsid w:val="00362969"/>
    <w:rsid w:val="00362A17"/>
    <w:rsid w:val="00362AA6"/>
    <w:rsid w:val="00362AA7"/>
    <w:rsid w:val="00362B91"/>
    <w:rsid w:val="00362BCB"/>
    <w:rsid w:val="00362CA1"/>
    <w:rsid w:val="00362DFA"/>
    <w:rsid w:val="00362F36"/>
    <w:rsid w:val="00363073"/>
    <w:rsid w:val="003630A2"/>
    <w:rsid w:val="0036320F"/>
    <w:rsid w:val="00363266"/>
    <w:rsid w:val="003632DB"/>
    <w:rsid w:val="00363332"/>
    <w:rsid w:val="003633AD"/>
    <w:rsid w:val="00363518"/>
    <w:rsid w:val="00363562"/>
    <w:rsid w:val="00363653"/>
    <w:rsid w:val="003636D0"/>
    <w:rsid w:val="00363716"/>
    <w:rsid w:val="00363776"/>
    <w:rsid w:val="003637D3"/>
    <w:rsid w:val="00363827"/>
    <w:rsid w:val="00363972"/>
    <w:rsid w:val="003639B7"/>
    <w:rsid w:val="003639F5"/>
    <w:rsid w:val="00363A3E"/>
    <w:rsid w:val="00363A88"/>
    <w:rsid w:val="00363AD7"/>
    <w:rsid w:val="00363C65"/>
    <w:rsid w:val="00363CAB"/>
    <w:rsid w:val="00363CFE"/>
    <w:rsid w:val="00363E47"/>
    <w:rsid w:val="00363E74"/>
    <w:rsid w:val="003640A1"/>
    <w:rsid w:val="00364166"/>
    <w:rsid w:val="00364181"/>
    <w:rsid w:val="003642A1"/>
    <w:rsid w:val="003642DF"/>
    <w:rsid w:val="00364386"/>
    <w:rsid w:val="003643A1"/>
    <w:rsid w:val="003645BF"/>
    <w:rsid w:val="00364614"/>
    <w:rsid w:val="0036461F"/>
    <w:rsid w:val="00364696"/>
    <w:rsid w:val="003647A7"/>
    <w:rsid w:val="0036482C"/>
    <w:rsid w:val="003648BA"/>
    <w:rsid w:val="00364990"/>
    <w:rsid w:val="003649EC"/>
    <w:rsid w:val="00364AE5"/>
    <w:rsid w:val="00364D04"/>
    <w:rsid w:val="00364D90"/>
    <w:rsid w:val="00364FB6"/>
    <w:rsid w:val="00364FC6"/>
    <w:rsid w:val="00365021"/>
    <w:rsid w:val="00365061"/>
    <w:rsid w:val="00365176"/>
    <w:rsid w:val="0036536E"/>
    <w:rsid w:val="00365385"/>
    <w:rsid w:val="0036540A"/>
    <w:rsid w:val="003654C1"/>
    <w:rsid w:val="003654FC"/>
    <w:rsid w:val="003655D5"/>
    <w:rsid w:val="00365701"/>
    <w:rsid w:val="00365887"/>
    <w:rsid w:val="00365926"/>
    <w:rsid w:val="00365934"/>
    <w:rsid w:val="00365978"/>
    <w:rsid w:val="00365A85"/>
    <w:rsid w:val="00365BFB"/>
    <w:rsid w:val="00365D39"/>
    <w:rsid w:val="00365D7C"/>
    <w:rsid w:val="00365EE0"/>
    <w:rsid w:val="00365F19"/>
    <w:rsid w:val="00366252"/>
    <w:rsid w:val="003662D2"/>
    <w:rsid w:val="0036635B"/>
    <w:rsid w:val="00366369"/>
    <w:rsid w:val="00366386"/>
    <w:rsid w:val="00366408"/>
    <w:rsid w:val="00366422"/>
    <w:rsid w:val="003665E9"/>
    <w:rsid w:val="00366617"/>
    <w:rsid w:val="003667A1"/>
    <w:rsid w:val="003667CE"/>
    <w:rsid w:val="003668C9"/>
    <w:rsid w:val="003668EE"/>
    <w:rsid w:val="003669C5"/>
    <w:rsid w:val="00366AD2"/>
    <w:rsid w:val="00366B01"/>
    <w:rsid w:val="00366B3D"/>
    <w:rsid w:val="00366BDC"/>
    <w:rsid w:val="00366CB9"/>
    <w:rsid w:val="00366D44"/>
    <w:rsid w:val="00366D84"/>
    <w:rsid w:val="00366DE5"/>
    <w:rsid w:val="00366E9D"/>
    <w:rsid w:val="00366F59"/>
    <w:rsid w:val="00366F7A"/>
    <w:rsid w:val="00366FC5"/>
    <w:rsid w:val="00366FE3"/>
    <w:rsid w:val="00366FE8"/>
    <w:rsid w:val="0036700F"/>
    <w:rsid w:val="003671D1"/>
    <w:rsid w:val="00367271"/>
    <w:rsid w:val="003673C0"/>
    <w:rsid w:val="003673CD"/>
    <w:rsid w:val="0036744B"/>
    <w:rsid w:val="003675F5"/>
    <w:rsid w:val="0036779B"/>
    <w:rsid w:val="003677F8"/>
    <w:rsid w:val="00367871"/>
    <w:rsid w:val="003679A9"/>
    <w:rsid w:val="00367A85"/>
    <w:rsid w:val="00367BE9"/>
    <w:rsid w:val="00367C8F"/>
    <w:rsid w:val="00367E82"/>
    <w:rsid w:val="003700EF"/>
    <w:rsid w:val="0037019F"/>
    <w:rsid w:val="003703A8"/>
    <w:rsid w:val="003704BE"/>
    <w:rsid w:val="003704E6"/>
    <w:rsid w:val="003705D7"/>
    <w:rsid w:val="003705E2"/>
    <w:rsid w:val="003705FE"/>
    <w:rsid w:val="0037066B"/>
    <w:rsid w:val="0037069E"/>
    <w:rsid w:val="003706A4"/>
    <w:rsid w:val="0037081F"/>
    <w:rsid w:val="003709E8"/>
    <w:rsid w:val="00370A35"/>
    <w:rsid w:val="00370A5E"/>
    <w:rsid w:val="00370A96"/>
    <w:rsid w:val="00370ADA"/>
    <w:rsid w:val="00370B1B"/>
    <w:rsid w:val="00370B52"/>
    <w:rsid w:val="00370BFF"/>
    <w:rsid w:val="00370C47"/>
    <w:rsid w:val="00370C87"/>
    <w:rsid w:val="00370FB8"/>
    <w:rsid w:val="00371009"/>
    <w:rsid w:val="00371066"/>
    <w:rsid w:val="003711E3"/>
    <w:rsid w:val="00371219"/>
    <w:rsid w:val="00371237"/>
    <w:rsid w:val="0037125C"/>
    <w:rsid w:val="0037148C"/>
    <w:rsid w:val="0037160D"/>
    <w:rsid w:val="00371834"/>
    <w:rsid w:val="003718ED"/>
    <w:rsid w:val="00371904"/>
    <w:rsid w:val="00371941"/>
    <w:rsid w:val="00371A74"/>
    <w:rsid w:val="00371AC6"/>
    <w:rsid w:val="00371D2E"/>
    <w:rsid w:val="00371E0E"/>
    <w:rsid w:val="00371EBB"/>
    <w:rsid w:val="00371F97"/>
    <w:rsid w:val="0037209A"/>
    <w:rsid w:val="00372147"/>
    <w:rsid w:val="003723AB"/>
    <w:rsid w:val="0037245B"/>
    <w:rsid w:val="003724BD"/>
    <w:rsid w:val="0037251F"/>
    <w:rsid w:val="00372542"/>
    <w:rsid w:val="00372562"/>
    <w:rsid w:val="00372648"/>
    <w:rsid w:val="00372A9C"/>
    <w:rsid w:val="00372D73"/>
    <w:rsid w:val="00372DB1"/>
    <w:rsid w:val="00372DCD"/>
    <w:rsid w:val="00372EB7"/>
    <w:rsid w:val="00372F56"/>
    <w:rsid w:val="00372F92"/>
    <w:rsid w:val="00373206"/>
    <w:rsid w:val="00373252"/>
    <w:rsid w:val="003732C9"/>
    <w:rsid w:val="003733F9"/>
    <w:rsid w:val="003735BC"/>
    <w:rsid w:val="00373635"/>
    <w:rsid w:val="00373731"/>
    <w:rsid w:val="003737D3"/>
    <w:rsid w:val="003737D4"/>
    <w:rsid w:val="00373803"/>
    <w:rsid w:val="00373869"/>
    <w:rsid w:val="003738DA"/>
    <w:rsid w:val="00373CB6"/>
    <w:rsid w:val="00373D47"/>
    <w:rsid w:val="00373D76"/>
    <w:rsid w:val="00373F1F"/>
    <w:rsid w:val="00373F3E"/>
    <w:rsid w:val="00373F93"/>
    <w:rsid w:val="00373FBD"/>
    <w:rsid w:val="00373FD8"/>
    <w:rsid w:val="003740E4"/>
    <w:rsid w:val="00374477"/>
    <w:rsid w:val="00374495"/>
    <w:rsid w:val="003746B9"/>
    <w:rsid w:val="0037470F"/>
    <w:rsid w:val="003747C3"/>
    <w:rsid w:val="00374847"/>
    <w:rsid w:val="0037494C"/>
    <w:rsid w:val="00374A84"/>
    <w:rsid w:val="00374B4F"/>
    <w:rsid w:val="00374D00"/>
    <w:rsid w:val="00374D1A"/>
    <w:rsid w:val="00374D1D"/>
    <w:rsid w:val="00374DDA"/>
    <w:rsid w:val="00374E26"/>
    <w:rsid w:val="00374E6E"/>
    <w:rsid w:val="0037513F"/>
    <w:rsid w:val="00375277"/>
    <w:rsid w:val="00375383"/>
    <w:rsid w:val="003753F1"/>
    <w:rsid w:val="003753F9"/>
    <w:rsid w:val="00375413"/>
    <w:rsid w:val="0037554F"/>
    <w:rsid w:val="00375580"/>
    <w:rsid w:val="0037569C"/>
    <w:rsid w:val="0037571F"/>
    <w:rsid w:val="0037574F"/>
    <w:rsid w:val="00375892"/>
    <w:rsid w:val="0037595D"/>
    <w:rsid w:val="0037596F"/>
    <w:rsid w:val="003759A3"/>
    <w:rsid w:val="00375A07"/>
    <w:rsid w:val="00375A11"/>
    <w:rsid w:val="00375A38"/>
    <w:rsid w:val="00375A73"/>
    <w:rsid w:val="00375B3D"/>
    <w:rsid w:val="00375B47"/>
    <w:rsid w:val="00375CC2"/>
    <w:rsid w:val="00375D72"/>
    <w:rsid w:val="00375E23"/>
    <w:rsid w:val="00375ED0"/>
    <w:rsid w:val="00375F13"/>
    <w:rsid w:val="00376025"/>
    <w:rsid w:val="00376053"/>
    <w:rsid w:val="00376184"/>
    <w:rsid w:val="00376245"/>
    <w:rsid w:val="003762B4"/>
    <w:rsid w:val="003762FC"/>
    <w:rsid w:val="0037630B"/>
    <w:rsid w:val="003767E3"/>
    <w:rsid w:val="00376820"/>
    <w:rsid w:val="0037699E"/>
    <w:rsid w:val="00376A12"/>
    <w:rsid w:val="00376A5A"/>
    <w:rsid w:val="00376A78"/>
    <w:rsid w:val="00376B09"/>
    <w:rsid w:val="00376B66"/>
    <w:rsid w:val="00376B8B"/>
    <w:rsid w:val="00376C40"/>
    <w:rsid w:val="00376C8D"/>
    <w:rsid w:val="00376DE2"/>
    <w:rsid w:val="00376E0D"/>
    <w:rsid w:val="00376E1A"/>
    <w:rsid w:val="00376F05"/>
    <w:rsid w:val="00377042"/>
    <w:rsid w:val="00377074"/>
    <w:rsid w:val="003770AF"/>
    <w:rsid w:val="003770EF"/>
    <w:rsid w:val="00377108"/>
    <w:rsid w:val="00377126"/>
    <w:rsid w:val="00377279"/>
    <w:rsid w:val="0037729F"/>
    <w:rsid w:val="003772A5"/>
    <w:rsid w:val="00377369"/>
    <w:rsid w:val="00377632"/>
    <w:rsid w:val="00377653"/>
    <w:rsid w:val="003776B3"/>
    <w:rsid w:val="0037773F"/>
    <w:rsid w:val="0037788E"/>
    <w:rsid w:val="003778DB"/>
    <w:rsid w:val="00377951"/>
    <w:rsid w:val="00377A29"/>
    <w:rsid w:val="00377A5F"/>
    <w:rsid w:val="00377AA9"/>
    <w:rsid w:val="00377D10"/>
    <w:rsid w:val="00377D78"/>
    <w:rsid w:val="003800C8"/>
    <w:rsid w:val="003800D1"/>
    <w:rsid w:val="003801FF"/>
    <w:rsid w:val="0038020F"/>
    <w:rsid w:val="0038031C"/>
    <w:rsid w:val="0038038F"/>
    <w:rsid w:val="00380524"/>
    <w:rsid w:val="0038056E"/>
    <w:rsid w:val="00380572"/>
    <w:rsid w:val="0038058C"/>
    <w:rsid w:val="003806E4"/>
    <w:rsid w:val="00380761"/>
    <w:rsid w:val="00380766"/>
    <w:rsid w:val="003807AA"/>
    <w:rsid w:val="003808AD"/>
    <w:rsid w:val="0038096B"/>
    <w:rsid w:val="00380992"/>
    <w:rsid w:val="00380A9B"/>
    <w:rsid w:val="00380A9F"/>
    <w:rsid w:val="00380C45"/>
    <w:rsid w:val="00380CEE"/>
    <w:rsid w:val="00380D88"/>
    <w:rsid w:val="00380DDC"/>
    <w:rsid w:val="00380DE4"/>
    <w:rsid w:val="00380E2B"/>
    <w:rsid w:val="00380EDB"/>
    <w:rsid w:val="00380F5A"/>
    <w:rsid w:val="00380FAA"/>
    <w:rsid w:val="00380FE9"/>
    <w:rsid w:val="003810CE"/>
    <w:rsid w:val="003810DF"/>
    <w:rsid w:val="003810E6"/>
    <w:rsid w:val="00381277"/>
    <w:rsid w:val="0038129E"/>
    <w:rsid w:val="003813ED"/>
    <w:rsid w:val="00381433"/>
    <w:rsid w:val="003814F0"/>
    <w:rsid w:val="00381563"/>
    <w:rsid w:val="00381578"/>
    <w:rsid w:val="00381656"/>
    <w:rsid w:val="0038171A"/>
    <w:rsid w:val="00381835"/>
    <w:rsid w:val="003818A3"/>
    <w:rsid w:val="00381978"/>
    <w:rsid w:val="0038198A"/>
    <w:rsid w:val="0038199A"/>
    <w:rsid w:val="00381CA3"/>
    <w:rsid w:val="00381CEF"/>
    <w:rsid w:val="00381D14"/>
    <w:rsid w:val="00381D39"/>
    <w:rsid w:val="00381D89"/>
    <w:rsid w:val="00381DBD"/>
    <w:rsid w:val="00381E32"/>
    <w:rsid w:val="003820E4"/>
    <w:rsid w:val="003820F0"/>
    <w:rsid w:val="003822BD"/>
    <w:rsid w:val="003822BE"/>
    <w:rsid w:val="0038230B"/>
    <w:rsid w:val="00382427"/>
    <w:rsid w:val="00382535"/>
    <w:rsid w:val="0038254B"/>
    <w:rsid w:val="00382798"/>
    <w:rsid w:val="003827B3"/>
    <w:rsid w:val="00382804"/>
    <w:rsid w:val="0038290B"/>
    <w:rsid w:val="00382935"/>
    <w:rsid w:val="00382B5D"/>
    <w:rsid w:val="00382CF0"/>
    <w:rsid w:val="00382D16"/>
    <w:rsid w:val="00382D76"/>
    <w:rsid w:val="00382DB3"/>
    <w:rsid w:val="00382F60"/>
    <w:rsid w:val="0038311C"/>
    <w:rsid w:val="003831FB"/>
    <w:rsid w:val="00383242"/>
    <w:rsid w:val="003832D9"/>
    <w:rsid w:val="003832E3"/>
    <w:rsid w:val="003832F5"/>
    <w:rsid w:val="003832FA"/>
    <w:rsid w:val="0038335D"/>
    <w:rsid w:val="003833F0"/>
    <w:rsid w:val="003835AD"/>
    <w:rsid w:val="0038362E"/>
    <w:rsid w:val="00383695"/>
    <w:rsid w:val="003836C8"/>
    <w:rsid w:val="0038371C"/>
    <w:rsid w:val="00383864"/>
    <w:rsid w:val="003839D7"/>
    <w:rsid w:val="00383A26"/>
    <w:rsid w:val="00383B3F"/>
    <w:rsid w:val="00383B47"/>
    <w:rsid w:val="00383B56"/>
    <w:rsid w:val="00383E96"/>
    <w:rsid w:val="00383E97"/>
    <w:rsid w:val="00383EBA"/>
    <w:rsid w:val="00384060"/>
    <w:rsid w:val="003840F6"/>
    <w:rsid w:val="0038429B"/>
    <w:rsid w:val="003843EE"/>
    <w:rsid w:val="0038456B"/>
    <w:rsid w:val="00384620"/>
    <w:rsid w:val="00384786"/>
    <w:rsid w:val="00384808"/>
    <w:rsid w:val="00384AAA"/>
    <w:rsid w:val="00384AD2"/>
    <w:rsid w:val="00384AE8"/>
    <w:rsid w:val="00384B72"/>
    <w:rsid w:val="00384BE1"/>
    <w:rsid w:val="00384CBD"/>
    <w:rsid w:val="00384DA0"/>
    <w:rsid w:val="00384E66"/>
    <w:rsid w:val="00384ECE"/>
    <w:rsid w:val="00384FA2"/>
    <w:rsid w:val="00385077"/>
    <w:rsid w:val="0038507B"/>
    <w:rsid w:val="0038513D"/>
    <w:rsid w:val="0038518C"/>
    <w:rsid w:val="003851B9"/>
    <w:rsid w:val="00385202"/>
    <w:rsid w:val="0038522B"/>
    <w:rsid w:val="003852FC"/>
    <w:rsid w:val="003854B6"/>
    <w:rsid w:val="003855CC"/>
    <w:rsid w:val="0038564F"/>
    <w:rsid w:val="00385671"/>
    <w:rsid w:val="003856F8"/>
    <w:rsid w:val="0038574F"/>
    <w:rsid w:val="003857FF"/>
    <w:rsid w:val="003858DA"/>
    <w:rsid w:val="00385942"/>
    <w:rsid w:val="00385948"/>
    <w:rsid w:val="00385DB6"/>
    <w:rsid w:val="00385E0C"/>
    <w:rsid w:val="00385E95"/>
    <w:rsid w:val="00385E9C"/>
    <w:rsid w:val="00385F5D"/>
    <w:rsid w:val="0038602E"/>
    <w:rsid w:val="00386034"/>
    <w:rsid w:val="00386035"/>
    <w:rsid w:val="0038612D"/>
    <w:rsid w:val="0038629F"/>
    <w:rsid w:val="003862EC"/>
    <w:rsid w:val="00386414"/>
    <w:rsid w:val="003864FF"/>
    <w:rsid w:val="00386590"/>
    <w:rsid w:val="003865BA"/>
    <w:rsid w:val="003866F7"/>
    <w:rsid w:val="00386762"/>
    <w:rsid w:val="003867DC"/>
    <w:rsid w:val="00386843"/>
    <w:rsid w:val="003868E8"/>
    <w:rsid w:val="00386A85"/>
    <w:rsid w:val="00386ADC"/>
    <w:rsid w:val="00386B05"/>
    <w:rsid w:val="00386D44"/>
    <w:rsid w:val="00386D53"/>
    <w:rsid w:val="0038708D"/>
    <w:rsid w:val="003870BC"/>
    <w:rsid w:val="003873DD"/>
    <w:rsid w:val="0038749E"/>
    <w:rsid w:val="0038786A"/>
    <w:rsid w:val="00387C20"/>
    <w:rsid w:val="00387E0D"/>
    <w:rsid w:val="00387E71"/>
    <w:rsid w:val="00387F0C"/>
    <w:rsid w:val="0039004C"/>
    <w:rsid w:val="003900FE"/>
    <w:rsid w:val="0039010E"/>
    <w:rsid w:val="0039032B"/>
    <w:rsid w:val="003904A7"/>
    <w:rsid w:val="003904AC"/>
    <w:rsid w:val="0039052A"/>
    <w:rsid w:val="00390548"/>
    <w:rsid w:val="00390588"/>
    <w:rsid w:val="003905F4"/>
    <w:rsid w:val="00390612"/>
    <w:rsid w:val="0039063C"/>
    <w:rsid w:val="0039067B"/>
    <w:rsid w:val="00390683"/>
    <w:rsid w:val="00390696"/>
    <w:rsid w:val="00390931"/>
    <w:rsid w:val="00390969"/>
    <w:rsid w:val="00390993"/>
    <w:rsid w:val="00390A48"/>
    <w:rsid w:val="00390A86"/>
    <w:rsid w:val="00390AAF"/>
    <w:rsid w:val="00390B6A"/>
    <w:rsid w:val="00390BCD"/>
    <w:rsid w:val="00390E0A"/>
    <w:rsid w:val="00390F70"/>
    <w:rsid w:val="00390F77"/>
    <w:rsid w:val="00390FDE"/>
    <w:rsid w:val="00391151"/>
    <w:rsid w:val="003913A2"/>
    <w:rsid w:val="003913FF"/>
    <w:rsid w:val="003915D9"/>
    <w:rsid w:val="003916EE"/>
    <w:rsid w:val="0039179E"/>
    <w:rsid w:val="00391800"/>
    <w:rsid w:val="0039197F"/>
    <w:rsid w:val="00391A0B"/>
    <w:rsid w:val="00391A60"/>
    <w:rsid w:val="00391AB4"/>
    <w:rsid w:val="00391AF4"/>
    <w:rsid w:val="00391C70"/>
    <w:rsid w:val="00391CE9"/>
    <w:rsid w:val="00391E5F"/>
    <w:rsid w:val="00391F99"/>
    <w:rsid w:val="00392034"/>
    <w:rsid w:val="0039216A"/>
    <w:rsid w:val="0039222C"/>
    <w:rsid w:val="00392261"/>
    <w:rsid w:val="0039226A"/>
    <w:rsid w:val="003922A4"/>
    <w:rsid w:val="003922DC"/>
    <w:rsid w:val="00392337"/>
    <w:rsid w:val="00392393"/>
    <w:rsid w:val="0039252B"/>
    <w:rsid w:val="00392607"/>
    <w:rsid w:val="00392678"/>
    <w:rsid w:val="0039274D"/>
    <w:rsid w:val="00392A00"/>
    <w:rsid w:val="00392C87"/>
    <w:rsid w:val="00392CBA"/>
    <w:rsid w:val="00392D27"/>
    <w:rsid w:val="00392E35"/>
    <w:rsid w:val="00392F9A"/>
    <w:rsid w:val="00392FC6"/>
    <w:rsid w:val="00393159"/>
    <w:rsid w:val="0039330B"/>
    <w:rsid w:val="0039333F"/>
    <w:rsid w:val="00393441"/>
    <w:rsid w:val="00393608"/>
    <w:rsid w:val="00393682"/>
    <w:rsid w:val="003936E4"/>
    <w:rsid w:val="00393719"/>
    <w:rsid w:val="0039380B"/>
    <w:rsid w:val="00393893"/>
    <w:rsid w:val="00393947"/>
    <w:rsid w:val="003939EA"/>
    <w:rsid w:val="00393A0A"/>
    <w:rsid w:val="00393B05"/>
    <w:rsid w:val="00393B60"/>
    <w:rsid w:val="00393B69"/>
    <w:rsid w:val="00393B9A"/>
    <w:rsid w:val="00393C03"/>
    <w:rsid w:val="00393C54"/>
    <w:rsid w:val="00393D55"/>
    <w:rsid w:val="00393D8E"/>
    <w:rsid w:val="00393E24"/>
    <w:rsid w:val="00393E93"/>
    <w:rsid w:val="00393E9C"/>
    <w:rsid w:val="0039406B"/>
    <w:rsid w:val="003940DF"/>
    <w:rsid w:val="003940E1"/>
    <w:rsid w:val="00394292"/>
    <w:rsid w:val="003942C3"/>
    <w:rsid w:val="003942D3"/>
    <w:rsid w:val="00394409"/>
    <w:rsid w:val="003944C7"/>
    <w:rsid w:val="003946CD"/>
    <w:rsid w:val="00394721"/>
    <w:rsid w:val="003947CB"/>
    <w:rsid w:val="0039496E"/>
    <w:rsid w:val="00394A16"/>
    <w:rsid w:val="00394A95"/>
    <w:rsid w:val="00394B10"/>
    <w:rsid w:val="00394BBA"/>
    <w:rsid w:val="00394D89"/>
    <w:rsid w:val="00394DF4"/>
    <w:rsid w:val="00394E18"/>
    <w:rsid w:val="00394F4C"/>
    <w:rsid w:val="00394FD4"/>
    <w:rsid w:val="0039509F"/>
    <w:rsid w:val="003950D2"/>
    <w:rsid w:val="00395141"/>
    <w:rsid w:val="00395171"/>
    <w:rsid w:val="00395273"/>
    <w:rsid w:val="00395278"/>
    <w:rsid w:val="0039541B"/>
    <w:rsid w:val="003954A9"/>
    <w:rsid w:val="00395522"/>
    <w:rsid w:val="00395581"/>
    <w:rsid w:val="00395794"/>
    <w:rsid w:val="00395830"/>
    <w:rsid w:val="00395881"/>
    <w:rsid w:val="00395952"/>
    <w:rsid w:val="00395AB8"/>
    <w:rsid w:val="00395AC1"/>
    <w:rsid w:val="00395B10"/>
    <w:rsid w:val="00395C90"/>
    <w:rsid w:val="00395C9C"/>
    <w:rsid w:val="00395D00"/>
    <w:rsid w:val="00395E1C"/>
    <w:rsid w:val="0039602F"/>
    <w:rsid w:val="0039611C"/>
    <w:rsid w:val="00396183"/>
    <w:rsid w:val="0039621B"/>
    <w:rsid w:val="0039638A"/>
    <w:rsid w:val="0039648E"/>
    <w:rsid w:val="00396643"/>
    <w:rsid w:val="0039669F"/>
    <w:rsid w:val="0039687E"/>
    <w:rsid w:val="00396915"/>
    <w:rsid w:val="0039695C"/>
    <w:rsid w:val="00396996"/>
    <w:rsid w:val="00396BE3"/>
    <w:rsid w:val="00396C10"/>
    <w:rsid w:val="00396D56"/>
    <w:rsid w:val="00396DD7"/>
    <w:rsid w:val="00396DF7"/>
    <w:rsid w:val="00396E0F"/>
    <w:rsid w:val="00396EA4"/>
    <w:rsid w:val="00397059"/>
    <w:rsid w:val="00397212"/>
    <w:rsid w:val="00397259"/>
    <w:rsid w:val="003972B9"/>
    <w:rsid w:val="003973FA"/>
    <w:rsid w:val="0039743F"/>
    <w:rsid w:val="0039765E"/>
    <w:rsid w:val="0039767F"/>
    <w:rsid w:val="00397701"/>
    <w:rsid w:val="003977B5"/>
    <w:rsid w:val="00397914"/>
    <w:rsid w:val="00397AAD"/>
    <w:rsid w:val="00397B01"/>
    <w:rsid w:val="00397C79"/>
    <w:rsid w:val="00397D06"/>
    <w:rsid w:val="00397D54"/>
    <w:rsid w:val="00397E8D"/>
    <w:rsid w:val="00397F74"/>
    <w:rsid w:val="00397FEB"/>
    <w:rsid w:val="003A0051"/>
    <w:rsid w:val="003A00C2"/>
    <w:rsid w:val="003A010F"/>
    <w:rsid w:val="003A023B"/>
    <w:rsid w:val="003A02B5"/>
    <w:rsid w:val="003A02F4"/>
    <w:rsid w:val="003A036F"/>
    <w:rsid w:val="003A03C3"/>
    <w:rsid w:val="003A03EA"/>
    <w:rsid w:val="003A04DA"/>
    <w:rsid w:val="003A05C4"/>
    <w:rsid w:val="003A064C"/>
    <w:rsid w:val="003A068D"/>
    <w:rsid w:val="003A06FE"/>
    <w:rsid w:val="003A075E"/>
    <w:rsid w:val="003A094D"/>
    <w:rsid w:val="003A09F8"/>
    <w:rsid w:val="003A0C36"/>
    <w:rsid w:val="003A0CB1"/>
    <w:rsid w:val="003A0D67"/>
    <w:rsid w:val="003A0DBC"/>
    <w:rsid w:val="003A0E06"/>
    <w:rsid w:val="003A0EF8"/>
    <w:rsid w:val="003A0F77"/>
    <w:rsid w:val="003A0FDA"/>
    <w:rsid w:val="003A104E"/>
    <w:rsid w:val="003A14F2"/>
    <w:rsid w:val="003A155A"/>
    <w:rsid w:val="003A165B"/>
    <w:rsid w:val="003A1694"/>
    <w:rsid w:val="003A1695"/>
    <w:rsid w:val="003A178A"/>
    <w:rsid w:val="003A178C"/>
    <w:rsid w:val="003A1860"/>
    <w:rsid w:val="003A195E"/>
    <w:rsid w:val="003A1A61"/>
    <w:rsid w:val="003A1AAB"/>
    <w:rsid w:val="003A1B10"/>
    <w:rsid w:val="003A1C35"/>
    <w:rsid w:val="003A1E7E"/>
    <w:rsid w:val="003A1EF0"/>
    <w:rsid w:val="003A1FA2"/>
    <w:rsid w:val="003A201E"/>
    <w:rsid w:val="003A209C"/>
    <w:rsid w:val="003A2243"/>
    <w:rsid w:val="003A2349"/>
    <w:rsid w:val="003A2488"/>
    <w:rsid w:val="003A24DB"/>
    <w:rsid w:val="003A25C1"/>
    <w:rsid w:val="003A2653"/>
    <w:rsid w:val="003A2729"/>
    <w:rsid w:val="003A27D4"/>
    <w:rsid w:val="003A297A"/>
    <w:rsid w:val="003A2996"/>
    <w:rsid w:val="003A29F8"/>
    <w:rsid w:val="003A2A1B"/>
    <w:rsid w:val="003A2A1E"/>
    <w:rsid w:val="003A2A8C"/>
    <w:rsid w:val="003A2AE0"/>
    <w:rsid w:val="003A2C52"/>
    <w:rsid w:val="003A2CAB"/>
    <w:rsid w:val="003A2EF5"/>
    <w:rsid w:val="003A2F62"/>
    <w:rsid w:val="003A31E7"/>
    <w:rsid w:val="003A3205"/>
    <w:rsid w:val="003A322F"/>
    <w:rsid w:val="003A3387"/>
    <w:rsid w:val="003A33DE"/>
    <w:rsid w:val="003A33FD"/>
    <w:rsid w:val="003A34DC"/>
    <w:rsid w:val="003A3544"/>
    <w:rsid w:val="003A358B"/>
    <w:rsid w:val="003A35D3"/>
    <w:rsid w:val="003A35FE"/>
    <w:rsid w:val="003A3606"/>
    <w:rsid w:val="003A3676"/>
    <w:rsid w:val="003A36A8"/>
    <w:rsid w:val="003A383E"/>
    <w:rsid w:val="003A38D9"/>
    <w:rsid w:val="003A398B"/>
    <w:rsid w:val="003A3992"/>
    <w:rsid w:val="003A3CA3"/>
    <w:rsid w:val="003A3D58"/>
    <w:rsid w:val="003A3DC1"/>
    <w:rsid w:val="003A3E62"/>
    <w:rsid w:val="003A3FB3"/>
    <w:rsid w:val="003A4039"/>
    <w:rsid w:val="003A4249"/>
    <w:rsid w:val="003A42CD"/>
    <w:rsid w:val="003A4350"/>
    <w:rsid w:val="003A435E"/>
    <w:rsid w:val="003A43BC"/>
    <w:rsid w:val="003A443D"/>
    <w:rsid w:val="003A4472"/>
    <w:rsid w:val="003A44D7"/>
    <w:rsid w:val="003A451B"/>
    <w:rsid w:val="003A4556"/>
    <w:rsid w:val="003A45BA"/>
    <w:rsid w:val="003A462C"/>
    <w:rsid w:val="003A4633"/>
    <w:rsid w:val="003A464B"/>
    <w:rsid w:val="003A46A5"/>
    <w:rsid w:val="003A46BB"/>
    <w:rsid w:val="003A46C9"/>
    <w:rsid w:val="003A46CC"/>
    <w:rsid w:val="003A46EF"/>
    <w:rsid w:val="003A483C"/>
    <w:rsid w:val="003A48A2"/>
    <w:rsid w:val="003A48F2"/>
    <w:rsid w:val="003A49A4"/>
    <w:rsid w:val="003A4A1C"/>
    <w:rsid w:val="003A4A50"/>
    <w:rsid w:val="003A4B45"/>
    <w:rsid w:val="003A4C49"/>
    <w:rsid w:val="003A4D2F"/>
    <w:rsid w:val="003A4DC1"/>
    <w:rsid w:val="003A4F41"/>
    <w:rsid w:val="003A4F77"/>
    <w:rsid w:val="003A4F79"/>
    <w:rsid w:val="003A4F96"/>
    <w:rsid w:val="003A4FB8"/>
    <w:rsid w:val="003A4FC9"/>
    <w:rsid w:val="003A4FF6"/>
    <w:rsid w:val="003A506B"/>
    <w:rsid w:val="003A506D"/>
    <w:rsid w:val="003A508A"/>
    <w:rsid w:val="003A5116"/>
    <w:rsid w:val="003A521D"/>
    <w:rsid w:val="003A52EA"/>
    <w:rsid w:val="003A5341"/>
    <w:rsid w:val="003A53F8"/>
    <w:rsid w:val="003A5443"/>
    <w:rsid w:val="003A5493"/>
    <w:rsid w:val="003A55AD"/>
    <w:rsid w:val="003A5682"/>
    <w:rsid w:val="003A5697"/>
    <w:rsid w:val="003A56B3"/>
    <w:rsid w:val="003A56DF"/>
    <w:rsid w:val="003A5759"/>
    <w:rsid w:val="003A5795"/>
    <w:rsid w:val="003A57A4"/>
    <w:rsid w:val="003A5904"/>
    <w:rsid w:val="003A5C20"/>
    <w:rsid w:val="003A5D0D"/>
    <w:rsid w:val="003A5E16"/>
    <w:rsid w:val="003A5E4A"/>
    <w:rsid w:val="003A5F39"/>
    <w:rsid w:val="003A5F5C"/>
    <w:rsid w:val="003A609F"/>
    <w:rsid w:val="003A60FC"/>
    <w:rsid w:val="003A618A"/>
    <w:rsid w:val="003A6267"/>
    <w:rsid w:val="003A62B0"/>
    <w:rsid w:val="003A62D8"/>
    <w:rsid w:val="003A62EB"/>
    <w:rsid w:val="003A6315"/>
    <w:rsid w:val="003A639F"/>
    <w:rsid w:val="003A64B8"/>
    <w:rsid w:val="003A6590"/>
    <w:rsid w:val="003A6639"/>
    <w:rsid w:val="003A6760"/>
    <w:rsid w:val="003A6768"/>
    <w:rsid w:val="003A680F"/>
    <w:rsid w:val="003A6922"/>
    <w:rsid w:val="003A6B3B"/>
    <w:rsid w:val="003A6BA4"/>
    <w:rsid w:val="003A6BEF"/>
    <w:rsid w:val="003A6C94"/>
    <w:rsid w:val="003A6D74"/>
    <w:rsid w:val="003A6FB4"/>
    <w:rsid w:val="003A7038"/>
    <w:rsid w:val="003A70B9"/>
    <w:rsid w:val="003A70D4"/>
    <w:rsid w:val="003A70F4"/>
    <w:rsid w:val="003A7364"/>
    <w:rsid w:val="003A7411"/>
    <w:rsid w:val="003A757B"/>
    <w:rsid w:val="003A75B1"/>
    <w:rsid w:val="003A7600"/>
    <w:rsid w:val="003A76DD"/>
    <w:rsid w:val="003A7788"/>
    <w:rsid w:val="003A77C5"/>
    <w:rsid w:val="003A784D"/>
    <w:rsid w:val="003A7953"/>
    <w:rsid w:val="003A7A98"/>
    <w:rsid w:val="003A7BA2"/>
    <w:rsid w:val="003A7BA4"/>
    <w:rsid w:val="003A7BD6"/>
    <w:rsid w:val="003A7C9B"/>
    <w:rsid w:val="003A7DFB"/>
    <w:rsid w:val="003A7DFF"/>
    <w:rsid w:val="003A7E3B"/>
    <w:rsid w:val="003A7E67"/>
    <w:rsid w:val="003A7EEF"/>
    <w:rsid w:val="003A7FA9"/>
    <w:rsid w:val="003A7FDC"/>
    <w:rsid w:val="003B0003"/>
    <w:rsid w:val="003B014A"/>
    <w:rsid w:val="003B0154"/>
    <w:rsid w:val="003B02B0"/>
    <w:rsid w:val="003B02D2"/>
    <w:rsid w:val="003B02DB"/>
    <w:rsid w:val="003B0432"/>
    <w:rsid w:val="003B0491"/>
    <w:rsid w:val="003B06F6"/>
    <w:rsid w:val="003B0789"/>
    <w:rsid w:val="003B0795"/>
    <w:rsid w:val="003B07F4"/>
    <w:rsid w:val="003B08EB"/>
    <w:rsid w:val="003B091B"/>
    <w:rsid w:val="003B0946"/>
    <w:rsid w:val="003B09C8"/>
    <w:rsid w:val="003B0A1E"/>
    <w:rsid w:val="003B0A20"/>
    <w:rsid w:val="003B0AD1"/>
    <w:rsid w:val="003B0AFE"/>
    <w:rsid w:val="003B0B32"/>
    <w:rsid w:val="003B0B8B"/>
    <w:rsid w:val="003B0BF3"/>
    <w:rsid w:val="003B0D44"/>
    <w:rsid w:val="003B0D84"/>
    <w:rsid w:val="003B0DDF"/>
    <w:rsid w:val="003B0DEA"/>
    <w:rsid w:val="003B0E73"/>
    <w:rsid w:val="003B0EB2"/>
    <w:rsid w:val="003B0F79"/>
    <w:rsid w:val="003B0FDE"/>
    <w:rsid w:val="003B12E2"/>
    <w:rsid w:val="003B1458"/>
    <w:rsid w:val="003B1689"/>
    <w:rsid w:val="003B17B9"/>
    <w:rsid w:val="003B17EE"/>
    <w:rsid w:val="003B18A1"/>
    <w:rsid w:val="003B1976"/>
    <w:rsid w:val="003B1B22"/>
    <w:rsid w:val="003B1B24"/>
    <w:rsid w:val="003B1CAD"/>
    <w:rsid w:val="003B1D57"/>
    <w:rsid w:val="003B1E4E"/>
    <w:rsid w:val="003B20B2"/>
    <w:rsid w:val="003B2152"/>
    <w:rsid w:val="003B215A"/>
    <w:rsid w:val="003B217E"/>
    <w:rsid w:val="003B222D"/>
    <w:rsid w:val="003B23D6"/>
    <w:rsid w:val="003B242F"/>
    <w:rsid w:val="003B24E9"/>
    <w:rsid w:val="003B26B4"/>
    <w:rsid w:val="003B27FD"/>
    <w:rsid w:val="003B2879"/>
    <w:rsid w:val="003B2881"/>
    <w:rsid w:val="003B290D"/>
    <w:rsid w:val="003B292A"/>
    <w:rsid w:val="003B2A79"/>
    <w:rsid w:val="003B2B61"/>
    <w:rsid w:val="003B2B63"/>
    <w:rsid w:val="003B2C22"/>
    <w:rsid w:val="003B2C4F"/>
    <w:rsid w:val="003B2D9D"/>
    <w:rsid w:val="003B2E1E"/>
    <w:rsid w:val="003B2F23"/>
    <w:rsid w:val="003B2F26"/>
    <w:rsid w:val="003B2F29"/>
    <w:rsid w:val="003B2FD9"/>
    <w:rsid w:val="003B2FE2"/>
    <w:rsid w:val="003B2FEC"/>
    <w:rsid w:val="003B2FF2"/>
    <w:rsid w:val="003B3148"/>
    <w:rsid w:val="003B31D8"/>
    <w:rsid w:val="003B3214"/>
    <w:rsid w:val="003B324A"/>
    <w:rsid w:val="003B3261"/>
    <w:rsid w:val="003B33CE"/>
    <w:rsid w:val="003B3500"/>
    <w:rsid w:val="003B35D8"/>
    <w:rsid w:val="003B35E0"/>
    <w:rsid w:val="003B35FC"/>
    <w:rsid w:val="003B36F9"/>
    <w:rsid w:val="003B3752"/>
    <w:rsid w:val="003B3776"/>
    <w:rsid w:val="003B379A"/>
    <w:rsid w:val="003B37B4"/>
    <w:rsid w:val="003B380F"/>
    <w:rsid w:val="003B396E"/>
    <w:rsid w:val="003B3BC5"/>
    <w:rsid w:val="003B3CD6"/>
    <w:rsid w:val="003B3D8F"/>
    <w:rsid w:val="003B3FC1"/>
    <w:rsid w:val="003B403A"/>
    <w:rsid w:val="003B40DF"/>
    <w:rsid w:val="003B4149"/>
    <w:rsid w:val="003B4181"/>
    <w:rsid w:val="003B43E6"/>
    <w:rsid w:val="003B4485"/>
    <w:rsid w:val="003B44B3"/>
    <w:rsid w:val="003B44C3"/>
    <w:rsid w:val="003B45DB"/>
    <w:rsid w:val="003B467B"/>
    <w:rsid w:val="003B46C6"/>
    <w:rsid w:val="003B4886"/>
    <w:rsid w:val="003B48DD"/>
    <w:rsid w:val="003B492E"/>
    <w:rsid w:val="003B49CD"/>
    <w:rsid w:val="003B4D82"/>
    <w:rsid w:val="003B4E30"/>
    <w:rsid w:val="003B4E6D"/>
    <w:rsid w:val="003B4F36"/>
    <w:rsid w:val="003B50A7"/>
    <w:rsid w:val="003B517E"/>
    <w:rsid w:val="003B518B"/>
    <w:rsid w:val="003B51EA"/>
    <w:rsid w:val="003B5285"/>
    <w:rsid w:val="003B528F"/>
    <w:rsid w:val="003B52BA"/>
    <w:rsid w:val="003B53D0"/>
    <w:rsid w:val="003B5426"/>
    <w:rsid w:val="003B5537"/>
    <w:rsid w:val="003B5724"/>
    <w:rsid w:val="003B5848"/>
    <w:rsid w:val="003B5891"/>
    <w:rsid w:val="003B5A64"/>
    <w:rsid w:val="003B5AA3"/>
    <w:rsid w:val="003B5C7B"/>
    <w:rsid w:val="003B5C82"/>
    <w:rsid w:val="003B5CA2"/>
    <w:rsid w:val="003B5D97"/>
    <w:rsid w:val="003B5DC9"/>
    <w:rsid w:val="003B5E32"/>
    <w:rsid w:val="003B5E71"/>
    <w:rsid w:val="003B5FB5"/>
    <w:rsid w:val="003B60B6"/>
    <w:rsid w:val="003B60DC"/>
    <w:rsid w:val="003B6215"/>
    <w:rsid w:val="003B640F"/>
    <w:rsid w:val="003B6484"/>
    <w:rsid w:val="003B652C"/>
    <w:rsid w:val="003B6655"/>
    <w:rsid w:val="003B66DC"/>
    <w:rsid w:val="003B673D"/>
    <w:rsid w:val="003B68B9"/>
    <w:rsid w:val="003B68DA"/>
    <w:rsid w:val="003B68EB"/>
    <w:rsid w:val="003B692E"/>
    <w:rsid w:val="003B6BF5"/>
    <w:rsid w:val="003B6C58"/>
    <w:rsid w:val="003B6D19"/>
    <w:rsid w:val="003B6F52"/>
    <w:rsid w:val="003B7030"/>
    <w:rsid w:val="003B7043"/>
    <w:rsid w:val="003B70AE"/>
    <w:rsid w:val="003B71FC"/>
    <w:rsid w:val="003B73C2"/>
    <w:rsid w:val="003B742E"/>
    <w:rsid w:val="003B7497"/>
    <w:rsid w:val="003B750F"/>
    <w:rsid w:val="003B759B"/>
    <w:rsid w:val="003B75B3"/>
    <w:rsid w:val="003B76E6"/>
    <w:rsid w:val="003B782C"/>
    <w:rsid w:val="003B7836"/>
    <w:rsid w:val="003B7937"/>
    <w:rsid w:val="003B7964"/>
    <w:rsid w:val="003B7A76"/>
    <w:rsid w:val="003B7C03"/>
    <w:rsid w:val="003B7C50"/>
    <w:rsid w:val="003B7C92"/>
    <w:rsid w:val="003B7CBB"/>
    <w:rsid w:val="003B7CD9"/>
    <w:rsid w:val="003B7DCC"/>
    <w:rsid w:val="003B7F44"/>
    <w:rsid w:val="003B7FB5"/>
    <w:rsid w:val="003C01A4"/>
    <w:rsid w:val="003C020F"/>
    <w:rsid w:val="003C03F3"/>
    <w:rsid w:val="003C0691"/>
    <w:rsid w:val="003C06B6"/>
    <w:rsid w:val="003C0708"/>
    <w:rsid w:val="003C072C"/>
    <w:rsid w:val="003C075E"/>
    <w:rsid w:val="003C077A"/>
    <w:rsid w:val="003C0894"/>
    <w:rsid w:val="003C094A"/>
    <w:rsid w:val="003C0A52"/>
    <w:rsid w:val="003C0AEE"/>
    <w:rsid w:val="003C0B2D"/>
    <w:rsid w:val="003C0C5E"/>
    <w:rsid w:val="003C0C9F"/>
    <w:rsid w:val="003C0F17"/>
    <w:rsid w:val="003C0FE9"/>
    <w:rsid w:val="003C1034"/>
    <w:rsid w:val="003C1049"/>
    <w:rsid w:val="003C10AE"/>
    <w:rsid w:val="003C10F8"/>
    <w:rsid w:val="003C1192"/>
    <w:rsid w:val="003C1347"/>
    <w:rsid w:val="003C13BB"/>
    <w:rsid w:val="003C1443"/>
    <w:rsid w:val="003C155E"/>
    <w:rsid w:val="003C1671"/>
    <w:rsid w:val="003C167F"/>
    <w:rsid w:val="003C16CC"/>
    <w:rsid w:val="003C170F"/>
    <w:rsid w:val="003C17B1"/>
    <w:rsid w:val="003C1880"/>
    <w:rsid w:val="003C18B7"/>
    <w:rsid w:val="003C1941"/>
    <w:rsid w:val="003C1951"/>
    <w:rsid w:val="003C1982"/>
    <w:rsid w:val="003C1A3F"/>
    <w:rsid w:val="003C1ACD"/>
    <w:rsid w:val="003C1B05"/>
    <w:rsid w:val="003C1B9D"/>
    <w:rsid w:val="003C1BBF"/>
    <w:rsid w:val="003C1BEB"/>
    <w:rsid w:val="003C1D12"/>
    <w:rsid w:val="003C1DAE"/>
    <w:rsid w:val="003C1DC0"/>
    <w:rsid w:val="003C2041"/>
    <w:rsid w:val="003C21EA"/>
    <w:rsid w:val="003C221A"/>
    <w:rsid w:val="003C2230"/>
    <w:rsid w:val="003C2400"/>
    <w:rsid w:val="003C26C9"/>
    <w:rsid w:val="003C26D5"/>
    <w:rsid w:val="003C272A"/>
    <w:rsid w:val="003C28CB"/>
    <w:rsid w:val="003C2913"/>
    <w:rsid w:val="003C2959"/>
    <w:rsid w:val="003C2B09"/>
    <w:rsid w:val="003C2B6A"/>
    <w:rsid w:val="003C2B90"/>
    <w:rsid w:val="003C2D0E"/>
    <w:rsid w:val="003C2D4A"/>
    <w:rsid w:val="003C2DFC"/>
    <w:rsid w:val="003C2E26"/>
    <w:rsid w:val="003C2E41"/>
    <w:rsid w:val="003C2E4B"/>
    <w:rsid w:val="003C30BB"/>
    <w:rsid w:val="003C322F"/>
    <w:rsid w:val="003C3266"/>
    <w:rsid w:val="003C3475"/>
    <w:rsid w:val="003C36A2"/>
    <w:rsid w:val="003C36BF"/>
    <w:rsid w:val="003C38DA"/>
    <w:rsid w:val="003C39FC"/>
    <w:rsid w:val="003C3AB9"/>
    <w:rsid w:val="003C3BCE"/>
    <w:rsid w:val="003C3C85"/>
    <w:rsid w:val="003C3DD1"/>
    <w:rsid w:val="003C3EF6"/>
    <w:rsid w:val="003C3FFB"/>
    <w:rsid w:val="003C4007"/>
    <w:rsid w:val="003C402B"/>
    <w:rsid w:val="003C4112"/>
    <w:rsid w:val="003C418D"/>
    <w:rsid w:val="003C4231"/>
    <w:rsid w:val="003C42A6"/>
    <w:rsid w:val="003C42B5"/>
    <w:rsid w:val="003C4995"/>
    <w:rsid w:val="003C4A23"/>
    <w:rsid w:val="003C4A4B"/>
    <w:rsid w:val="003C4B03"/>
    <w:rsid w:val="003C4B24"/>
    <w:rsid w:val="003C4B6B"/>
    <w:rsid w:val="003C4B94"/>
    <w:rsid w:val="003C4C51"/>
    <w:rsid w:val="003C4DF6"/>
    <w:rsid w:val="003C4E97"/>
    <w:rsid w:val="003C4EA0"/>
    <w:rsid w:val="003C4ED3"/>
    <w:rsid w:val="003C4F2D"/>
    <w:rsid w:val="003C4FA0"/>
    <w:rsid w:val="003C505A"/>
    <w:rsid w:val="003C5174"/>
    <w:rsid w:val="003C51BA"/>
    <w:rsid w:val="003C5218"/>
    <w:rsid w:val="003C52E8"/>
    <w:rsid w:val="003C5462"/>
    <w:rsid w:val="003C54C3"/>
    <w:rsid w:val="003C54C7"/>
    <w:rsid w:val="003C557C"/>
    <w:rsid w:val="003C55FB"/>
    <w:rsid w:val="003C55FE"/>
    <w:rsid w:val="003C5709"/>
    <w:rsid w:val="003C590B"/>
    <w:rsid w:val="003C593E"/>
    <w:rsid w:val="003C5AFC"/>
    <w:rsid w:val="003C5B14"/>
    <w:rsid w:val="003C5B79"/>
    <w:rsid w:val="003C5B9E"/>
    <w:rsid w:val="003C5C47"/>
    <w:rsid w:val="003C5D0D"/>
    <w:rsid w:val="003C5E50"/>
    <w:rsid w:val="003C5E6D"/>
    <w:rsid w:val="003C6007"/>
    <w:rsid w:val="003C6060"/>
    <w:rsid w:val="003C6136"/>
    <w:rsid w:val="003C615D"/>
    <w:rsid w:val="003C61BD"/>
    <w:rsid w:val="003C61E9"/>
    <w:rsid w:val="003C6210"/>
    <w:rsid w:val="003C6264"/>
    <w:rsid w:val="003C6425"/>
    <w:rsid w:val="003C64B8"/>
    <w:rsid w:val="003C6582"/>
    <w:rsid w:val="003C65C2"/>
    <w:rsid w:val="003C66B7"/>
    <w:rsid w:val="003C67CD"/>
    <w:rsid w:val="003C69E9"/>
    <w:rsid w:val="003C6A58"/>
    <w:rsid w:val="003C6A90"/>
    <w:rsid w:val="003C6AA3"/>
    <w:rsid w:val="003C6B22"/>
    <w:rsid w:val="003C6B3B"/>
    <w:rsid w:val="003C6B9D"/>
    <w:rsid w:val="003C6BEB"/>
    <w:rsid w:val="003C6BF8"/>
    <w:rsid w:val="003C6C71"/>
    <w:rsid w:val="003C6D4A"/>
    <w:rsid w:val="003C6DA3"/>
    <w:rsid w:val="003C6E09"/>
    <w:rsid w:val="003C6E6B"/>
    <w:rsid w:val="003C6EB4"/>
    <w:rsid w:val="003C6F16"/>
    <w:rsid w:val="003C6F63"/>
    <w:rsid w:val="003C6F6E"/>
    <w:rsid w:val="003C6F85"/>
    <w:rsid w:val="003C704D"/>
    <w:rsid w:val="003C709D"/>
    <w:rsid w:val="003C70AB"/>
    <w:rsid w:val="003C71DD"/>
    <w:rsid w:val="003C73B3"/>
    <w:rsid w:val="003C75CB"/>
    <w:rsid w:val="003C75D0"/>
    <w:rsid w:val="003C771C"/>
    <w:rsid w:val="003C77C7"/>
    <w:rsid w:val="003C77E5"/>
    <w:rsid w:val="003C77F2"/>
    <w:rsid w:val="003C793E"/>
    <w:rsid w:val="003C79BC"/>
    <w:rsid w:val="003C7A0B"/>
    <w:rsid w:val="003C7A37"/>
    <w:rsid w:val="003C7AF5"/>
    <w:rsid w:val="003C7B03"/>
    <w:rsid w:val="003C7B55"/>
    <w:rsid w:val="003C7B5D"/>
    <w:rsid w:val="003C7C28"/>
    <w:rsid w:val="003C7C4F"/>
    <w:rsid w:val="003C7EA1"/>
    <w:rsid w:val="003C7EC8"/>
    <w:rsid w:val="003C7F0E"/>
    <w:rsid w:val="003D0080"/>
    <w:rsid w:val="003D01C6"/>
    <w:rsid w:val="003D01EC"/>
    <w:rsid w:val="003D0270"/>
    <w:rsid w:val="003D0273"/>
    <w:rsid w:val="003D0287"/>
    <w:rsid w:val="003D02BC"/>
    <w:rsid w:val="003D03A9"/>
    <w:rsid w:val="003D0403"/>
    <w:rsid w:val="003D0503"/>
    <w:rsid w:val="003D056C"/>
    <w:rsid w:val="003D057B"/>
    <w:rsid w:val="003D05CD"/>
    <w:rsid w:val="003D0692"/>
    <w:rsid w:val="003D08B4"/>
    <w:rsid w:val="003D08D9"/>
    <w:rsid w:val="003D0931"/>
    <w:rsid w:val="003D0A87"/>
    <w:rsid w:val="003D0B7D"/>
    <w:rsid w:val="003D0C1C"/>
    <w:rsid w:val="003D0FC6"/>
    <w:rsid w:val="003D0FDE"/>
    <w:rsid w:val="003D1003"/>
    <w:rsid w:val="003D1042"/>
    <w:rsid w:val="003D10CB"/>
    <w:rsid w:val="003D1147"/>
    <w:rsid w:val="003D12E1"/>
    <w:rsid w:val="003D13ED"/>
    <w:rsid w:val="003D1424"/>
    <w:rsid w:val="003D1493"/>
    <w:rsid w:val="003D14B6"/>
    <w:rsid w:val="003D15D7"/>
    <w:rsid w:val="003D1658"/>
    <w:rsid w:val="003D185A"/>
    <w:rsid w:val="003D18C8"/>
    <w:rsid w:val="003D19C6"/>
    <w:rsid w:val="003D1A42"/>
    <w:rsid w:val="003D1A62"/>
    <w:rsid w:val="003D1AE8"/>
    <w:rsid w:val="003D1B2E"/>
    <w:rsid w:val="003D1B61"/>
    <w:rsid w:val="003D1C3F"/>
    <w:rsid w:val="003D1D7F"/>
    <w:rsid w:val="003D1DE6"/>
    <w:rsid w:val="003D1F37"/>
    <w:rsid w:val="003D1F60"/>
    <w:rsid w:val="003D2065"/>
    <w:rsid w:val="003D2192"/>
    <w:rsid w:val="003D219A"/>
    <w:rsid w:val="003D22BE"/>
    <w:rsid w:val="003D2341"/>
    <w:rsid w:val="003D240D"/>
    <w:rsid w:val="003D2425"/>
    <w:rsid w:val="003D2525"/>
    <w:rsid w:val="003D2571"/>
    <w:rsid w:val="003D258A"/>
    <w:rsid w:val="003D25FE"/>
    <w:rsid w:val="003D264D"/>
    <w:rsid w:val="003D26C1"/>
    <w:rsid w:val="003D279F"/>
    <w:rsid w:val="003D2842"/>
    <w:rsid w:val="003D2872"/>
    <w:rsid w:val="003D28D2"/>
    <w:rsid w:val="003D29DF"/>
    <w:rsid w:val="003D2B60"/>
    <w:rsid w:val="003D2C20"/>
    <w:rsid w:val="003D2C93"/>
    <w:rsid w:val="003D2D83"/>
    <w:rsid w:val="003D2D84"/>
    <w:rsid w:val="003D2F62"/>
    <w:rsid w:val="003D2F87"/>
    <w:rsid w:val="003D2FD9"/>
    <w:rsid w:val="003D2FF2"/>
    <w:rsid w:val="003D3059"/>
    <w:rsid w:val="003D305D"/>
    <w:rsid w:val="003D3123"/>
    <w:rsid w:val="003D3232"/>
    <w:rsid w:val="003D3268"/>
    <w:rsid w:val="003D32F1"/>
    <w:rsid w:val="003D33D5"/>
    <w:rsid w:val="003D3413"/>
    <w:rsid w:val="003D343D"/>
    <w:rsid w:val="003D3501"/>
    <w:rsid w:val="003D36C8"/>
    <w:rsid w:val="003D3837"/>
    <w:rsid w:val="003D38B4"/>
    <w:rsid w:val="003D3937"/>
    <w:rsid w:val="003D3978"/>
    <w:rsid w:val="003D3A2F"/>
    <w:rsid w:val="003D3B2F"/>
    <w:rsid w:val="003D3C2E"/>
    <w:rsid w:val="003D3CEA"/>
    <w:rsid w:val="003D3D61"/>
    <w:rsid w:val="003D3DC0"/>
    <w:rsid w:val="003D3E65"/>
    <w:rsid w:val="003D3E87"/>
    <w:rsid w:val="003D3EC5"/>
    <w:rsid w:val="003D3F22"/>
    <w:rsid w:val="003D3F65"/>
    <w:rsid w:val="003D3F69"/>
    <w:rsid w:val="003D4006"/>
    <w:rsid w:val="003D40F5"/>
    <w:rsid w:val="003D4149"/>
    <w:rsid w:val="003D41CF"/>
    <w:rsid w:val="003D429B"/>
    <w:rsid w:val="003D43F2"/>
    <w:rsid w:val="003D4461"/>
    <w:rsid w:val="003D4582"/>
    <w:rsid w:val="003D4641"/>
    <w:rsid w:val="003D46BD"/>
    <w:rsid w:val="003D472D"/>
    <w:rsid w:val="003D47E5"/>
    <w:rsid w:val="003D49A5"/>
    <w:rsid w:val="003D4AF6"/>
    <w:rsid w:val="003D4BA8"/>
    <w:rsid w:val="003D4C63"/>
    <w:rsid w:val="003D4C64"/>
    <w:rsid w:val="003D4E4A"/>
    <w:rsid w:val="003D4E4F"/>
    <w:rsid w:val="003D4E9C"/>
    <w:rsid w:val="003D4EED"/>
    <w:rsid w:val="003D4F9E"/>
    <w:rsid w:val="003D4FF2"/>
    <w:rsid w:val="003D502F"/>
    <w:rsid w:val="003D5149"/>
    <w:rsid w:val="003D51D8"/>
    <w:rsid w:val="003D527F"/>
    <w:rsid w:val="003D53A4"/>
    <w:rsid w:val="003D5435"/>
    <w:rsid w:val="003D54D3"/>
    <w:rsid w:val="003D553C"/>
    <w:rsid w:val="003D5542"/>
    <w:rsid w:val="003D55ED"/>
    <w:rsid w:val="003D574B"/>
    <w:rsid w:val="003D5793"/>
    <w:rsid w:val="003D586E"/>
    <w:rsid w:val="003D591A"/>
    <w:rsid w:val="003D5A4A"/>
    <w:rsid w:val="003D5B63"/>
    <w:rsid w:val="003D5BF2"/>
    <w:rsid w:val="003D5DD6"/>
    <w:rsid w:val="003D5E1C"/>
    <w:rsid w:val="003D5E2C"/>
    <w:rsid w:val="003D5EA7"/>
    <w:rsid w:val="003D5EC6"/>
    <w:rsid w:val="003D5F97"/>
    <w:rsid w:val="003D5FFB"/>
    <w:rsid w:val="003D6123"/>
    <w:rsid w:val="003D6192"/>
    <w:rsid w:val="003D62F0"/>
    <w:rsid w:val="003D62F5"/>
    <w:rsid w:val="003D6303"/>
    <w:rsid w:val="003D6449"/>
    <w:rsid w:val="003D6540"/>
    <w:rsid w:val="003D65AF"/>
    <w:rsid w:val="003D6671"/>
    <w:rsid w:val="003D673E"/>
    <w:rsid w:val="003D679E"/>
    <w:rsid w:val="003D6986"/>
    <w:rsid w:val="003D69A3"/>
    <w:rsid w:val="003D6B73"/>
    <w:rsid w:val="003D6D1E"/>
    <w:rsid w:val="003D7117"/>
    <w:rsid w:val="003D713D"/>
    <w:rsid w:val="003D71A6"/>
    <w:rsid w:val="003D725D"/>
    <w:rsid w:val="003D727A"/>
    <w:rsid w:val="003D72DF"/>
    <w:rsid w:val="003D7407"/>
    <w:rsid w:val="003D7451"/>
    <w:rsid w:val="003D7490"/>
    <w:rsid w:val="003D74CF"/>
    <w:rsid w:val="003D75D1"/>
    <w:rsid w:val="003D76B7"/>
    <w:rsid w:val="003D7713"/>
    <w:rsid w:val="003D77E9"/>
    <w:rsid w:val="003D78AA"/>
    <w:rsid w:val="003D799A"/>
    <w:rsid w:val="003D79AF"/>
    <w:rsid w:val="003D7A32"/>
    <w:rsid w:val="003D7A89"/>
    <w:rsid w:val="003D7ACA"/>
    <w:rsid w:val="003D7CC0"/>
    <w:rsid w:val="003D7CE0"/>
    <w:rsid w:val="003D7CFA"/>
    <w:rsid w:val="003D7D78"/>
    <w:rsid w:val="003D7DEF"/>
    <w:rsid w:val="003D7E54"/>
    <w:rsid w:val="003D7E8E"/>
    <w:rsid w:val="003D7EF6"/>
    <w:rsid w:val="003D7F14"/>
    <w:rsid w:val="003E0062"/>
    <w:rsid w:val="003E008A"/>
    <w:rsid w:val="003E00D2"/>
    <w:rsid w:val="003E0153"/>
    <w:rsid w:val="003E0260"/>
    <w:rsid w:val="003E02D0"/>
    <w:rsid w:val="003E045B"/>
    <w:rsid w:val="003E04DA"/>
    <w:rsid w:val="003E0543"/>
    <w:rsid w:val="003E05FA"/>
    <w:rsid w:val="003E06D1"/>
    <w:rsid w:val="003E0868"/>
    <w:rsid w:val="003E08A3"/>
    <w:rsid w:val="003E08DF"/>
    <w:rsid w:val="003E08E3"/>
    <w:rsid w:val="003E0909"/>
    <w:rsid w:val="003E0A7D"/>
    <w:rsid w:val="003E0A9C"/>
    <w:rsid w:val="003E0ACF"/>
    <w:rsid w:val="003E0E39"/>
    <w:rsid w:val="003E0FAC"/>
    <w:rsid w:val="003E102C"/>
    <w:rsid w:val="003E10D7"/>
    <w:rsid w:val="003E126F"/>
    <w:rsid w:val="003E136C"/>
    <w:rsid w:val="003E1373"/>
    <w:rsid w:val="003E13DB"/>
    <w:rsid w:val="003E14B7"/>
    <w:rsid w:val="003E15EF"/>
    <w:rsid w:val="003E17D0"/>
    <w:rsid w:val="003E1889"/>
    <w:rsid w:val="003E1A0E"/>
    <w:rsid w:val="003E1B16"/>
    <w:rsid w:val="003E1BCF"/>
    <w:rsid w:val="003E1C7A"/>
    <w:rsid w:val="003E1DCE"/>
    <w:rsid w:val="003E1F8E"/>
    <w:rsid w:val="003E20F7"/>
    <w:rsid w:val="003E226D"/>
    <w:rsid w:val="003E23F4"/>
    <w:rsid w:val="003E2476"/>
    <w:rsid w:val="003E2510"/>
    <w:rsid w:val="003E25DD"/>
    <w:rsid w:val="003E25E3"/>
    <w:rsid w:val="003E25F4"/>
    <w:rsid w:val="003E2606"/>
    <w:rsid w:val="003E26E0"/>
    <w:rsid w:val="003E2736"/>
    <w:rsid w:val="003E28EC"/>
    <w:rsid w:val="003E2A35"/>
    <w:rsid w:val="003E2A5A"/>
    <w:rsid w:val="003E2AE3"/>
    <w:rsid w:val="003E2CB1"/>
    <w:rsid w:val="003E2D0D"/>
    <w:rsid w:val="003E2E11"/>
    <w:rsid w:val="003E2E88"/>
    <w:rsid w:val="003E3099"/>
    <w:rsid w:val="003E32E8"/>
    <w:rsid w:val="003E32FD"/>
    <w:rsid w:val="003E32FE"/>
    <w:rsid w:val="003E39E8"/>
    <w:rsid w:val="003E3A95"/>
    <w:rsid w:val="003E3AAB"/>
    <w:rsid w:val="003E3B60"/>
    <w:rsid w:val="003E3D7D"/>
    <w:rsid w:val="003E3E23"/>
    <w:rsid w:val="003E3E56"/>
    <w:rsid w:val="003E3EB0"/>
    <w:rsid w:val="003E3F7D"/>
    <w:rsid w:val="003E3F7F"/>
    <w:rsid w:val="003E4008"/>
    <w:rsid w:val="003E411D"/>
    <w:rsid w:val="003E42AF"/>
    <w:rsid w:val="003E45B7"/>
    <w:rsid w:val="003E45D7"/>
    <w:rsid w:val="003E4631"/>
    <w:rsid w:val="003E482E"/>
    <w:rsid w:val="003E4905"/>
    <w:rsid w:val="003E4A4E"/>
    <w:rsid w:val="003E4A92"/>
    <w:rsid w:val="003E4AD1"/>
    <w:rsid w:val="003E4B43"/>
    <w:rsid w:val="003E4C1F"/>
    <w:rsid w:val="003E4CCB"/>
    <w:rsid w:val="003E4D2E"/>
    <w:rsid w:val="003E4DD6"/>
    <w:rsid w:val="003E4E1B"/>
    <w:rsid w:val="003E4F1D"/>
    <w:rsid w:val="003E5182"/>
    <w:rsid w:val="003E51C4"/>
    <w:rsid w:val="003E526B"/>
    <w:rsid w:val="003E52AC"/>
    <w:rsid w:val="003E52D1"/>
    <w:rsid w:val="003E5636"/>
    <w:rsid w:val="003E5844"/>
    <w:rsid w:val="003E599A"/>
    <w:rsid w:val="003E59E9"/>
    <w:rsid w:val="003E5A02"/>
    <w:rsid w:val="003E5B1C"/>
    <w:rsid w:val="003E5B37"/>
    <w:rsid w:val="003E5C11"/>
    <w:rsid w:val="003E5CAA"/>
    <w:rsid w:val="003E5CE0"/>
    <w:rsid w:val="003E5CF2"/>
    <w:rsid w:val="003E5DAF"/>
    <w:rsid w:val="003E5E29"/>
    <w:rsid w:val="003E5F29"/>
    <w:rsid w:val="003E6042"/>
    <w:rsid w:val="003E61CA"/>
    <w:rsid w:val="003E62EB"/>
    <w:rsid w:val="003E63E6"/>
    <w:rsid w:val="003E6475"/>
    <w:rsid w:val="003E6511"/>
    <w:rsid w:val="003E669A"/>
    <w:rsid w:val="003E66DC"/>
    <w:rsid w:val="003E6844"/>
    <w:rsid w:val="003E68E0"/>
    <w:rsid w:val="003E6940"/>
    <w:rsid w:val="003E6A0A"/>
    <w:rsid w:val="003E6A50"/>
    <w:rsid w:val="003E6BD8"/>
    <w:rsid w:val="003E6C82"/>
    <w:rsid w:val="003E6D66"/>
    <w:rsid w:val="003E6E08"/>
    <w:rsid w:val="003E6E95"/>
    <w:rsid w:val="003E6EEB"/>
    <w:rsid w:val="003E6F4E"/>
    <w:rsid w:val="003E6F52"/>
    <w:rsid w:val="003E70D6"/>
    <w:rsid w:val="003E7117"/>
    <w:rsid w:val="003E729F"/>
    <w:rsid w:val="003E72C7"/>
    <w:rsid w:val="003E72F3"/>
    <w:rsid w:val="003E742B"/>
    <w:rsid w:val="003E752F"/>
    <w:rsid w:val="003E759B"/>
    <w:rsid w:val="003E7756"/>
    <w:rsid w:val="003E775A"/>
    <w:rsid w:val="003E779E"/>
    <w:rsid w:val="003E780A"/>
    <w:rsid w:val="003E7948"/>
    <w:rsid w:val="003E79C2"/>
    <w:rsid w:val="003E7B01"/>
    <w:rsid w:val="003E7B5D"/>
    <w:rsid w:val="003E7B90"/>
    <w:rsid w:val="003E7BAD"/>
    <w:rsid w:val="003E7D0A"/>
    <w:rsid w:val="003E7D5E"/>
    <w:rsid w:val="003E7DC1"/>
    <w:rsid w:val="003E7DD4"/>
    <w:rsid w:val="003E7E25"/>
    <w:rsid w:val="003E7F6A"/>
    <w:rsid w:val="003E7FCE"/>
    <w:rsid w:val="003F0074"/>
    <w:rsid w:val="003F016A"/>
    <w:rsid w:val="003F020B"/>
    <w:rsid w:val="003F02F8"/>
    <w:rsid w:val="003F0419"/>
    <w:rsid w:val="003F0449"/>
    <w:rsid w:val="003F04CB"/>
    <w:rsid w:val="003F0507"/>
    <w:rsid w:val="003F054B"/>
    <w:rsid w:val="003F057A"/>
    <w:rsid w:val="003F0703"/>
    <w:rsid w:val="003F0805"/>
    <w:rsid w:val="003F087E"/>
    <w:rsid w:val="003F0940"/>
    <w:rsid w:val="003F0A56"/>
    <w:rsid w:val="003F0DD1"/>
    <w:rsid w:val="003F0F16"/>
    <w:rsid w:val="003F1199"/>
    <w:rsid w:val="003F11CE"/>
    <w:rsid w:val="003F1212"/>
    <w:rsid w:val="003F124D"/>
    <w:rsid w:val="003F12F8"/>
    <w:rsid w:val="003F1390"/>
    <w:rsid w:val="003F1416"/>
    <w:rsid w:val="003F1428"/>
    <w:rsid w:val="003F14EA"/>
    <w:rsid w:val="003F1603"/>
    <w:rsid w:val="003F169B"/>
    <w:rsid w:val="003F16F8"/>
    <w:rsid w:val="003F180F"/>
    <w:rsid w:val="003F1831"/>
    <w:rsid w:val="003F1897"/>
    <w:rsid w:val="003F1985"/>
    <w:rsid w:val="003F1B0D"/>
    <w:rsid w:val="003F1BAA"/>
    <w:rsid w:val="003F1C06"/>
    <w:rsid w:val="003F1C0E"/>
    <w:rsid w:val="003F1C21"/>
    <w:rsid w:val="003F1C32"/>
    <w:rsid w:val="003F1C88"/>
    <w:rsid w:val="003F1D3A"/>
    <w:rsid w:val="003F1DE2"/>
    <w:rsid w:val="003F1DE6"/>
    <w:rsid w:val="003F1E52"/>
    <w:rsid w:val="003F1EB2"/>
    <w:rsid w:val="003F1FB7"/>
    <w:rsid w:val="003F2055"/>
    <w:rsid w:val="003F20C7"/>
    <w:rsid w:val="003F22CB"/>
    <w:rsid w:val="003F22E0"/>
    <w:rsid w:val="003F2498"/>
    <w:rsid w:val="003F24DA"/>
    <w:rsid w:val="003F24EF"/>
    <w:rsid w:val="003F2533"/>
    <w:rsid w:val="003F2549"/>
    <w:rsid w:val="003F2553"/>
    <w:rsid w:val="003F2555"/>
    <w:rsid w:val="003F256D"/>
    <w:rsid w:val="003F257C"/>
    <w:rsid w:val="003F25BD"/>
    <w:rsid w:val="003F25DC"/>
    <w:rsid w:val="003F2789"/>
    <w:rsid w:val="003F278E"/>
    <w:rsid w:val="003F2794"/>
    <w:rsid w:val="003F27C1"/>
    <w:rsid w:val="003F286E"/>
    <w:rsid w:val="003F2909"/>
    <w:rsid w:val="003F2BA3"/>
    <w:rsid w:val="003F2BD8"/>
    <w:rsid w:val="003F2C15"/>
    <w:rsid w:val="003F2C40"/>
    <w:rsid w:val="003F2C69"/>
    <w:rsid w:val="003F2DC2"/>
    <w:rsid w:val="003F2E8A"/>
    <w:rsid w:val="003F2ED8"/>
    <w:rsid w:val="003F2EE0"/>
    <w:rsid w:val="003F2F3A"/>
    <w:rsid w:val="003F310E"/>
    <w:rsid w:val="003F33F1"/>
    <w:rsid w:val="003F344C"/>
    <w:rsid w:val="003F36F7"/>
    <w:rsid w:val="003F377A"/>
    <w:rsid w:val="003F37B2"/>
    <w:rsid w:val="003F395F"/>
    <w:rsid w:val="003F3968"/>
    <w:rsid w:val="003F3A3A"/>
    <w:rsid w:val="003F3BB9"/>
    <w:rsid w:val="003F3C59"/>
    <w:rsid w:val="003F3E80"/>
    <w:rsid w:val="003F3EF5"/>
    <w:rsid w:val="003F3F1D"/>
    <w:rsid w:val="003F4173"/>
    <w:rsid w:val="003F41C5"/>
    <w:rsid w:val="003F41DC"/>
    <w:rsid w:val="003F41DD"/>
    <w:rsid w:val="003F4385"/>
    <w:rsid w:val="003F43F1"/>
    <w:rsid w:val="003F4605"/>
    <w:rsid w:val="003F47EF"/>
    <w:rsid w:val="003F487E"/>
    <w:rsid w:val="003F4914"/>
    <w:rsid w:val="003F4936"/>
    <w:rsid w:val="003F4A9C"/>
    <w:rsid w:val="003F4C08"/>
    <w:rsid w:val="003F4C9C"/>
    <w:rsid w:val="003F4EC8"/>
    <w:rsid w:val="003F4F43"/>
    <w:rsid w:val="003F4F52"/>
    <w:rsid w:val="003F4FF0"/>
    <w:rsid w:val="003F505C"/>
    <w:rsid w:val="003F506E"/>
    <w:rsid w:val="003F508F"/>
    <w:rsid w:val="003F517F"/>
    <w:rsid w:val="003F51FE"/>
    <w:rsid w:val="003F5219"/>
    <w:rsid w:val="003F52FE"/>
    <w:rsid w:val="003F5393"/>
    <w:rsid w:val="003F540E"/>
    <w:rsid w:val="003F562D"/>
    <w:rsid w:val="003F56FB"/>
    <w:rsid w:val="003F5A0B"/>
    <w:rsid w:val="003F5B54"/>
    <w:rsid w:val="003F5B7D"/>
    <w:rsid w:val="003F5BB3"/>
    <w:rsid w:val="003F5BDD"/>
    <w:rsid w:val="003F5DAF"/>
    <w:rsid w:val="003F5E83"/>
    <w:rsid w:val="003F5EE4"/>
    <w:rsid w:val="003F5EFE"/>
    <w:rsid w:val="003F5F05"/>
    <w:rsid w:val="003F5F59"/>
    <w:rsid w:val="003F6004"/>
    <w:rsid w:val="003F606B"/>
    <w:rsid w:val="003F6123"/>
    <w:rsid w:val="003F6149"/>
    <w:rsid w:val="003F6191"/>
    <w:rsid w:val="003F6216"/>
    <w:rsid w:val="003F6312"/>
    <w:rsid w:val="003F63DA"/>
    <w:rsid w:val="003F6420"/>
    <w:rsid w:val="003F651D"/>
    <w:rsid w:val="003F6581"/>
    <w:rsid w:val="003F65C6"/>
    <w:rsid w:val="003F65EE"/>
    <w:rsid w:val="003F6684"/>
    <w:rsid w:val="003F66E8"/>
    <w:rsid w:val="003F6713"/>
    <w:rsid w:val="003F6762"/>
    <w:rsid w:val="003F688A"/>
    <w:rsid w:val="003F6980"/>
    <w:rsid w:val="003F69A4"/>
    <w:rsid w:val="003F69F9"/>
    <w:rsid w:val="003F6B33"/>
    <w:rsid w:val="003F6E0E"/>
    <w:rsid w:val="003F6F16"/>
    <w:rsid w:val="003F7031"/>
    <w:rsid w:val="003F71D9"/>
    <w:rsid w:val="003F723D"/>
    <w:rsid w:val="003F7386"/>
    <w:rsid w:val="003F7454"/>
    <w:rsid w:val="003F74CF"/>
    <w:rsid w:val="003F782E"/>
    <w:rsid w:val="003F796A"/>
    <w:rsid w:val="003F79E0"/>
    <w:rsid w:val="003F79E4"/>
    <w:rsid w:val="003F79FC"/>
    <w:rsid w:val="003F7B9A"/>
    <w:rsid w:val="003F7BDC"/>
    <w:rsid w:val="003F7C30"/>
    <w:rsid w:val="003F7C72"/>
    <w:rsid w:val="003F7D86"/>
    <w:rsid w:val="003F7E13"/>
    <w:rsid w:val="003F7F8E"/>
    <w:rsid w:val="004002A2"/>
    <w:rsid w:val="00400349"/>
    <w:rsid w:val="00400439"/>
    <w:rsid w:val="004005AC"/>
    <w:rsid w:val="004006E1"/>
    <w:rsid w:val="00400794"/>
    <w:rsid w:val="004007C5"/>
    <w:rsid w:val="004007D3"/>
    <w:rsid w:val="00400827"/>
    <w:rsid w:val="00400998"/>
    <w:rsid w:val="00400C6B"/>
    <w:rsid w:val="00400CD4"/>
    <w:rsid w:val="00400D25"/>
    <w:rsid w:val="00400E92"/>
    <w:rsid w:val="0040124B"/>
    <w:rsid w:val="0040130B"/>
    <w:rsid w:val="00401350"/>
    <w:rsid w:val="004013AA"/>
    <w:rsid w:val="004013E5"/>
    <w:rsid w:val="0040146C"/>
    <w:rsid w:val="004014EE"/>
    <w:rsid w:val="00401566"/>
    <w:rsid w:val="004015A4"/>
    <w:rsid w:val="00401613"/>
    <w:rsid w:val="004017D1"/>
    <w:rsid w:val="004017E7"/>
    <w:rsid w:val="004018E2"/>
    <w:rsid w:val="004019B0"/>
    <w:rsid w:val="00401A33"/>
    <w:rsid w:val="00401B10"/>
    <w:rsid w:val="00401C72"/>
    <w:rsid w:val="00401C7D"/>
    <w:rsid w:val="00401DF5"/>
    <w:rsid w:val="00401E8A"/>
    <w:rsid w:val="00401F8B"/>
    <w:rsid w:val="00401F8D"/>
    <w:rsid w:val="0040207D"/>
    <w:rsid w:val="0040210A"/>
    <w:rsid w:val="0040215E"/>
    <w:rsid w:val="00402244"/>
    <w:rsid w:val="00402247"/>
    <w:rsid w:val="004022C5"/>
    <w:rsid w:val="004022D3"/>
    <w:rsid w:val="0040237F"/>
    <w:rsid w:val="00402383"/>
    <w:rsid w:val="0040246D"/>
    <w:rsid w:val="004025DE"/>
    <w:rsid w:val="0040262A"/>
    <w:rsid w:val="00402762"/>
    <w:rsid w:val="00402897"/>
    <w:rsid w:val="004029D3"/>
    <w:rsid w:val="004029F5"/>
    <w:rsid w:val="00402B33"/>
    <w:rsid w:val="00402BF4"/>
    <w:rsid w:val="00402CB0"/>
    <w:rsid w:val="00402CFB"/>
    <w:rsid w:val="00402D92"/>
    <w:rsid w:val="00402DEE"/>
    <w:rsid w:val="00402DF3"/>
    <w:rsid w:val="00402E49"/>
    <w:rsid w:val="00402EE6"/>
    <w:rsid w:val="00402F6D"/>
    <w:rsid w:val="00403215"/>
    <w:rsid w:val="0040339E"/>
    <w:rsid w:val="004034A2"/>
    <w:rsid w:val="004034B3"/>
    <w:rsid w:val="0040371F"/>
    <w:rsid w:val="0040377E"/>
    <w:rsid w:val="00403818"/>
    <w:rsid w:val="0040384E"/>
    <w:rsid w:val="0040385F"/>
    <w:rsid w:val="00403862"/>
    <w:rsid w:val="004038BC"/>
    <w:rsid w:val="00403CCC"/>
    <w:rsid w:val="00403D36"/>
    <w:rsid w:val="00403D70"/>
    <w:rsid w:val="00403E09"/>
    <w:rsid w:val="0040404F"/>
    <w:rsid w:val="0040405F"/>
    <w:rsid w:val="0040409A"/>
    <w:rsid w:val="004040B6"/>
    <w:rsid w:val="004040BF"/>
    <w:rsid w:val="00404237"/>
    <w:rsid w:val="00404300"/>
    <w:rsid w:val="004043D9"/>
    <w:rsid w:val="00404433"/>
    <w:rsid w:val="0040459F"/>
    <w:rsid w:val="0040466C"/>
    <w:rsid w:val="00404680"/>
    <w:rsid w:val="0040472A"/>
    <w:rsid w:val="00404837"/>
    <w:rsid w:val="004048D7"/>
    <w:rsid w:val="0040491E"/>
    <w:rsid w:val="0040498D"/>
    <w:rsid w:val="004049C3"/>
    <w:rsid w:val="00404ABA"/>
    <w:rsid w:val="00404C98"/>
    <w:rsid w:val="00404D70"/>
    <w:rsid w:val="00404D8A"/>
    <w:rsid w:val="00404E19"/>
    <w:rsid w:val="00404E4E"/>
    <w:rsid w:val="00404E62"/>
    <w:rsid w:val="0040508B"/>
    <w:rsid w:val="0040515E"/>
    <w:rsid w:val="00405236"/>
    <w:rsid w:val="0040528A"/>
    <w:rsid w:val="004052D0"/>
    <w:rsid w:val="004053CB"/>
    <w:rsid w:val="004054F6"/>
    <w:rsid w:val="00405589"/>
    <w:rsid w:val="004055C8"/>
    <w:rsid w:val="00405758"/>
    <w:rsid w:val="0040589D"/>
    <w:rsid w:val="004058B1"/>
    <w:rsid w:val="004059F3"/>
    <w:rsid w:val="00405C6C"/>
    <w:rsid w:val="00405CEC"/>
    <w:rsid w:val="00405D81"/>
    <w:rsid w:val="00405DC5"/>
    <w:rsid w:val="00405DE6"/>
    <w:rsid w:val="00405E66"/>
    <w:rsid w:val="00405EC5"/>
    <w:rsid w:val="00405ED9"/>
    <w:rsid w:val="00405F49"/>
    <w:rsid w:val="00405F51"/>
    <w:rsid w:val="00405F57"/>
    <w:rsid w:val="00405FA3"/>
    <w:rsid w:val="00405FFA"/>
    <w:rsid w:val="00406010"/>
    <w:rsid w:val="00406204"/>
    <w:rsid w:val="00406210"/>
    <w:rsid w:val="004062CA"/>
    <w:rsid w:val="004062DF"/>
    <w:rsid w:val="0040646B"/>
    <w:rsid w:val="004064BC"/>
    <w:rsid w:val="004064EB"/>
    <w:rsid w:val="004065D5"/>
    <w:rsid w:val="0040663C"/>
    <w:rsid w:val="00406718"/>
    <w:rsid w:val="00406856"/>
    <w:rsid w:val="004068A7"/>
    <w:rsid w:val="00406925"/>
    <w:rsid w:val="0040694C"/>
    <w:rsid w:val="004069A7"/>
    <w:rsid w:val="00406A82"/>
    <w:rsid w:val="00406ADF"/>
    <w:rsid w:val="00406B3D"/>
    <w:rsid w:val="00406CAB"/>
    <w:rsid w:val="00406CC6"/>
    <w:rsid w:val="00406D39"/>
    <w:rsid w:val="00406D58"/>
    <w:rsid w:val="00406E28"/>
    <w:rsid w:val="00406E75"/>
    <w:rsid w:val="00406F6C"/>
    <w:rsid w:val="0040703F"/>
    <w:rsid w:val="0040706C"/>
    <w:rsid w:val="00407088"/>
    <w:rsid w:val="004070E5"/>
    <w:rsid w:val="00407137"/>
    <w:rsid w:val="0040714F"/>
    <w:rsid w:val="004073E1"/>
    <w:rsid w:val="00407488"/>
    <w:rsid w:val="0040751C"/>
    <w:rsid w:val="00407534"/>
    <w:rsid w:val="0040772D"/>
    <w:rsid w:val="004077C3"/>
    <w:rsid w:val="004077E9"/>
    <w:rsid w:val="004077F5"/>
    <w:rsid w:val="004077FE"/>
    <w:rsid w:val="00407945"/>
    <w:rsid w:val="00407962"/>
    <w:rsid w:val="004079B3"/>
    <w:rsid w:val="00407A3C"/>
    <w:rsid w:val="00407AAA"/>
    <w:rsid w:val="00407B56"/>
    <w:rsid w:val="00407BA7"/>
    <w:rsid w:val="00407D5B"/>
    <w:rsid w:val="00407DFD"/>
    <w:rsid w:val="00407E0C"/>
    <w:rsid w:val="00407EA4"/>
    <w:rsid w:val="00407F32"/>
    <w:rsid w:val="00407F6B"/>
    <w:rsid w:val="00407FC7"/>
    <w:rsid w:val="0041004A"/>
    <w:rsid w:val="00410161"/>
    <w:rsid w:val="00410216"/>
    <w:rsid w:val="00410221"/>
    <w:rsid w:val="0041032A"/>
    <w:rsid w:val="00410544"/>
    <w:rsid w:val="0041071C"/>
    <w:rsid w:val="00410787"/>
    <w:rsid w:val="004108A2"/>
    <w:rsid w:val="004108AA"/>
    <w:rsid w:val="0041092A"/>
    <w:rsid w:val="00410938"/>
    <w:rsid w:val="00410B4A"/>
    <w:rsid w:val="00410C85"/>
    <w:rsid w:val="00410CB3"/>
    <w:rsid w:val="00410E15"/>
    <w:rsid w:val="00410EB2"/>
    <w:rsid w:val="00410FCA"/>
    <w:rsid w:val="0041105A"/>
    <w:rsid w:val="0041109F"/>
    <w:rsid w:val="004111B1"/>
    <w:rsid w:val="00411212"/>
    <w:rsid w:val="004113A9"/>
    <w:rsid w:val="0041152F"/>
    <w:rsid w:val="0041153E"/>
    <w:rsid w:val="0041175B"/>
    <w:rsid w:val="004117F5"/>
    <w:rsid w:val="0041180D"/>
    <w:rsid w:val="00411869"/>
    <w:rsid w:val="004118EC"/>
    <w:rsid w:val="00411910"/>
    <w:rsid w:val="00411948"/>
    <w:rsid w:val="00411A53"/>
    <w:rsid w:val="00411B70"/>
    <w:rsid w:val="00411B9E"/>
    <w:rsid w:val="00411BA8"/>
    <w:rsid w:val="00411D12"/>
    <w:rsid w:val="00411D8A"/>
    <w:rsid w:val="00411E2E"/>
    <w:rsid w:val="00411F16"/>
    <w:rsid w:val="00411F72"/>
    <w:rsid w:val="00412080"/>
    <w:rsid w:val="00412246"/>
    <w:rsid w:val="0041224C"/>
    <w:rsid w:val="00412264"/>
    <w:rsid w:val="00412284"/>
    <w:rsid w:val="004122E5"/>
    <w:rsid w:val="00412356"/>
    <w:rsid w:val="004123F9"/>
    <w:rsid w:val="00412559"/>
    <w:rsid w:val="004125EB"/>
    <w:rsid w:val="00412620"/>
    <w:rsid w:val="00412630"/>
    <w:rsid w:val="004126F6"/>
    <w:rsid w:val="00412AE4"/>
    <w:rsid w:val="00412B92"/>
    <w:rsid w:val="00412BA4"/>
    <w:rsid w:val="00412CB9"/>
    <w:rsid w:val="00412CC6"/>
    <w:rsid w:val="00412D74"/>
    <w:rsid w:val="00412EDE"/>
    <w:rsid w:val="00412EEF"/>
    <w:rsid w:val="00412F88"/>
    <w:rsid w:val="0041306A"/>
    <w:rsid w:val="004130E5"/>
    <w:rsid w:val="00413151"/>
    <w:rsid w:val="004131D1"/>
    <w:rsid w:val="0041326D"/>
    <w:rsid w:val="00413335"/>
    <w:rsid w:val="00413394"/>
    <w:rsid w:val="0041346B"/>
    <w:rsid w:val="004134D7"/>
    <w:rsid w:val="004134D9"/>
    <w:rsid w:val="00413683"/>
    <w:rsid w:val="004138FB"/>
    <w:rsid w:val="00413931"/>
    <w:rsid w:val="00413954"/>
    <w:rsid w:val="00413983"/>
    <w:rsid w:val="004139B8"/>
    <w:rsid w:val="00413BD4"/>
    <w:rsid w:val="00413CB0"/>
    <w:rsid w:val="00413CCB"/>
    <w:rsid w:val="00413D17"/>
    <w:rsid w:val="00413D3D"/>
    <w:rsid w:val="00413D43"/>
    <w:rsid w:val="00413D4C"/>
    <w:rsid w:val="00414038"/>
    <w:rsid w:val="00414074"/>
    <w:rsid w:val="0041414E"/>
    <w:rsid w:val="00414277"/>
    <w:rsid w:val="0041432F"/>
    <w:rsid w:val="0041443D"/>
    <w:rsid w:val="004144C8"/>
    <w:rsid w:val="004145A1"/>
    <w:rsid w:val="00414622"/>
    <w:rsid w:val="00414665"/>
    <w:rsid w:val="00414686"/>
    <w:rsid w:val="0041468E"/>
    <w:rsid w:val="0041472C"/>
    <w:rsid w:val="004148F5"/>
    <w:rsid w:val="00414A8A"/>
    <w:rsid w:val="00414A8B"/>
    <w:rsid w:val="00414A9F"/>
    <w:rsid w:val="00414E50"/>
    <w:rsid w:val="00414F5A"/>
    <w:rsid w:val="00415068"/>
    <w:rsid w:val="004150B5"/>
    <w:rsid w:val="004151D4"/>
    <w:rsid w:val="00415308"/>
    <w:rsid w:val="0041534B"/>
    <w:rsid w:val="004158C6"/>
    <w:rsid w:val="0041599F"/>
    <w:rsid w:val="004159E2"/>
    <w:rsid w:val="00415A56"/>
    <w:rsid w:val="00415AA0"/>
    <w:rsid w:val="00415B81"/>
    <w:rsid w:val="00415BAD"/>
    <w:rsid w:val="00415D16"/>
    <w:rsid w:val="00415D39"/>
    <w:rsid w:val="00415FB3"/>
    <w:rsid w:val="004160EE"/>
    <w:rsid w:val="00416201"/>
    <w:rsid w:val="0041620F"/>
    <w:rsid w:val="0041630A"/>
    <w:rsid w:val="004163A7"/>
    <w:rsid w:val="004163DD"/>
    <w:rsid w:val="004163E9"/>
    <w:rsid w:val="004166DC"/>
    <w:rsid w:val="004167EE"/>
    <w:rsid w:val="00416A6F"/>
    <w:rsid w:val="00416B40"/>
    <w:rsid w:val="00416C1C"/>
    <w:rsid w:val="00416C7C"/>
    <w:rsid w:val="00416CDB"/>
    <w:rsid w:val="00416D0D"/>
    <w:rsid w:val="00416DA5"/>
    <w:rsid w:val="00416DD5"/>
    <w:rsid w:val="00416F89"/>
    <w:rsid w:val="0041705E"/>
    <w:rsid w:val="00417108"/>
    <w:rsid w:val="0041718F"/>
    <w:rsid w:val="00417191"/>
    <w:rsid w:val="00417222"/>
    <w:rsid w:val="00417443"/>
    <w:rsid w:val="004175F6"/>
    <w:rsid w:val="004176C4"/>
    <w:rsid w:val="00417829"/>
    <w:rsid w:val="004178B6"/>
    <w:rsid w:val="0041793D"/>
    <w:rsid w:val="00417960"/>
    <w:rsid w:val="0041797B"/>
    <w:rsid w:val="00417999"/>
    <w:rsid w:val="00417A5B"/>
    <w:rsid w:val="00417B34"/>
    <w:rsid w:val="00417B95"/>
    <w:rsid w:val="00417C0B"/>
    <w:rsid w:val="00417C33"/>
    <w:rsid w:val="00417D49"/>
    <w:rsid w:val="00417D79"/>
    <w:rsid w:val="00417D89"/>
    <w:rsid w:val="00417E1F"/>
    <w:rsid w:val="00417E3A"/>
    <w:rsid w:val="00417EA6"/>
    <w:rsid w:val="00417F6E"/>
    <w:rsid w:val="004204D7"/>
    <w:rsid w:val="00420505"/>
    <w:rsid w:val="00420591"/>
    <w:rsid w:val="00420605"/>
    <w:rsid w:val="00420665"/>
    <w:rsid w:val="00420725"/>
    <w:rsid w:val="0042083F"/>
    <w:rsid w:val="004208DA"/>
    <w:rsid w:val="004209C4"/>
    <w:rsid w:val="004209F1"/>
    <w:rsid w:val="00420B1B"/>
    <w:rsid w:val="00420BAF"/>
    <w:rsid w:val="00420D28"/>
    <w:rsid w:val="00420D4D"/>
    <w:rsid w:val="00420D6E"/>
    <w:rsid w:val="00420E11"/>
    <w:rsid w:val="00420F19"/>
    <w:rsid w:val="00420F57"/>
    <w:rsid w:val="004211B2"/>
    <w:rsid w:val="0042132B"/>
    <w:rsid w:val="00421449"/>
    <w:rsid w:val="004214A8"/>
    <w:rsid w:val="004214DB"/>
    <w:rsid w:val="00421549"/>
    <w:rsid w:val="0042166C"/>
    <w:rsid w:val="0042180D"/>
    <w:rsid w:val="004218B5"/>
    <w:rsid w:val="004219C8"/>
    <w:rsid w:val="00421BCF"/>
    <w:rsid w:val="00421C62"/>
    <w:rsid w:val="00421FA2"/>
    <w:rsid w:val="004220CD"/>
    <w:rsid w:val="00422178"/>
    <w:rsid w:val="00422433"/>
    <w:rsid w:val="00422601"/>
    <w:rsid w:val="0042268E"/>
    <w:rsid w:val="00422691"/>
    <w:rsid w:val="004226C7"/>
    <w:rsid w:val="004227C6"/>
    <w:rsid w:val="0042285C"/>
    <w:rsid w:val="004228F5"/>
    <w:rsid w:val="004228F7"/>
    <w:rsid w:val="0042294E"/>
    <w:rsid w:val="004229B3"/>
    <w:rsid w:val="00422DC2"/>
    <w:rsid w:val="00422DD8"/>
    <w:rsid w:val="00422F80"/>
    <w:rsid w:val="00422FDD"/>
    <w:rsid w:val="004230D3"/>
    <w:rsid w:val="0042311E"/>
    <w:rsid w:val="00423229"/>
    <w:rsid w:val="00423256"/>
    <w:rsid w:val="004232EB"/>
    <w:rsid w:val="0042332F"/>
    <w:rsid w:val="00423417"/>
    <w:rsid w:val="00423462"/>
    <w:rsid w:val="004234A9"/>
    <w:rsid w:val="0042353F"/>
    <w:rsid w:val="0042355E"/>
    <w:rsid w:val="004235BE"/>
    <w:rsid w:val="004236B8"/>
    <w:rsid w:val="004236FD"/>
    <w:rsid w:val="004238F8"/>
    <w:rsid w:val="004239A6"/>
    <w:rsid w:val="004239CB"/>
    <w:rsid w:val="00423D07"/>
    <w:rsid w:val="00423DB4"/>
    <w:rsid w:val="00423E22"/>
    <w:rsid w:val="00423E74"/>
    <w:rsid w:val="00423F0D"/>
    <w:rsid w:val="00423F3C"/>
    <w:rsid w:val="004240D9"/>
    <w:rsid w:val="00424217"/>
    <w:rsid w:val="00424241"/>
    <w:rsid w:val="00424316"/>
    <w:rsid w:val="00424468"/>
    <w:rsid w:val="00424604"/>
    <w:rsid w:val="0042467E"/>
    <w:rsid w:val="0042468A"/>
    <w:rsid w:val="0042473B"/>
    <w:rsid w:val="00424863"/>
    <w:rsid w:val="00424A94"/>
    <w:rsid w:val="00424B01"/>
    <w:rsid w:val="00424B2F"/>
    <w:rsid w:val="00424C48"/>
    <w:rsid w:val="00424CE2"/>
    <w:rsid w:val="00424D85"/>
    <w:rsid w:val="00424F83"/>
    <w:rsid w:val="00425037"/>
    <w:rsid w:val="004250A2"/>
    <w:rsid w:val="00425156"/>
    <w:rsid w:val="004251E6"/>
    <w:rsid w:val="0042527C"/>
    <w:rsid w:val="0042528A"/>
    <w:rsid w:val="00425304"/>
    <w:rsid w:val="00425326"/>
    <w:rsid w:val="00425461"/>
    <w:rsid w:val="00425521"/>
    <w:rsid w:val="0042553A"/>
    <w:rsid w:val="004255E3"/>
    <w:rsid w:val="00425659"/>
    <w:rsid w:val="0042565C"/>
    <w:rsid w:val="00425677"/>
    <w:rsid w:val="004256C3"/>
    <w:rsid w:val="00425716"/>
    <w:rsid w:val="0042576F"/>
    <w:rsid w:val="004258F9"/>
    <w:rsid w:val="00425964"/>
    <w:rsid w:val="00425A2E"/>
    <w:rsid w:val="00425A7C"/>
    <w:rsid w:val="00425AF9"/>
    <w:rsid w:val="00425D42"/>
    <w:rsid w:val="00425D4E"/>
    <w:rsid w:val="00425DB8"/>
    <w:rsid w:val="00425E11"/>
    <w:rsid w:val="00425FC6"/>
    <w:rsid w:val="00425FDE"/>
    <w:rsid w:val="004260F1"/>
    <w:rsid w:val="004261D5"/>
    <w:rsid w:val="004261D6"/>
    <w:rsid w:val="00426233"/>
    <w:rsid w:val="00426267"/>
    <w:rsid w:val="0042638A"/>
    <w:rsid w:val="0042648E"/>
    <w:rsid w:val="00426607"/>
    <w:rsid w:val="004266A1"/>
    <w:rsid w:val="004266B4"/>
    <w:rsid w:val="004266BB"/>
    <w:rsid w:val="00426C13"/>
    <w:rsid w:val="00426C51"/>
    <w:rsid w:val="00426CD0"/>
    <w:rsid w:val="00426CD8"/>
    <w:rsid w:val="00426D28"/>
    <w:rsid w:val="00426D66"/>
    <w:rsid w:val="00426DB7"/>
    <w:rsid w:val="00426F13"/>
    <w:rsid w:val="00426F6A"/>
    <w:rsid w:val="004270AF"/>
    <w:rsid w:val="0042717B"/>
    <w:rsid w:val="004271CB"/>
    <w:rsid w:val="004271D2"/>
    <w:rsid w:val="00427290"/>
    <w:rsid w:val="00427451"/>
    <w:rsid w:val="0042750E"/>
    <w:rsid w:val="0042768A"/>
    <w:rsid w:val="00427731"/>
    <w:rsid w:val="0042784D"/>
    <w:rsid w:val="00427896"/>
    <w:rsid w:val="004279C2"/>
    <w:rsid w:val="00427A53"/>
    <w:rsid w:val="00427B04"/>
    <w:rsid w:val="00427BA6"/>
    <w:rsid w:val="00427BF2"/>
    <w:rsid w:val="00427C33"/>
    <w:rsid w:val="00427C92"/>
    <w:rsid w:val="00427CD4"/>
    <w:rsid w:val="00427CFE"/>
    <w:rsid w:val="00427D67"/>
    <w:rsid w:val="00427F53"/>
    <w:rsid w:val="00427FFC"/>
    <w:rsid w:val="00430233"/>
    <w:rsid w:val="00430242"/>
    <w:rsid w:val="0043026E"/>
    <w:rsid w:val="00430353"/>
    <w:rsid w:val="004303E4"/>
    <w:rsid w:val="0043045F"/>
    <w:rsid w:val="004305B1"/>
    <w:rsid w:val="00430647"/>
    <w:rsid w:val="00430676"/>
    <w:rsid w:val="00430717"/>
    <w:rsid w:val="00430787"/>
    <w:rsid w:val="004307E7"/>
    <w:rsid w:val="00430867"/>
    <w:rsid w:val="00430C66"/>
    <w:rsid w:val="00430CDE"/>
    <w:rsid w:val="00430D1D"/>
    <w:rsid w:val="00430EFD"/>
    <w:rsid w:val="00431028"/>
    <w:rsid w:val="0043139F"/>
    <w:rsid w:val="00431486"/>
    <w:rsid w:val="004314AC"/>
    <w:rsid w:val="0043158B"/>
    <w:rsid w:val="0043159B"/>
    <w:rsid w:val="004316B0"/>
    <w:rsid w:val="0043176A"/>
    <w:rsid w:val="004317B4"/>
    <w:rsid w:val="00431BE1"/>
    <w:rsid w:val="00431C1E"/>
    <w:rsid w:val="00431E14"/>
    <w:rsid w:val="00431E9F"/>
    <w:rsid w:val="00431EA2"/>
    <w:rsid w:val="00431F0F"/>
    <w:rsid w:val="00432009"/>
    <w:rsid w:val="004320EF"/>
    <w:rsid w:val="004321C9"/>
    <w:rsid w:val="004321D0"/>
    <w:rsid w:val="004321E9"/>
    <w:rsid w:val="004321F3"/>
    <w:rsid w:val="00432337"/>
    <w:rsid w:val="0043233A"/>
    <w:rsid w:val="00432374"/>
    <w:rsid w:val="00432431"/>
    <w:rsid w:val="0043243D"/>
    <w:rsid w:val="00432535"/>
    <w:rsid w:val="0043254E"/>
    <w:rsid w:val="0043256E"/>
    <w:rsid w:val="004325E7"/>
    <w:rsid w:val="0043273F"/>
    <w:rsid w:val="0043291F"/>
    <w:rsid w:val="0043294A"/>
    <w:rsid w:val="00432A5F"/>
    <w:rsid w:val="00432B65"/>
    <w:rsid w:val="00432D60"/>
    <w:rsid w:val="00432E3A"/>
    <w:rsid w:val="00432E6B"/>
    <w:rsid w:val="00432FEC"/>
    <w:rsid w:val="00433070"/>
    <w:rsid w:val="004330FA"/>
    <w:rsid w:val="00433126"/>
    <w:rsid w:val="00433186"/>
    <w:rsid w:val="0043332E"/>
    <w:rsid w:val="00433365"/>
    <w:rsid w:val="004334EB"/>
    <w:rsid w:val="004335DE"/>
    <w:rsid w:val="00433602"/>
    <w:rsid w:val="00433636"/>
    <w:rsid w:val="0043369D"/>
    <w:rsid w:val="004336A5"/>
    <w:rsid w:val="004336B9"/>
    <w:rsid w:val="0043375C"/>
    <w:rsid w:val="00433826"/>
    <w:rsid w:val="0043384C"/>
    <w:rsid w:val="0043385B"/>
    <w:rsid w:val="00433922"/>
    <w:rsid w:val="00433966"/>
    <w:rsid w:val="00433B3C"/>
    <w:rsid w:val="00433B99"/>
    <w:rsid w:val="00433C40"/>
    <w:rsid w:val="00433C5B"/>
    <w:rsid w:val="00433D18"/>
    <w:rsid w:val="00433D94"/>
    <w:rsid w:val="00433DB7"/>
    <w:rsid w:val="00433E24"/>
    <w:rsid w:val="00433E81"/>
    <w:rsid w:val="00433EF2"/>
    <w:rsid w:val="00433F4E"/>
    <w:rsid w:val="00433F8A"/>
    <w:rsid w:val="00433FBE"/>
    <w:rsid w:val="004340C1"/>
    <w:rsid w:val="004342FC"/>
    <w:rsid w:val="00434329"/>
    <w:rsid w:val="00434435"/>
    <w:rsid w:val="004345F7"/>
    <w:rsid w:val="0043462F"/>
    <w:rsid w:val="0043481F"/>
    <w:rsid w:val="00434915"/>
    <w:rsid w:val="0043491A"/>
    <w:rsid w:val="00434A40"/>
    <w:rsid w:val="00434AB5"/>
    <w:rsid w:val="00434B0E"/>
    <w:rsid w:val="00434CA5"/>
    <w:rsid w:val="00434E1D"/>
    <w:rsid w:val="00434E53"/>
    <w:rsid w:val="00434EC7"/>
    <w:rsid w:val="00434FAC"/>
    <w:rsid w:val="00434FAE"/>
    <w:rsid w:val="00435151"/>
    <w:rsid w:val="004351C7"/>
    <w:rsid w:val="004351F2"/>
    <w:rsid w:val="0043533F"/>
    <w:rsid w:val="004355D4"/>
    <w:rsid w:val="00435617"/>
    <w:rsid w:val="00435645"/>
    <w:rsid w:val="00435A1F"/>
    <w:rsid w:val="00435A44"/>
    <w:rsid w:val="00435ACF"/>
    <w:rsid w:val="00435AEB"/>
    <w:rsid w:val="00435BA4"/>
    <w:rsid w:val="00435C16"/>
    <w:rsid w:val="00435C6C"/>
    <w:rsid w:val="00435F2D"/>
    <w:rsid w:val="00435FD8"/>
    <w:rsid w:val="004360A4"/>
    <w:rsid w:val="004360DA"/>
    <w:rsid w:val="004361FF"/>
    <w:rsid w:val="0043624B"/>
    <w:rsid w:val="004362BA"/>
    <w:rsid w:val="004362EC"/>
    <w:rsid w:val="0043630C"/>
    <w:rsid w:val="00436342"/>
    <w:rsid w:val="0043639F"/>
    <w:rsid w:val="00436529"/>
    <w:rsid w:val="0043652D"/>
    <w:rsid w:val="00436585"/>
    <w:rsid w:val="00436590"/>
    <w:rsid w:val="004365D9"/>
    <w:rsid w:val="004365E6"/>
    <w:rsid w:val="00436609"/>
    <w:rsid w:val="00436671"/>
    <w:rsid w:val="00436700"/>
    <w:rsid w:val="004367BE"/>
    <w:rsid w:val="00436800"/>
    <w:rsid w:val="00436A2C"/>
    <w:rsid w:val="00436ABD"/>
    <w:rsid w:val="00436BAE"/>
    <w:rsid w:val="00436BB3"/>
    <w:rsid w:val="00436BEA"/>
    <w:rsid w:val="00436CE4"/>
    <w:rsid w:val="00436D5A"/>
    <w:rsid w:val="00436FC3"/>
    <w:rsid w:val="004370DE"/>
    <w:rsid w:val="00437135"/>
    <w:rsid w:val="0043717A"/>
    <w:rsid w:val="00437269"/>
    <w:rsid w:val="004375A8"/>
    <w:rsid w:val="00437626"/>
    <w:rsid w:val="004376FF"/>
    <w:rsid w:val="00437876"/>
    <w:rsid w:val="00437957"/>
    <w:rsid w:val="004379FF"/>
    <w:rsid w:val="00437A3A"/>
    <w:rsid w:val="00437CFD"/>
    <w:rsid w:val="00437DED"/>
    <w:rsid w:val="00437F21"/>
    <w:rsid w:val="00440088"/>
    <w:rsid w:val="00440221"/>
    <w:rsid w:val="0044035E"/>
    <w:rsid w:val="004403C7"/>
    <w:rsid w:val="00440544"/>
    <w:rsid w:val="00440566"/>
    <w:rsid w:val="004405CA"/>
    <w:rsid w:val="00440662"/>
    <w:rsid w:val="00440733"/>
    <w:rsid w:val="00440776"/>
    <w:rsid w:val="004407C4"/>
    <w:rsid w:val="00440893"/>
    <w:rsid w:val="00440993"/>
    <w:rsid w:val="00440A45"/>
    <w:rsid w:val="00440C34"/>
    <w:rsid w:val="00440CC7"/>
    <w:rsid w:val="00440CDA"/>
    <w:rsid w:val="00440DB1"/>
    <w:rsid w:val="00440E11"/>
    <w:rsid w:val="00440FF1"/>
    <w:rsid w:val="00440FF2"/>
    <w:rsid w:val="0044104F"/>
    <w:rsid w:val="004410AD"/>
    <w:rsid w:val="0044115B"/>
    <w:rsid w:val="00441169"/>
    <w:rsid w:val="00441227"/>
    <w:rsid w:val="004412BA"/>
    <w:rsid w:val="004412C8"/>
    <w:rsid w:val="004412C9"/>
    <w:rsid w:val="0044177E"/>
    <w:rsid w:val="004417D3"/>
    <w:rsid w:val="00441889"/>
    <w:rsid w:val="0044190C"/>
    <w:rsid w:val="00441A8E"/>
    <w:rsid w:val="00441AC5"/>
    <w:rsid w:val="00441C12"/>
    <w:rsid w:val="00441D11"/>
    <w:rsid w:val="00441E96"/>
    <w:rsid w:val="00441EF0"/>
    <w:rsid w:val="00441F0D"/>
    <w:rsid w:val="00441F9E"/>
    <w:rsid w:val="00441FD5"/>
    <w:rsid w:val="00441FFC"/>
    <w:rsid w:val="00442089"/>
    <w:rsid w:val="00442102"/>
    <w:rsid w:val="004422C2"/>
    <w:rsid w:val="004422C8"/>
    <w:rsid w:val="004423CE"/>
    <w:rsid w:val="004423FE"/>
    <w:rsid w:val="0044264F"/>
    <w:rsid w:val="00442835"/>
    <w:rsid w:val="0044289A"/>
    <w:rsid w:val="004428C9"/>
    <w:rsid w:val="004428E1"/>
    <w:rsid w:val="00442929"/>
    <w:rsid w:val="0044294F"/>
    <w:rsid w:val="00442976"/>
    <w:rsid w:val="00442A7E"/>
    <w:rsid w:val="00442AE9"/>
    <w:rsid w:val="00442AFA"/>
    <w:rsid w:val="00442B19"/>
    <w:rsid w:val="00442B6A"/>
    <w:rsid w:val="00442BB4"/>
    <w:rsid w:val="00442C7E"/>
    <w:rsid w:val="00442C91"/>
    <w:rsid w:val="00442DB4"/>
    <w:rsid w:val="00442DE7"/>
    <w:rsid w:val="00442F8E"/>
    <w:rsid w:val="00443079"/>
    <w:rsid w:val="0044309D"/>
    <w:rsid w:val="004430CB"/>
    <w:rsid w:val="0044311A"/>
    <w:rsid w:val="004432E9"/>
    <w:rsid w:val="00443358"/>
    <w:rsid w:val="0044339D"/>
    <w:rsid w:val="004433B2"/>
    <w:rsid w:val="004433BE"/>
    <w:rsid w:val="00443528"/>
    <w:rsid w:val="004435D5"/>
    <w:rsid w:val="0044360C"/>
    <w:rsid w:val="0044366E"/>
    <w:rsid w:val="00443684"/>
    <w:rsid w:val="004436EA"/>
    <w:rsid w:val="00443750"/>
    <w:rsid w:val="00443A37"/>
    <w:rsid w:val="00443A6A"/>
    <w:rsid w:val="00443C0D"/>
    <w:rsid w:val="00443D4C"/>
    <w:rsid w:val="00443DA5"/>
    <w:rsid w:val="00443E03"/>
    <w:rsid w:val="00443F3C"/>
    <w:rsid w:val="00443F5E"/>
    <w:rsid w:val="00443FE5"/>
    <w:rsid w:val="0044405E"/>
    <w:rsid w:val="00444099"/>
    <w:rsid w:val="004441B5"/>
    <w:rsid w:val="0044421B"/>
    <w:rsid w:val="00444235"/>
    <w:rsid w:val="00444264"/>
    <w:rsid w:val="004442FC"/>
    <w:rsid w:val="0044435F"/>
    <w:rsid w:val="004443B6"/>
    <w:rsid w:val="00444563"/>
    <w:rsid w:val="00444597"/>
    <w:rsid w:val="00444614"/>
    <w:rsid w:val="00444678"/>
    <w:rsid w:val="0044476C"/>
    <w:rsid w:val="00444A1D"/>
    <w:rsid w:val="00444A36"/>
    <w:rsid w:val="00444CAD"/>
    <w:rsid w:val="00444D74"/>
    <w:rsid w:val="00444FD9"/>
    <w:rsid w:val="0044500D"/>
    <w:rsid w:val="0044514D"/>
    <w:rsid w:val="00445205"/>
    <w:rsid w:val="00445435"/>
    <w:rsid w:val="0044558D"/>
    <w:rsid w:val="00445598"/>
    <w:rsid w:val="004456A6"/>
    <w:rsid w:val="004456C7"/>
    <w:rsid w:val="00445740"/>
    <w:rsid w:val="0044574B"/>
    <w:rsid w:val="004457F1"/>
    <w:rsid w:val="004458A1"/>
    <w:rsid w:val="0044593A"/>
    <w:rsid w:val="00445991"/>
    <w:rsid w:val="00445C12"/>
    <w:rsid w:val="00445C5A"/>
    <w:rsid w:val="00445CB0"/>
    <w:rsid w:val="00445DBD"/>
    <w:rsid w:val="00445F68"/>
    <w:rsid w:val="0044608A"/>
    <w:rsid w:val="00446106"/>
    <w:rsid w:val="00446161"/>
    <w:rsid w:val="004461B2"/>
    <w:rsid w:val="004461C5"/>
    <w:rsid w:val="0044623D"/>
    <w:rsid w:val="004462A3"/>
    <w:rsid w:val="00446483"/>
    <w:rsid w:val="00446487"/>
    <w:rsid w:val="004464DC"/>
    <w:rsid w:val="00446509"/>
    <w:rsid w:val="0044650F"/>
    <w:rsid w:val="00446608"/>
    <w:rsid w:val="004466AC"/>
    <w:rsid w:val="00446813"/>
    <w:rsid w:val="0044682A"/>
    <w:rsid w:val="00446890"/>
    <w:rsid w:val="0044689C"/>
    <w:rsid w:val="00446A0E"/>
    <w:rsid w:val="00446B58"/>
    <w:rsid w:val="00446E45"/>
    <w:rsid w:val="00446EB2"/>
    <w:rsid w:val="00446F04"/>
    <w:rsid w:val="00446FC6"/>
    <w:rsid w:val="00446FDB"/>
    <w:rsid w:val="0044718E"/>
    <w:rsid w:val="0044723B"/>
    <w:rsid w:val="00447280"/>
    <w:rsid w:val="00447380"/>
    <w:rsid w:val="00447530"/>
    <w:rsid w:val="004475A5"/>
    <w:rsid w:val="004475AC"/>
    <w:rsid w:val="004475C1"/>
    <w:rsid w:val="0044764A"/>
    <w:rsid w:val="00447739"/>
    <w:rsid w:val="0044774F"/>
    <w:rsid w:val="004477BD"/>
    <w:rsid w:val="00447A64"/>
    <w:rsid w:val="00447A67"/>
    <w:rsid w:val="00447A91"/>
    <w:rsid w:val="00447AA0"/>
    <w:rsid w:val="00447C39"/>
    <w:rsid w:val="00447C84"/>
    <w:rsid w:val="00447CAC"/>
    <w:rsid w:val="00447CBE"/>
    <w:rsid w:val="00447CC8"/>
    <w:rsid w:val="00447DE0"/>
    <w:rsid w:val="00447E99"/>
    <w:rsid w:val="00447F2A"/>
    <w:rsid w:val="00447F6F"/>
    <w:rsid w:val="0045013D"/>
    <w:rsid w:val="00450246"/>
    <w:rsid w:val="00450273"/>
    <w:rsid w:val="00450314"/>
    <w:rsid w:val="0045033D"/>
    <w:rsid w:val="0045066D"/>
    <w:rsid w:val="004508BA"/>
    <w:rsid w:val="00450A5D"/>
    <w:rsid w:val="00450A9D"/>
    <w:rsid w:val="00450ABB"/>
    <w:rsid w:val="00450B89"/>
    <w:rsid w:val="00450B94"/>
    <w:rsid w:val="00450BC2"/>
    <w:rsid w:val="00450BEC"/>
    <w:rsid w:val="00450C8E"/>
    <w:rsid w:val="00450D90"/>
    <w:rsid w:val="00450DC8"/>
    <w:rsid w:val="00450E2E"/>
    <w:rsid w:val="00450E9D"/>
    <w:rsid w:val="0045101F"/>
    <w:rsid w:val="0045108E"/>
    <w:rsid w:val="004511B0"/>
    <w:rsid w:val="004511D1"/>
    <w:rsid w:val="0045120E"/>
    <w:rsid w:val="00451293"/>
    <w:rsid w:val="0045129D"/>
    <w:rsid w:val="004512AB"/>
    <w:rsid w:val="00451410"/>
    <w:rsid w:val="0045143E"/>
    <w:rsid w:val="004514D4"/>
    <w:rsid w:val="00451737"/>
    <w:rsid w:val="004517A3"/>
    <w:rsid w:val="0045183D"/>
    <w:rsid w:val="0045189F"/>
    <w:rsid w:val="00451B3F"/>
    <w:rsid w:val="00451E60"/>
    <w:rsid w:val="00451E98"/>
    <w:rsid w:val="00451FE4"/>
    <w:rsid w:val="004520FA"/>
    <w:rsid w:val="00452138"/>
    <w:rsid w:val="00452190"/>
    <w:rsid w:val="004521E0"/>
    <w:rsid w:val="004522DD"/>
    <w:rsid w:val="00452388"/>
    <w:rsid w:val="0045238A"/>
    <w:rsid w:val="004523DA"/>
    <w:rsid w:val="0045246C"/>
    <w:rsid w:val="004524D8"/>
    <w:rsid w:val="00452561"/>
    <w:rsid w:val="0045258F"/>
    <w:rsid w:val="00452979"/>
    <w:rsid w:val="004529DE"/>
    <w:rsid w:val="00452A66"/>
    <w:rsid w:val="00452B11"/>
    <w:rsid w:val="00452B36"/>
    <w:rsid w:val="00452C14"/>
    <w:rsid w:val="00452CBE"/>
    <w:rsid w:val="00452CC0"/>
    <w:rsid w:val="00452D86"/>
    <w:rsid w:val="00452DCE"/>
    <w:rsid w:val="00452DE9"/>
    <w:rsid w:val="00452F1F"/>
    <w:rsid w:val="00453042"/>
    <w:rsid w:val="004530C1"/>
    <w:rsid w:val="004530FF"/>
    <w:rsid w:val="004531D3"/>
    <w:rsid w:val="004531D8"/>
    <w:rsid w:val="00453254"/>
    <w:rsid w:val="00453346"/>
    <w:rsid w:val="00453426"/>
    <w:rsid w:val="004535BF"/>
    <w:rsid w:val="00453600"/>
    <w:rsid w:val="00453640"/>
    <w:rsid w:val="00453643"/>
    <w:rsid w:val="00453658"/>
    <w:rsid w:val="004536C1"/>
    <w:rsid w:val="00453752"/>
    <w:rsid w:val="0045375F"/>
    <w:rsid w:val="00453762"/>
    <w:rsid w:val="00453791"/>
    <w:rsid w:val="004537C2"/>
    <w:rsid w:val="0045395F"/>
    <w:rsid w:val="004539B7"/>
    <w:rsid w:val="00453B5C"/>
    <w:rsid w:val="00453BAE"/>
    <w:rsid w:val="00453C5C"/>
    <w:rsid w:val="00453C92"/>
    <w:rsid w:val="00453D65"/>
    <w:rsid w:val="00453E09"/>
    <w:rsid w:val="00453F29"/>
    <w:rsid w:val="00453F55"/>
    <w:rsid w:val="00453F8A"/>
    <w:rsid w:val="00453FC9"/>
    <w:rsid w:val="0045414D"/>
    <w:rsid w:val="004541EE"/>
    <w:rsid w:val="0045426B"/>
    <w:rsid w:val="0045432B"/>
    <w:rsid w:val="00454547"/>
    <w:rsid w:val="00454687"/>
    <w:rsid w:val="004546D1"/>
    <w:rsid w:val="004549C4"/>
    <w:rsid w:val="004549EC"/>
    <w:rsid w:val="00454A27"/>
    <w:rsid w:val="00454A57"/>
    <w:rsid w:val="00454AF0"/>
    <w:rsid w:val="00454AF4"/>
    <w:rsid w:val="00454B1D"/>
    <w:rsid w:val="00454B80"/>
    <w:rsid w:val="00454BD5"/>
    <w:rsid w:val="00454C3A"/>
    <w:rsid w:val="00454C60"/>
    <w:rsid w:val="00454D7F"/>
    <w:rsid w:val="00454F4D"/>
    <w:rsid w:val="00454FC1"/>
    <w:rsid w:val="00455045"/>
    <w:rsid w:val="004550FA"/>
    <w:rsid w:val="0045534B"/>
    <w:rsid w:val="004553F2"/>
    <w:rsid w:val="0045549D"/>
    <w:rsid w:val="0045563E"/>
    <w:rsid w:val="00455672"/>
    <w:rsid w:val="0045569D"/>
    <w:rsid w:val="00455830"/>
    <w:rsid w:val="004558BD"/>
    <w:rsid w:val="00455A05"/>
    <w:rsid w:val="00455A88"/>
    <w:rsid w:val="00455B3C"/>
    <w:rsid w:val="00455B50"/>
    <w:rsid w:val="00455B60"/>
    <w:rsid w:val="00455B84"/>
    <w:rsid w:val="00455DF3"/>
    <w:rsid w:val="00455DF7"/>
    <w:rsid w:val="00455E7E"/>
    <w:rsid w:val="00455F0F"/>
    <w:rsid w:val="00455FA7"/>
    <w:rsid w:val="00455FC4"/>
    <w:rsid w:val="00456103"/>
    <w:rsid w:val="0045612B"/>
    <w:rsid w:val="00456230"/>
    <w:rsid w:val="0045624C"/>
    <w:rsid w:val="00456261"/>
    <w:rsid w:val="00456377"/>
    <w:rsid w:val="004563BA"/>
    <w:rsid w:val="004563F7"/>
    <w:rsid w:val="004565CF"/>
    <w:rsid w:val="004565F7"/>
    <w:rsid w:val="00456641"/>
    <w:rsid w:val="004566D5"/>
    <w:rsid w:val="004566F7"/>
    <w:rsid w:val="0045675D"/>
    <w:rsid w:val="004567E3"/>
    <w:rsid w:val="004567EA"/>
    <w:rsid w:val="00456825"/>
    <w:rsid w:val="00456865"/>
    <w:rsid w:val="0045696A"/>
    <w:rsid w:val="00456A3F"/>
    <w:rsid w:val="00456A93"/>
    <w:rsid w:val="00456AD5"/>
    <w:rsid w:val="00456B0E"/>
    <w:rsid w:val="00456B36"/>
    <w:rsid w:val="00456B41"/>
    <w:rsid w:val="00456C7A"/>
    <w:rsid w:val="00456D76"/>
    <w:rsid w:val="00456F16"/>
    <w:rsid w:val="00457094"/>
    <w:rsid w:val="00457117"/>
    <w:rsid w:val="004571E9"/>
    <w:rsid w:val="00457267"/>
    <w:rsid w:val="00457281"/>
    <w:rsid w:val="004572C3"/>
    <w:rsid w:val="0045733B"/>
    <w:rsid w:val="004574AF"/>
    <w:rsid w:val="004574CA"/>
    <w:rsid w:val="00457502"/>
    <w:rsid w:val="0045755D"/>
    <w:rsid w:val="0045760E"/>
    <w:rsid w:val="00457747"/>
    <w:rsid w:val="00457781"/>
    <w:rsid w:val="0045793D"/>
    <w:rsid w:val="0045795C"/>
    <w:rsid w:val="00457982"/>
    <w:rsid w:val="00457A77"/>
    <w:rsid w:val="00457D70"/>
    <w:rsid w:val="00457E6B"/>
    <w:rsid w:val="00457F74"/>
    <w:rsid w:val="00457FC3"/>
    <w:rsid w:val="00460067"/>
    <w:rsid w:val="00460133"/>
    <w:rsid w:val="00460252"/>
    <w:rsid w:val="00460307"/>
    <w:rsid w:val="004603E7"/>
    <w:rsid w:val="004604C3"/>
    <w:rsid w:val="00460609"/>
    <w:rsid w:val="0046061E"/>
    <w:rsid w:val="00460679"/>
    <w:rsid w:val="00460735"/>
    <w:rsid w:val="00460909"/>
    <w:rsid w:val="00460929"/>
    <w:rsid w:val="004609DB"/>
    <w:rsid w:val="00460AA1"/>
    <w:rsid w:val="00460B6C"/>
    <w:rsid w:val="00460B6E"/>
    <w:rsid w:val="00460E36"/>
    <w:rsid w:val="00460ECE"/>
    <w:rsid w:val="00460F53"/>
    <w:rsid w:val="00460F87"/>
    <w:rsid w:val="00460FE2"/>
    <w:rsid w:val="00460FF4"/>
    <w:rsid w:val="0046100A"/>
    <w:rsid w:val="004610D0"/>
    <w:rsid w:val="00461181"/>
    <w:rsid w:val="004611BA"/>
    <w:rsid w:val="004611E7"/>
    <w:rsid w:val="004611FB"/>
    <w:rsid w:val="00461254"/>
    <w:rsid w:val="004612BF"/>
    <w:rsid w:val="004612C5"/>
    <w:rsid w:val="0046130E"/>
    <w:rsid w:val="00461467"/>
    <w:rsid w:val="004615EB"/>
    <w:rsid w:val="00461697"/>
    <w:rsid w:val="004616C0"/>
    <w:rsid w:val="004616DB"/>
    <w:rsid w:val="004618D6"/>
    <w:rsid w:val="0046191F"/>
    <w:rsid w:val="00461A1B"/>
    <w:rsid w:val="00461A32"/>
    <w:rsid w:val="00461B33"/>
    <w:rsid w:val="00461BF3"/>
    <w:rsid w:val="00461CC0"/>
    <w:rsid w:val="00461CDF"/>
    <w:rsid w:val="00461D0A"/>
    <w:rsid w:val="00461E2A"/>
    <w:rsid w:val="00461EAC"/>
    <w:rsid w:val="00461FB0"/>
    <w:rsid w:val="00461FF9"/>
    <w:rsid w:val="00462024"/>
    <w:rsid w:val="00462079"/>
    <w:rsid w:val="004622AE"/>
    <w:rsid w:val="0046233C"/>
    <w:rsid w:val="00462445"/>
    <w:rsid w:val="00462536"/>
    <w:rsid w:val="00462591"/>
    <w:rsid w:val="004625D2"/>
    <w:rsid w:val="00462659"/>
    <w:rsid w:val="0046270B"/>
    <w:rsid w:val="00462879"/>
    <w:rsid w:val="004628AA"/>
    <w:rsid w:val="004628B6"/>
    <w:rsid w:val="004629A1"/>
    <w:rsid w:val="00462AA3"/>
    <w:rsid w:val="00462AC2"/>
    <w:rsid w:val="00462B53"/>
    <w:rsid w:val="00462C7B"/>
    <w:rsid w:val="00462D7E"/>
    <w:rsid w:val="00462E4D"/>
    <w:rsid w:val="00462EF1"/>
    <w:rsid w:val="00462FEC"/>
    <w:rsid w:val="004630C2"/>
    <w:rsid w:val="004630D6"/>
    <w:rsid w:val="00463116"/>
    <w:rsid w:val="00463147"/>
    <w:rsid w:val="0046333F"/>
    <w:rsid w:val="00463373"/>
    <w:rsid w:val="004633A6"/>
    <w:rsid w:val="004633F9"/>
    <w:rsid w:val="004634C9"/>
    <w:rsid w:val="0046359D"/>
    <w:rsid w:val="00463930"/>
    <w:rsid w:val="00463956"/>
    <w:rsid w:val="00463A39"/>
    <w:rsid w:val="00463AFA"/>
    <w:rsid w:val="00463B42"/>
    <w:rsid w:val="00463B7E"/>
    <w:rsid w:val="00463C08"/>
    <w:rsid w:val="00463C58"/>
    <w:rsid w:val="00463C7D"/>
    <w:rsid w:val="00463C8D"/>
    <w:rsid w:val="00463CA0"/>
    <w:rsid w:val="00463D32"/>
    <w:rsid w:val="00463D46"/>
    <w:rsid w:val="00463D50"/>
    <w:rsid w:val="00463DF1"/>
    <w:rsid w:val="00463F5D"/>
    <w:rsid w:val="00463FF4"/>
    <w:rsid w:val="00464086"/>
    <w:rsid w:val="00464173"/>
    <w:rsid w:val="004641CA"/>
    <w:rsid w:val="00464210"/>
    <w:rsid w:val="00464301"/>
    <w:rsid w:val="00464488"/>
    <w:rsid w:val="0046451B"/>
    <w:rsid w:val="00464520"/>
    <w:rsid w:val="00464652"/>
    <w:rsid w:val="00464656"/>
    <w:rsid w:val="004646D2"/>
    <w:rsid w:val="00464816"/>
    <w:rsid w:val="0046484B"/>
    <w:rsid w:val="004648CF"/>
    <w:rsid w:val="0046492A"/>
    <w:rsid w:val="004649AA"/>
    <w:rsid w:val="004649EE"/>
    <w:rsid w:val="00464B45"/>
    <w:rsid w:val="00464D35"/>
    <w:rsid w:val="00464E5C"/>
    <w:rsid w:val="00464F16"/>
    <w:rsid w:val="00465140"/>
    <w:rsid w:val="00465174"/>
    <w:rsid w:val="00465183"/>
    <w:rsid w:val="00465366"/>
    <w:rsid w:val="0046537A"/>
    <w:rsid w:val="004653F1"/>
    <w:rsid w:val="004653FF"/>
    <w:rsid w:val="00465435"/>
    <w:rsid w:val="004654EE"/>
    <w:rsid w:val="00465514"/>
    <w:rsid w:val="0046556E"/>
    <w:rsid w:val="00465644"/>
    <w:rsid w:val="004656F5"/>
    <w:rsid w:val="0046573E"/>
    <w:rsid w:val="004657BA"/>
    <w:rsid w:val="004657F6"/>
    <w:rsid w:val="00465911"/>
    <w:rsid w:val="0046594C"/>
    <w:rsid w:val="00465A85"/>
    <w:rsid w:val="00465AAB"/>
    <w:rsid w:val="00465B34"/>
    <w:rsid w:val="00465BB5"/>
    <w:rsid w:val="00465C74"/>
    <w:rsid w:val="00465D65"/>
    <w:rsid w:val="00465E62"/>
    <w:rsid w:val="00465E7B"/>
    <w:rsid w:val="00465EB8"/>
    <w:rsid w:val="00465EE5"/>
    <w:rsid w:val="00465FE7"/>
    <w:rsid w:val="0046606B"/>
    <w:rsid w:val="004660CA"/>
    <w:rsid w:val="004660DB"/>
    <w:rsid w:val="00466171"/>
    <w:rsid w:val="004661CC"/>
    <w:rsid w:val="004661EB"/>
    <w:rsid w:val="00466259"/>
    <w:rsid w:val="0046642D"/>
    <w:rsid w:val="00466698"/>
    <w:rsid w:val="0046669D"/>
    <w:rsid w:val="004666F2"/>
    <w:rsid w:val="00466744"/>
    <w:rsid w:val="00466745"/>
    <w:rsid w:val="00466768"/>
    <w:rsid w:val="004667D8"/>
    <w:rsid w:val="004669B8"/>
    <w:rsid w:val="00466A2F"/>
    <w:rsid w:val="00466B08"/>
    <w:rsid w:val="00466B4C"/>
    <w:rsid w:val="00466B73"/>
    <w:rsid w:val="00466BCD"/>
    <w:rsid w:val="00466D2B"/>
    <w:rsid w:val="00466DB0"/>
    <w:rsid w:val="00466E51"/>
    <w:rsid w:val="00466F7A"/>
    <w:rsid w:val="00467013"/>
    <w:rsid w:val="004671A7"/>
    <w:rsid w:val="004671E6"/>
    <w:rsid w:val="0046735A"/>
    <w:rsid w:val="00467405"/>
    <w:rsid w:val="00467450"/>
    <w:rsid w:val="00467499"/>
    <w:rsid w:val="0046777B"/>
    <w:rsid w:val="004678D7"/>
    <w:rsid w:val="004678F2"/>
    <w:rsid w:val="00467928"/>
    <w:rsid w:val="004679F3"/>
    <w:rsid w:val="00467A25"/>
    <w:rsid w:val="00467C8D"/>
    <w:rsid w:val="00467D6C"/>
    <w:rsid w:val="00467DBD"/>
    <w:rsid w:val="00467DF7"/>
    <w:rsid w:val="00467E70"/>
    <w:rsid w:val="00467FA2"/>
    <w:rsid w:val="00467FBE"/>
    <w:rsid w:val="00467FC3"/>
    <w:rsid w:val="00467FD6"/>
    <w:rsid w:val="00470038"/>
    <w:rsid w:val="004700E8"/>
    <w:rsid w:val="004703AB"/>
    <w:rsid w:val="004703EF"/>
    <w:rsid w:val="004707E6"/>
    <w:rsid w:val="00470869"/>
    <w:rsid w:val="00470A12"/>
    <w:rsid w:val="00470AB7"/>
    <w:rsid w:val="00470B5D"/>
    <w:rsid w:val="00470BD6"/>
    <w:rsid w:val="00470D4B"/>
    <w:rsid w:val="00470FE1"/>
    <w:rsid w:val="00471283"/>
    <w:rsid w:val="004712CB"/>
    <w:rsid w:val="004712E8"/>
    <w:rsid w:val="00471460"/>
    <w:rsid w:val="00471468"/>
    <w:rsid w:val="004715C9"/>
    <w:rsid w:val="0047162D"/>
    <w:rsid w:val="00471660"/>
    <w:rsid w:val="004716D6"/>
    <w:rsid w:val="004717E8"/>
    <w:rsid w:val="0047185B"/>
    <w:rsid w:val="0047189E"/>
    <w:rsid w:val="004718DB"/>
    <w:rsid w:val="00471989"/>
    <w:rsid w:val="004719E1"/>
    <w:rsid w:val="00471B0D"/>
    <w:rsid w:val="00471B5A"/>
    <w:rsid w:val="00471C00"/>
    <w:rsid w:val="00471C0D"/>
    <w:rsid w:val="00471D26"/>
    <w:rsid w:val="00471E69"/>
    <w:rsid w:val="00471E92"/>
    <w:rsid w:val="00471F79"/>
    <w:rsid w:val="0047218D"/>
    <w:rsid w:val="00472205"/>
    <w:rsid w:val="004722FF"/>
    <w:rsid w:val="00472322"/>
    <w:rsid w:val="0047237D"/>
    <w:rsid w:val="004723F7"/>
    <w:rsid w:val="004725C3"/>
    <w:rsid w:val="00472604"/>
    <w:rsid w:val="00472674"/>
    <w:rsid w:val="00472708"/>
    <w:rsid w:val="0047270A"/>
    <w:rsid w:val="0047271A"/>
    <w:rsid w:val="0047292F"/>
    <w:rsid w:val="00472B0F"/>
    <w:rsid w:val="00472B79"/>
    <w:rsid w:val="00472BFE"/>
    <w:rsid w:val="00472EB3"/>
    <w:rsid w:val="00472F21"/>
    <w:rsid w:val="00473024"/>
    <w:rsid w:val="004731AD"/>
    <w:rsid w:val="004731D2"/>
    <w:rsid w:val="0047322F"/>
    <w:rsid w:val="004732EF"/>
    <w:rsid w:val="004735CB"/>
    <w:rsid w:val="004735F8"/>
    <w:rsid w:val="00473654"/>
    <w:rsid w:val="0047365A"/>
    <w:rsid w:val="0047380F"/>
    <w:rsid w:val="004738A4"/>
    <w:rsid w:val="004738F7"/>
    <w:rsid w:val="00473B98"/>
    <w:rsid w:val="00473BC7"/>
    <w:rsid w:val="00473C2D"/>
    <w:rsid w:val="00473C9B"/>
    <w:rsid w:val="00473CA1"/>
    <w:rsid w:val="00473CF5"/>
    <w:rsid w:val="00473D68"/>
    <w:rsid w:val="00474020"/>
    <w:rsid w:val="0047410B"/>
    <w:rsid w:val="00474155"/>
    <w:rsid w:val="00474189"/>
    <w:rsid w:val="004741CF"/>
    <w:rsid w:val="004741DF"/>
    <w:rsid w:val="00474283"/>
    <w:rsid w:val="004742C0"/>
    <w:rsid w:val="004742ED"/>
    <w:rsid w:val="00474383"/>
    <w:rsid w:val="004743BC"/>
    <w:rsid w:val="00474422"/>
    <w:rsid w:val="00474720"/>
    <w:rsid w:val="0047478D"/>
    <w:rsid w:val="004747C8"/>
    <w:rsid w:val="00474A65"/>
    <w:rsid w:val="00474A72"/>
    <w:rsid w:val="00474AE0"/>
    <w:rsid w:val="00474CAD"/>
    <w:rsid w:val="00474D53"/>
    <w:rsid w:val="00474D89"/>
    <w:rsid w:val="00474DFC"/>
    <w:rsid w:val="00474EEE"/>
    <w:rsid w:val="00474EFD"/>
    <w:rsid w:val="00474F05"/>
    <w:rsid w:val="00474F3E"/>
    <w:rsid w:val="00474F51"/>
    <w:rsid w:val="00474FF9"/>
    <w:rsid w:val="00474FFC"/>
    <w:rsid w:val="004751F4"/>
    <w:rsid w:val="00475202"/>
    <w:rsid w:val="004753A3"/>
    <w:rsid w:val="0047543D"/>
    <w:rsid w:val="004754F1"/>
    <w:rsid w:val="004755D1"/>
    <w:rsid w:val="00475639"/>
    <w:rsid w:val="0047566F"/>
    <w:rsid w:val="0047568A"/>
    <w:rsid w:val="004756F0"/>
    <w:rsid w:val="004757A6"/>
    <w:rsid w:val="004757E7"/>
    <w:rsid w:val="00475870"/>
    <w:rsid w:val="004758F3"/>
    <w:rsid w:val="00475984"/>
    <w:rsid w:val="00475988"/>
    <w:rsid w:val="00475A37"/>
    <w:rsid w:val="00475A98"/>
    <w:rsid w:val="00475AA5"/>
    <w:rsid w:val="00475BD6"/>
    <w:rsid w:val="00475C90"/>
    <w:rsid w:val="00475D89"/>
    <w:rsid w:val="00475E06"/>
    <w:rsid w:val="00475F75"/>
    <w:rsid w:val="00476027"/>
    <w:rsid w:val="0047605E"/>
    <w:rsid w:val="0047608C"/>
    <w:rsid w:val="00476142"/>
    <w:rsid w:val="00476146"/>
    <w:rsid w:val="00476255"/>
    <w:rsid w:val="004762A8"/>
    <w:rsid w:val="004762B9"/>
    <w:rsid w:val="0047670F"/>
    <w:rsid w:val="004767AE"/>
    <w:rsid w:val="00476B0D"/>
    <w:rsid w:val="00476D28"/>
    <w:rsid w:val="00476E1E"/>
    <w:rsid w:val="00476F08"/>
    <w:rsid w:val="00476FAD"/>
    <w:rsid w:val="0047709A"/>
    <w:rsid w:val="0047723B"/>
    <w:rsid w:val="004773E2"/>
    <w:rsid w:val="00477411"/>
    <w:rsid w:val="0047746D"/>
    <w:rsid w:val="004774F0"/>
    <w:rsid w:val="00477862"/>
    <w:rsid w:val="0047793D"/>
    <w:rsid w:val="00477A10"/>
    <w:rsid w:val="00477A6A"/>
    <w:rsid w:val="00477AAA"/>
    <w:rsid w:val="00477D34"/>
    <w:rsid w:val="00477EEB"/>
    <w:rsid w:val="00480050"/>
    <w:rsid w:val="0048005B"/>
    <w:rsid w:val="004800E8"/>
    <w:rsid w:val="00480116"/>
    <w:rsid w:val="004801A6"/>
    <w:rsid w:val="00480232"/>
    <w:rsid w:val="004802D3"/>
    <w:rsid w:val="0048048A"/>
    <w:rsid w:val="004804C4"/>
    <w:rsid w:val="0048053A"/>
    <w:rsid w:val="004805CF"/>
    <w:rsid w:val="0048062C"/>
    <w:rsid w:val="0048069D"/>
    <w:rsid w:val="00480763"/>
    <w:rsid w:val="0048094C"/>
    <w:rsid w:val="00480AC9"/>
    <w:rsid w:val="00480B25"/>
    <w:rsid w:val="00480B98"/>
    <w:rsid w:val="00480BD5"/>
    <w:rsid w:val="00480BDD"/>
    <w:rsid w:val="00480BEB"/>
    <w:rsid w:val="00480C37"/>
    <w:rsid w:val="00480C72"/>
    <w:rsid w:val="00480DA2"/>
    <w:rsid w:val="00480DBF"/>
    <w:rsid w:val="00480EFF"/>
    <w:rsid w:val="00480FA2"/>
    <w:rsid w:val="0048103D"/>
    <w:rsid w:val="0048110F"/>
    <w:rsid w:val="004811A0"/>
    <w:rsid w:val="00481216"/>
    <w:rsid w:val="004813F9"/>
    <w:rsid w:val="004814FE"/>
    <w:rsid w:val="00481542"/>
    <w:rsid w:val="004816AA"/>
    <w:rsid w:val="004816BD"/>
    <w:rsid w:val="0048178C"/>
    <w:rsid w:val="004817E9"/>
    <w:rsid w:val="00481876"/>
    <w:rsid w:val="00481889"/>
    <w:rsid w:val="004818AA"/>
    <w:rsid w:val="00481928"/>
    <w:rsid w:val="00481B30"/>
    <w:rsid w:val="00481B7B"/>
    <w:rsid w:val="00481C44"/>
    <w:rsid w:val="00481C97"/>
    <w:rsid w:val="00481D18"/>
    <w:rsid w:val="00481D59"/>
    <w:rsid w:val="00481E5C"/>
    <w:rsid w:val="00481F28"/>
    <w:rsid w:val="0048218F"/>
    <w:rsid w:val="00482209"/>
    <w:rsid w:val="00482280"/>
    <w:rsid w:val="00482305"/>
    <w:rsid w:val="0048232F"/>
    <w:rsid w:val="0048233D"/>
    <w:rsid w:val="004823BD"/>
    <w:rsid w:val="0048247B"/>
    <w:rsid w:val="00482567"/>
    <w:rsid w:val="004825A0"/>
    <w:rsid w:val="00482747"/>
    <w:rsid w:val="0048276F"/>
    <w:rsid w:val="00482905"/>
    <w:rsid w:val="0048294E"/>
    <w:rsid w:val="00482A41"/>
    <w:rsid w:val="00482AC3"/>
    <w:rsid w:val="00482BF1"/>
    <w:rsid w:val="00482C8D"/>
    <w:rsid w:val="00482EC7"/>
    <w:rsid w:val="00482F3C"/>
    <w:rsid w:val="00483076"/>
    <w:rsid w:val="004831E2"/>
    <w:rsid w:val="00483273"/>
    <w:rsid w:val="004832A9"/>
    <w:rsid w:val="0048334D"/>
    <w:rsid w:val="00483389"/>
    <w:rsid w:val="00483431"/>
    <w:rsid w:val="0048344D"/>
    <w:rsid w:val="0048350F"/>
    <w:rsid w:val="00483511"/>
    <w:rsid w:val="00483523"/>
    <w:rsid w:val="00483528"/>
    <w:rsid w:val="0048390E"/>
    <w:rsid w:val="00483911"/>
    <w:rsid w:val="004839E2"/>
    <w:rsid w:val="00483A49"/>
    <w:rsid w:val="00483A58"/>
    <w:rsid w:val="00483CCC"/>
    <w:rsid w:val="00483D56"/>
    <w:rsid w:val="00483E3C"/>
    <w:rsid w:val="00483F14"/>
    <w:rsid w:val="00483F1E"/>
    <w:rsid w:val="00483F31"/>
    <w:rsid w:val="004843E1"/>
    <w:rsid w:val="004843E2"/>
    <w:rsid w:val="004843FB"/>
    <w:rsid w:val="004844BA"/>
    <w:rsid w:val="0048452F"/>
    <w:rsid w:val="00484643"/>
    <w:rsid w:val="004846CE"/>
    <w:rsid w:val="004846DE"/>
    <w:rsid w:val="00484767"/>
    <w:rsid w:val="0048490E"/>
    <w:rsid w:val="004849BB"/>
    <w:rsid w:val="004849C3"/>
    <w:rsid w:val="00484B27"/>
    <w:rsid w:val="00484BD5"/>
    <w:rsid w:val="00484C3F"/>
    <w:rsid w:val="00484C53"/>
    <w:rsid w:val="00484DB3"/>
    <w:rsid w:val="00484F5B"/>
    <w:rsid w:val="00485081"/>
    <w:rsid w:val="0048509D"/>
    <w:rsid w:val="004850E0"/>
    <w:rsid w:val="00485107"/>
    <w:rsid w:val="00485140"/>
    <w:rsid w:val="0048518D"/>
    <w:rsid w:val="0048523D"/>
    <w:rsid w:val="0048527D"/>
    <w:rsid w:val="0048539D"/>
    <w:rsid w:val="004853AA"/>
    <w:rsid w:val="004853CC"/>
    <w:rsid w:val="00485442"/>
    <w:rsid w:val="00485461"/>
    <w:rsid w:val="004854A2"/>
    <w:rsid w:val="0048550D"/>
    <w:rsid w:val="004855B6"/>
    <w:rsid w:val="00485670"/>
    <w:rsid w:val="00485688"/>
    <w:rsid w:val="004857A8"/>
    <w:rsid w:val="0048584C"/>
    <w:rsid w:val="004858D0"/>
    <w:rsid w:val="004859DD"/>
    <w:rsid w:val="00485BF5"/>
    <w:rsid w:val="00485C98"/>
    <w:rsid w:val="00485C99"/>
    <w:rsid w:val="00485CBB"/>
    <w:rsid w:val="00485CDA"/>
    <w:rsid w:val="00485D03"/>
    <w:rsid w:val="00485E3E"/>
    <w:rsid w:val="00485E79"/>
    <w:rsid w:val="00486006"/>
    <w:rsid w:val="00486034"/>
    <w:rsid w:val="00486128"/>
    <w:rsid w:val="0048614E"/>
    <w:rsid w:val="004863DF"/>
    <w:rsid w:val="00486442"/>
    <w:rsid w:val="0048645C"/>
    <w:rsid w:val="0048646F"/>
    <w:rsid w:val="0048656B"/>
    <w:rsid w:val="004866D3"/>
    <w:rsid w:val="00486792"/>
    <w:rsid w:val="004867AB"/>
    <w:rsid w:val="004867E3"/>
    <w:rsid w:val="004867F8"/>
    <w:rsid w:val="004868FF"/>
    <w:rsid w:val="00486B41"/>
    <w:rsid w:val="00486D8F"/>
    <w:rsid w:val="00486E3B"/>
    <w:rsid w:val="00486E3D"/>
    <w:rsid w:val="00486E90"/>
    <w:rsid w:val="00486F1A"/>
    <w:rsid w:val="00486F42"/>
    <w:rsid w:val="00486F43"/>
    <w:rsid w:val="00486FBF"/>
    <w:rsid w:val="00486FF1"/>
    <w:rsid w:val="0048700B"/>
    <w:rsid w:val="004871D8"/>
    <w:rsid w:val="00487209"/>
    <w:rsid w:val="004872A0"/>
    <w:rsid w:val="004872A1"/>
    <w:rsid w:val="004872AE"/>
    <w:rsid w:val="00487765"/>
    <w:rsid w:val="00487812"/>
    <w:rsid w:val="0048796C"/>
    <w:rsid w:val="00487A3C"/>
    <w:rsid w:val="00487B32"/>
    <w:rsid w:val="00487B34"/>
    <w:rsid w:val="00487C08"/>
    <w:rsid w:val="00487CF6"/>
    <w:rsid w:val="00487FE7"/>
    <w:rsid w:val="0049006B"/>
    <w:rsid w:val="0049007B"/>
    <w:rsid w:val="004901B8"/>
    <w:rsid w:val="00490310"/>
    <w:rsid w:val="00490313"/>
    <w:rsid w:val="0049045A"/>
    <w:rsid w:val="00490461"/>
    <w:rsid w:val="00490497"/>
    <w:rsid w:val="0049052C"/>
    <w:rsid w:val="004905E3"/>
    <w:rsid w:val="00490626"/>
    <w:rsid w:val="00490734"/>
    <w:rsid w:val="0049082F"/>
    <w:rsid w:val="0049088D"/>
    <w:rsid w:val="00490982"/>
    <w:rsid w:val="00490990"/>
    <w:rsid w:val="00490B3E"/>
    <w:rsid w:val="00490BDA"/>
    <w:rsid w:val="00490BFF"/>
    <w:rsid w:val="00490D46"/>
    <w:rsid w:val="00490E1C"/>
    <w:rsid w:val="00491063"/>
    <w:rsid w:val="0049114E"/>
    <w:rsid w:val="004911B6"/>
    <w:rsid w:val="00491213"/>
    <w:rsid w:val="00491366"/>
    <w:rsid w:val="004913D2"/>
    <w:rsid w:val="00491441"/>
    <w:rsid w:val="00491563"/>
    <w:rsid w:val="004915FE"/>
    <w:rsid w:val="004917E3"/>
    <w:rsid w:val="00491940"/>
    <w:rsid w:val="004919FD"/>
    <w:rsid w:val="00491A30"/>
    <w:rsid w:val="00491BCC"/>
    <w:rsid w:val="00491BFA"/>
    <w:rsid w:val="00491F2B"/>
    <w:rsid w:val="00491F51"/>
    <w:rsid w:val="004921F6"/>
    <w:rsid w:val="00492461"/>
    <w:rsid w:val="004924FD"/>
    <w:rsid w:val="00492646"/>
    <w:rsid w:val="00492803"/>
    <w:rsid w:val="00492AB5"/>
    <w:rsid w:val="00492ADD"/>
    <w:rsid w:val="00492B11"/>
    <w:rsid w:val="00492B2B"/>
    <w:rsid w:val="00492B8D"/>
    <w:rsid w:val="00492BAD"/>
    <w:rsid w:val="00492BFB"/>
    <w:rsid w:val="00492D52"/>
    <w:rsid w:val="00492DB7"/>
    <w:rsid w:val="00492F0F"/>
    <w:rsid w:val="00492F2E"/>
    <w:rsid w:val="00492FD2"/>
    <w:rsid w:val="00493006"/>
    <w:rsid w:val="004931B4"/>
    <w:rsid w:val="00493372"/>
    <w:rsid w:val="004933A7"/>
    <w:rsid w:val="004933A8"/>
    <w:rsid w:val="00493495"/>
    <w:rsid w:val="004934D6"/>
    <w:rsid w:val="00493625"/>
    <w:rsid w:val="00493642"/>
    <w:rsid w:val="0049365C"/>
    <w:rsid w:val="0049368B"/>
    <w:rsid w:val="004936D2"/>
    <w:rsid w:val="004936F5"/>
    <w:rsid w:val="0049371E"/>
    <w:rsid w:val="00493760"/>
    <w:rsid w:val="00493ACF"/>
    <w:rsid w:val="00493B31"/>
    <w:rsid w:val="00493B8B"/>
    <w:rsid w:val="00493B9E"/>
    <w:rsid w:val="00493BA0"/>
    <w:rsid w:val="00493C93"/>
    <w:rsid w:val="00493C94"/>
    <w:rsid w:val="00493CF9"/>
    <w:rsid w:val="00493DC4"/>
    <w:rsid w:val="00493DF3"/>
    <w:rsid w:val="00493E2C"/>
    <w:rsid w:val="00493E8B"/>
    <w:rsid w:val="00493F16"/>
    <w:rsid w:val="00493F95"/>
    <w:rsid w:val="004940B5"/>
    <w:rsid w:val="00494348"/>
    <w:rsid w:val="004943E7"/>
    <w:rsid w:val="00494579"/>
    <w:rsid w:val="00494667"/>
    <w:rsid w:val="004947BF"/>
    <w:rsid w:val="004947F8"/>
    <w:rsid w:val="00494A16"/>
    <w:rsid w:val="00494AA5"/>
    <w:rsid w:val="00494AB9"/>
    <w:rsid w:val="00494B9E"/>
    <w:rsid w:val="00494C50"/>
    <w:rsid w:val="00494C9E"/>
    <w:rsid w:val="00494D87"/>
    <w:rsid w:val="00494F4F"/>
    <w:rsid w:val="00494FDE"/>
    <w:rsid w:val="00495186"/>
    <w:rsid w:val="00495212"/>
    <w:rsid w:val="00495239"/>
    <w:rsid w:val="00495284"/>
    <w:rsid w:val="0049533D"/>
    <w:rsid w:val="0049534D"/>
    <w:rsid w:val="00495398"/>
    <w:rsid w:val="004953EF"/>
    <w:rsid w:val="004954A4"/>
    <w:rsid w:val="00495584"/>
    <w:rsid w:val="0049562E"/>
    <w:rsid w:val="00495652"/>
    <w:rsid w:val="00495672"/>
    <w:rsid w:val="00495826"/>
    <w:rsid w:val="00495B27"/>
    <w:rsid w:val="00495B45"/>
    <w:rsid w:val="00495B85"/>
    <w:rsid w:val="00495CA6"/>
    <w:rsid w:val="00495CBB"/>
    <w:rsid w:val="00495D0C"/>
    <w:rsid w:val="00495DEC"/>
    <w:rsid w:val="00495E7C"/>
    <w:rsid w:val="00496070"/>
    <w:rsid w:val="004960B5"/>
    <w:rsid w:val="00496131"/>
    <w:rsid w:val="004961DA"/>
    <w:rsid w:val="00496206"/>
    <w:rsid w:val="004962D1"/>
    <w:rsid w:val="00496549"/>
    <w:rsid w:val="004965F3"/>
    <w:rsid w:val="00496692"/>
    <w:rsid w:val="0049669E"/>
    <w:rsid w:val="004966F4"/>
    <w:rsid w:val="00496A6B"/>
    <w:rsid w:val="00496A80"/>
    <w:rsid w:val="00496BA8"/>
    <w:rsid w:val="00496C14"/>
    <w:rsid w:val="00496C2F"/>
    <w:rsid w:val="00496C43"/>
    <w:rsid w:val="00496C99"/>
    <w:rsid w:val="00496CBA"/>
    <w:rsid w:val="00496CF5"/>
    <w:rsid w:val="00496D88"/>
    <w:rsid w:val="00496DD9"/>
    <w:rsid w:val="00496E5E"/>
    <w:rsid w:val="00496E79"/>
    <w:rsid w:val="00496FEC"/>
    <w:rsid w:val="004970BD"/>
    <w:rsid w:val="004970C8"/>
    <w:rsid w:val="00497160"/>
    <w:rsid w:val="004971B9"/>
    <w:rsid w:val="004972D1"/>
    <w:rsid w:val="004972DC"/>
    <w:rsid w:val="0049746A"/>
    <w:rsid w:val="004974C3"/>
    <w:rsid w:val="004976DE"/>
    <w:rsid w:val="0049787A"/>
    <w:rsid w:val="004978AE"/>
    <w:rsid w:val="00497963"/>
    <w:rsid w:val="00497A60"/>
    <w:rsid w:val="00497BBC"/>
    <w:rsid w:val="00497BCB"/>
    <w:rsid w:val="00497BD1"/>
    <w:rsid w:val="00497C35"/>
    <w:rsid w:val="00497C49"/>
    <w:rsid w:val="00497C66"/>
    <w:rsid w:val="00497DC1"/>
    <w:rsid w:val="00497E64"/>
    <w:rsid w:val="004A0000"/>
    <w:rsid w:val="004A00CB"/>
    <w:rsid w:val="004A0348"/>
    <w:rsid w:val="004A03D8"/>
    <w:rsid w:val="004A05ED"/>
    <w:rsid w:val="004A065A"/>
    <w:rsid w:val="004A06B0"/>
    <w:rsid w:val="004A06D1"/>
    <w:rsid w:val="004A0766"/>
    <w:rsid w:val="004A07F8"/>
    <w:rsid w:val="004A08C7"/>
    <w:rsid w:val="004A092C"/>
    <w:rsid w:val="004A0B55"/>
    <w:rsid w:val="004A0B63"/>
    <w:rsid w:val="004A0B6C"/>
    <w:rsid w:val="004A0BE6"/>
    <w:rsid w:val="004A0D8F"/>
    <w:rsid w:val="004A0EFA"/>
    <w:rsid w:val="004A10CE"/>
    <w:rsid w:val="004A10FF"/>
    <w:rsid w:val="004A130C"/>
    <w:rsid w:val="004A1356"/>
    <w:rsid w:val="004A155D"/>
    <w:rsid w:val="004A16DE"/>
    <w:rsid w:val="004A172B"/>
    <w:rsid w:val="004A17BD"/>
    <w:rsid w:val="004A1946"/>
    <w:rsid w:val="004A1A7B"/>
    <w:rsid w:val="004A1B3C"/>
    <w:rsid w:val="004A1C07"/>
    <w:rsid w:val="004A1C4D"/>
    <w:rsid w:val="004A1D24"/>
    <w:rsid w:val="004A1D26"/>
    <w:rsid w:val="004A1F3C"/>
    <w:rsid w:val="004A1FAD"/>
    <w:rsid w:val="004A201E"/>
    <w:rsid w:val="004A2027"/>
    <w:rsid w:val="004A203C"/>
    <w:rsid w:val="004A2100"/>
    <w:rsid w:val="004A2213"/>
    <w:rsid w:val="004A223B"/>
    <w:rsid w:val="004A2258"/>
    <w:rsid w:val="004A2288"/>
    <w:rsid w:val="004A22A1"/>
    <w:rsid w:val="004A23A4"/>
    <w:rsid w:val="004A24A0"/>
    <w:rsid w:val="004A2525"/>
    <w:rsid w:val="004A2677"/>
    <w:rsid w:val="004A268E"/>
    <w:rsid w:val="004A26CA"/>
    <w:rsid w:val="004A27A1"/>
    <w:rsid w:val="004A28C9"/>
    <w:rsid w:val="004A28CD"/>
    <w:rsid w:val="004A29EA"/>
    <w:rsid w:val="004A2ADC"/>
    <w:rsid w:val="004A2D22"/>
    <w:rsid w:val="004A2DEA"/>
    <w:rsid w:val="004A2E8A"/>
    <w:rsid w:val="004A2F69"/>
    <w:rsid w:val="004A2FAF"/>
    <w:rsid w:val="004A2FFA"/>
    <w:rsid w:val="004A3028"/>
    <w:rsid w:val="004A3039"/>
    <w:rsid w:val="004A314B"/>
    <w:rsid w:val="004A314F"/>
    <w:rsid w:val="004A31F9"/>
    <w:rsid w:val="004A3214"/>
    <w:rsid w:val="004A32D5"/>
    <w:rsid w:val="004A32E5"/>
    <w:rsid w:val="004A33CE"/>
    <w:rsid w:val="004A33FF"/>
    <w:rsid w:val="004A358D"/>
    <w:rsid w:val="004A364D"/>
    <w:rsid w:val="004A3659"/>
    <w:rsid w:val="004A369F"/>
    <w:rsid w:val="004A36AE"/>
    <w:rsid w:val="004A36D0"/>
    <w:rsid w:val="004A3719"/>
    <w:rsid w:val="004A37DA"/>
    <w:rsid w:val="004A3844"/>
    <w:rsid w:val="004A3954"/>
    <w:rsid w:val="004A3A11"/>
    <w:rsid w:val="004A3C8B"/>
    <w:rsid w:val="004A3CA5"/>
    <w:rsid w:val="004A3D99"/>
    <w:rsid w:val="004A3E00"/>
    <w:rsid w:val="004A3EF5"/>
    <w:rsid w:val="004A3F11"/>
    <w:rsid w:val="004A3F5C"/>
    <w:rsid w:val="004A3F9D"/>
    <w:rsid w:val="004A3FBC"/>
    <w:rsid w:val="004A3FF6"/>
    <w:rsid w:val="004A4000"/>
    <w:rsid w:val="004A4045"/>
    <w:rsid w:val="004A40FC"/>
    <w:rsid w:val="004A411E"/>
    <w:rsid w:val="004A4144"/>
    <w:rsid w:val="004A417D"/>
    <w:rsid w:val="004A4189"/>
    <w:rsid w:val="004A42DA"/>
    <w:rsid w:val="004A4483"/>
    <w:rsid w:val="004A44E3"/>
    <w:rsid w:val="004A44EA"/>
    <w:rsid w:val="004A4617"/>
    <w:rsid w:val="004A4814"/>
    <w:rsid w:val="004A4883"/>
    <w:rsid w:val="004A489F"/>
    <w:rsid w:val="004A493B"/>
    <w:rsid w:val="004A4AF8"/>
    <w:rsid w:val="004A4B2C"/>
    <w:rsid w:val="004A4C00"/>
    <w:rsid w:val="004A4C15"/>
    <w:rsid w:val="004A4C18"/>
    <w:rsid w:val="004A4C52"/>
    <w:rsid w:val="004A4CF1"/>
    <w:rsid w:val="004A4DF8"/>
    <w:rsid w:val="004A4F2F"/>
    <w:rsid w:val="004A4F41"/>
    <w:rsid w:val="004A5023"/>
    <w:rsid w:val="004A50F8"/>
    <w:rsid w:val="004A5109"/>
    <w:rsid w:val="004A5193"/>
    <w:rsid w:val="004A51E6"/>
    <w:rsid w:val="004A524D"/>
    <w:rsid w:val="004A52E5"/>
    <w:rsid w:val="004A52EE"/>
    <w:rsid w:val="004A5339"/>
    <w:rsid w:val="004A538C"/>
    <w:rsid w:val="004A53AC"/>
    <w:rsid w:val="004A53DA"/>
    <w:rsid w:val="004A5850"/>
    <w:rsid w:val="004A5865"/>
    <w:rsid w:val="004A58A3"/>
    <w:rsid w:val="004A58F4"/>
    <w:rsid w:val="004A5995"/>
    <w:rsid w:val="004A5A53"/>
    <w:rsid w:val="004A5AA5"/>
    <w:rsid w:val="004A5AD9"/>
    <w:rsid w:val="004A5B66"/>
    <w:rsid w:val="004A5BD1"/>
    <w:rsid w:val="004A5C10"/>
    <w:rsid w:val="004A5C58"/>
    <w:rsid w:val="004A5C9C"/>
    <w:rsid w:val="004A5CF4"/>
    <w:rsid w:val="004A5EDF"/>
    <w:rsid w:val="004A5F7B"/>
    <w:rsid w:val="004A6135"/>
    <w:rsid w:val="004A61B0"/>
    <w:rsid w:val="004A62D7"/>
    <w:rsid w:val="004A62E0"/>
    <w:rsid w:val="004A631E"/>
    <w:rsid w:val="004A6340"/>
    <w:rsid w:val="004A6454"/>
    <w:rsid w:val="004A657D"/>
    <w:rsid w:val="004A6589"/>
    <w:rsid w:val="004A65EA"/>
    <w:rsid w:val="004A669E"/>
    <w:rsid w:val="004A69A1"/>
    <w:rsid w:val="004A6A5C"/>
    <w:rsid w:val="004A6A7E"/>
    <w:rsid w:val="004A6B3E"/>
    <w:rsid w:val="004A6B5F"/>
    <w:rsid w:val="004A6CE2"/>
    <w:rsid w:val="004A6D29"/>
    <w:rsid w:val="004A6EBD"/>
    <w:rsid w:val="004A6ED9"/>
    <w:rsid w:val="004A6F6B"/>
    <w:rsid w:val="004A6F77"/>
    <w:rsid w:val="004A6FBB"/>
    <w:rsid w:val="004A6FCC"/>
    <w:rsid w:val="004A7102"/>
    <w:rsid w:val="004A72DD"/>
    <w:rsid w:val="004A746A"/>
    <w:rsid w:val="004A752B"/>
    <w:rsid w:val="004A758A"/>
    <w:rsid w:val="004A7739"/>
    <w:rsid w:val="004A78A1"/>
    <w:rsid w:val="004A79C9"/>
    <w:rsid w:val="004A79D1"/>
    <w:rsid w:val="004A79DE"/>
    <w:rsid w:val="004A7B13"/>
    <w:rsid w:val="004A7B5E"/>
    <w:rsid w:val="004A7B9C"/>
    <w:rsid w:val="004A7BEB"/>
    <w:rsid w:val="004A7D19"/>
    <w:rsid w:val="004A7D6B"/>
    <w:rsid w:val="004A7DC7"/>
    <w:rsid w:val="004A7F2E"/>
    <w:rsid w:val="004A7F95"/>
    <w:rsid w:val="004B0096"/>
    <w:rsid w:val="004B0140"/>
    <w:rsid w:val="004B038E"/>
    <w:rsid w:val="004B03CD"/>
    <w:rsid w:val="004B03EF"/>
    <w:rsid w:val="004B042D"/>
    <w:rsid w:val="004B0445"/>
    <w:rsid w:val="004B0490"/>
    <w:rsid w:val="004B04B7"/>
    <w:rsid w:val="004B0504"/>
    <w:rsid w:val="004B0612"/>
    <w:rsid w:val="004B0667"/>
    <w:rsid w:val="004B074A"/>
    <w:rsid w:val="004B0819"/>
    <w:rsid w:val="004B08C0"/>
    <w:rsid w:val="004B0989"/>
    <w:rsid w:val="004B0BBF"/>
    <w:rsid w:val="004B0DD5"/>
    <w:rsid w:val="004B0DE3"/>
    <w:rsid w:val="004B0EA3"/>
    <w:rsid w:val="004B0F9C"/>
    <w:rsid w:val="004B0FDD"/>
    <w:rsid w:val="004B1242"/>
    <w:rsid w:val="004B12EE"/>
    <w:rsid w:val="004B12EF"/>
    <w:rsid w:val="004B12FC"/>
    <w:rsid w:val="004B1327"/>
    <w:rsid w:val="004B13C3"/>
    <w:rsid w:val="004B13F3"/>
    <w:rsid w:val="004B14CE"/>
    <w:rsid w:val="004B1545"/>
    <w:rsid w:val="004B162A"/>
    <w:rsid w:val="004B1891"/>
    <w:rsid w:val="004B18AC"/>
    <w:rsid w:val="004B18E5"/>
    <w:rsid w:val="004B1A51"/>
    <w:rsid w:val="004B1AFB"/>
    <w:rsid w:val="004B1B5C"/>
    <w:rsid w:val="004B1BB2"/>
    <w:rsid w:val="004B1C21"/>
    <w:rsid w:val="004B1C71"/>
    <w:rsid w:val="004B1D05"/>
    <w:rsid w:val="004B1D33"/>
    <w:rsid w:val="004B1E36"/>
    <w:rsid w:val="004B1E86"/>
    <w:rsid w:val="004B2205"/>
    <w:rsid w:val="004B23A2"/>
    <w:rsid w:val="004B245B"/>
    <w:rsid w:val="004B2676"/>
    <w:rsid w:val="004B26A1"/>
    <w:rsid w:val="004B2849"/>
    <w:rsid w:val="004B284F"/>
    <w:rsid w:val="004B2906"/>
    <w:rsid w:val="004B29F9"/>
    <w:rsid w:val="004B2BE8"/>
    <w:rsid w:val="004B2CBE"/>
    <w:rsid w:val="004B2CD0"/>
    <w:rsid w:val="004B2CE0"/>
    <w:rsid w:val="004B2D43"/>
    <w:rsid w:val="004B2D46"/>
    <w:rsid w:val="004B2D50"/>
    <w:rsid w:val="004B2F1E"/>
    <w:rsid w:val="004B3182"/>
    <w:rsid w:val="004B31F9"/>
    <w:rsid w:val="004B3229"/>
    <w:rsid w:val="004B3238"/>
    <w:rsid w:val="004B3275"/>
    <w:rsid w:val="004B33E9"/>
    <w:rsid w:val="004B3499"/>
    <w:rsid w:val="004B3619"/>
    <w:rsid w:val="004B36E3"/>
    <w:rsid w:val="004B38C7"/>
    <w:rsid w:val="004B3978"/>
    <w:rsid w:val="004B3B4D"/>
    <w:rsid w:val="004B3C17"/>
    <w:rsid w:val="004B3CDA"/>
    <w:rsid w:val="004B3E2A"/>
    <w:rsid w:val="004B3F0D"/>
    <w:rsid w:val="004B409A"/>
    <w:rsid w:val="004B40B9"/>
    <w:rsid w:val="004B4258"/>
    <w:rsid w:val="004B42CF"/>
    <w:rsid w:val="004B432A"/>
    <w:rsid w:val="004B45B2"/>
    <w:rsid w:val="004B4694"/>
    <w:rsid w:val="004B48E4"/>
    <w:rsid w:val="004B4AC5"/>
    <w:rsid w:val="004B4B7F"/>
    <w:rsid w:val="004B4C4D"/>
    <w:rsid w:val="004B4E27"/>
    <w:rsid w:val="004B4FDF"/>
    <w:rsid w:val="004B508A"/>
    <w:rsid w:val="004B50CB"/>
    <w:rsid w:val="004B5148"/>
    <w:rsid w:val="004B527E"/>
    <w:rsid w:val="004B5390"/>
    <w:rsid w:val="004B5411"/>
    <w:rsid w:val="004B5729"/>
    <w:rsid w:val="004B5793"/>
    <w:rsid w:val="004B57B7"/>
    <w:rsid w:val="004B588B"/>
    <w:rsid w:val="004B5917"/>
    <w:rsid w:val="004B59CB"/>
    <w:rsid w:val="004B5A74"/>
    <w:rsid w:val="004B5BAE"/>
    <w:rsid w:val="004B5BCC"/>
    <w:rsid w:val="004B5D46"/>
    <w:rsid w:val="004B5E07"/>
    <w:rsid w:val="004B5E0F"/>
    <w:rsid w:val="004B5EC3"/>
    <w:rsid w:val="004B6011"/>
    <w:rsid w:val="004B60B5"/>
    <w:rsid w:val="004B60B7"/>
    <w:rsid w:val="004B610B"/>
    <w:rsid w:val="004B61FB"/>
    <w:rsid w:val="004B623B"/>
    <w:rsid w:val="004B6257"/>
    <w:rsid w:val="004B62FE"/>
    <w:rsid w:val="004B6399"/>
    <w:rsid w:val="004B64EA"/>
    <w:rsid w:val="004B64F0"/>
    <w:rsid w:val="004B65D2"/>
    <w:rsid w:val="004B6601"/>
    <w:rsid w:val="004B665B"/>
    <w:rsid w:val="004B6672"/>
    <w:rsid w:val="004B66FD"/>
    <w:rsid w:val="004B682F"/>
    <w:rsid w:val="004B69DF"/>
    <w:rsid w:val="004B6A05"/>
    <w:rsid w:val="004B6A1A"/>
    <w:rsid w:val="004B6AA9"/>
    <w:rsid w:val="004B6ACA"/>
    <w:rsid w:val="004B6ADE"/>
    <w:rsid w:val="004B6B1E"/>
    <w:rsid w:val="004B6C30"/>
    <w:rsid w:val="004B6CE9"/>
    <w:rsid w:val="004B6EBB"/>
    <w:rsid w:val="004B70FD"/>
    <w:rsid w:val="004B7121"/>
    <w:rsid w:val="004B7175"/>
    <w:rsid w:val="004B736A"/>
    <w:rsid w:val="004B73BC"/>
    <w:rsid w:val="004B73E2"/>
    <w:rsid w:val="004B7480"/>
    <w:rsid w:val="004B74CC"/>
    <w:rsid w:val="004B7609"/>
    <w:rsid w:val="004B77DC"/>
    <w:rsid w:val="004B7871"/>
    <w:rsid w:val="004B7955"/>
    <w:rsid w:val="004B79D4"/>
    <w:rsid w:val="004B7B68"/>
    <w:rsid w:val="004B7B6B"/>
    <w:rsid w:val="004B7D1A"/>
    <w:rsid w:val="004B7D88"/>
    <w:rsid w:val="004B7D90"/>
    <w:rsid w:val="004B7DFC"/>
    <w:rsid w:val="004B7EB8"/>
    <w:rsid w:val="004B7F86"/>
    <w:rsid w:val="004B7FCF"/>
    <w:rsid w:val="004C000A"/>
    <w:rsid w:val="004C0033"/>
    <w:rsid w:val="004C00BD"/>
    <w:rsid w:val="004C026C"/>
    <w:rsid w:val="004C0280"/>
    <w:rsid w:val="004C02F3"/>
    <w:rsid w:val="004C0358"/>
    <w:rsid w:val="004C038B"/>
    <w:rsid w:val="004C03C9"/>
    <w:rsid w:val="004C06CF"/>
    <w:rsid w:val="004C06DD"/>
    <w:rsid w:val="004C0855"/>
    <w:rsid w:val="004C08A6"/>
    <w:rsid w:val="004C0A5A"/>
    <w:rsid w:val="004C0B0A"/>
    <w:rsid w:val="004C0B49"/>
    <w:rsid w:val="004C0B57"/>
    <w:rsid w:val="004C0BA4"/>
    <w:rsid w:val="004C0BFD"/>
    <w:rsid w:val="004C0D06"/>
    <w:rsid w:val="004C0D7C"/>
    <w:rsid w:val="004C0DF8"/>
    <w:rsid w:val="004C0E16"/>
    <w:rsid w:val="004C0E81"/>
    <w:rsid w:val="004C100A"/>
    <w:rsid w:val="004C101C"/>
    <w:rsid w:val="004C105E"/>
    <w:rsid w:val="004C10DE"/>
    <w:rsid w:val="004C12E0"/>
    <w:rsid w:val="004C13CE"/>
    <w:rsid w:val="004C13D6"/>
    <w:rsid w:val="004C14DE"/>
    <w:rsid w:val="004C151E"/>
    <w:rsid w:val="004C1593"/>
    <w:rsid w:val="004C1729"/>
    <w:rsid w:val="004C1765"/>
    <w:rsid w:val="004C17A4"/>
    <w:rsid w:val="004C186B"/>
    <w:rsid w:val="004C1890"/>
    <w:rsid w:val="004C19D5"/>
    <w:rsid w:val="004C1BF1"/>
    <w:rsid w:val="004C1C4E"/>
    <w:rsid w:val="004C1CF1"/>
    <w:rsid w:val="004C1DDE"/>
    <w:rsid w:val="004C1F54"/>
    <w:rsid w:val="004C1F5E"/>
    <w:rsid w:val="004C1FD6"/>
    <w:rsid w:val="004C2129"/>
    <w:rsid w:val="004C226A"/>
    <w:rsid w:val="004C227C"/>
    <w:rsid w:val="004C22F0"/>
    <w:rsid w:val="004C2454"/>
    <w:rsid w:val="004C2560"/>
    <w:rsid w:val="004C27EA"/>
    <w:rsid w:val="004C2823"/>
    <w:rsid w:val="004C289B"/>
    <w:rsid w:val="004C290E"/>
    <w:rsid w:val="004C299F"/>
    <w:rsid w:val="004C2AFD"/>
    <w:rsid w:val="004C2B7A"/>
    <w:rsid w:val="004C2BE1"/>
    <w:rsid w:val="004C2DB4"/>
    <w:rsid w:val="004C2DDF"/>
    <w:rsid w:val="004C2E4D"/>
    <w:rsid w:val="004C2E65"/>
    <w:rsid w:val="004C2ED8"/>
    <w:rsid w:val="004C2F11"/>
    <w:rsid w:val="004C2F5A"/>
    <w:rsid w:val="004C2FA4"/>
    <w:rsid w:val="004C3019"/>
    <w:rsid w:val="004C307B"/>
    <w:rsid w:val="004C30F5"/>
    <w:rsid w:val="004C31F0"/>
    <w:rsid w:val="004C3255"/>
    <w:rsid w:val="004C32A4"/>
    <w:rsid w:val="004C3572"/>
    <w:rsid w:val="004C3596"/>
    <w:rsid w:val="004C3757"/>
    <w:rsid w:val="004C379A"/>
    <w:rsid w:val="004C37FA"/>
    <w:rsid w:val="004C3814"/>
    <w:rsid w:val="004C3B1F"/>
    <w:rsid w:val="004C3B49"/>
    <w:rsid w:val="004C3B62"/>
    <w:rsid w:val="004C3B77"/>
    <w:rsid w:val="004C3D5C"/>
    <w:rsid w:val="004C3E9A"/>
    <w:rsid w:val="004C3F35"/>
    <w:rsid w:val="004C3F73"/>
    <w:rsid w:val="004C3F8B"/>
    <w:rsid w:val="004C4118"/>
    <w:rsid w:val="004C4166"/>
    <w:rsid w:val="004C419E"/>
    <w:rsid w:val="004C4332"/>
    <w:rsid w:val="004C439B"/>
    <w:rsid w:val="004C439E"/>
    <w:rsid w:val="004C4414"/>
    <w:rsid w:val="004C4443"/>
    <w:rsid w:val="004C450F"/>
    <w:rsid w:val="004C454B"/>
    <w:rsid w:val="004C4625"/>
    <w:rsid w:val="004C4662"/>
    <w:rsid w:val="004C46FE"/>
    <w:rsid w:val="004C470C"/>
    <w:rsid w:val="004C47C1"/>
    <w:rsid w:val="004C4823"/>
    <w:rsid w:val="004C48DA"/>
    <w:rsid w:val="004C4A2A"/>
    <w:rsid w:val="004C4BF8"/>
    <w:rsid w:val="004C4D2B"/>
    <w:rsid w:val="004C4D38"/>
    <w:rsid w:val="004C4F3B"/>
    <w:rsid w:val="004C4F7A"/>
    <w:rsid w:val="004C4F86"/>
    <w:rsid w:val="004C4FE6"/>
    <w:rsid w:val="004C5013"/>
    <w:rsid w:val="004C5138"/>
    <w:rsid w:val="004C516C"/>
    <w:rsid w:val="004C5261"/>
    <w:rsid w:val="004C5322"/>
    <w:rsid w:val="004C53F6"/>
    <w:rsid w:val="004C5423"/>
    <w:rsid w:val="004C54C9"/>
    <w:rsid w:val="004C552C"/>
    <w:rsid w:val="004C554E"/>
    <w:rsid w:val="004C564F"/>
    <w:rsid w:val="004C573D"/>
    <w:rsid w:val="004C57CD"/>
    <w:rsid w:val="004C57ED"/>
    <w:rsid w:val="004C5880"/>
    <w:rsid w:val="004C58A4"/>
    <w:rsid w:val="004C59E8"/>
    <w:rsid w:val="004C5B16"/>
    <w:rsid w:val="004C5BD7"/>
    <w:rsid w:val="004C5C06"/>
    <w:rsid w:val="004C5C95"/>
    <w:rsid w:val="004C5D05"/>
    <w:rsid w:val="004C5D68"/>
    <w:rsid w:val="004C5E92"/>
    <w:rsid w:val="004C5FB0"/>
    <w:rsid w:val="004C60F0"/>
    <w:rsid w:val="004C6193"/>
    <w:rsid w:val="004C619D"/>
    <w:rsid w:val="004C61AA"/>
    <w:rsid w:val="004C61D9"/>
    <w:rsid w:val="004C6254"/>
    <w:rsid w:val="004C62F7"/>
    <w:rsid w:val="004C645C"/>
    <w:rsid w:val="004C65A5"/>
    <w:rsid w:val="004C65BF"/>
    <w:rsid w:val="004C6604"/>
    <w:rsid w:val="004C6670"/>
    <w:rsid w:val="004C669C"/>
    <w:rsid w:val="004C68CF"/>
    <w:rsid w:val="004C698B"/>
    <w:rsid w:val="004C69F7"/>
    <w:rsid w:val="004C6BF9"/>
    <w:rsid w:val="004C6C5A"/>
    <w:rsid w:val="004C6C8C"/>
    <w:rsid w:val="004C6CD9"/>
    <w:rsid w:val="004C6D93"/>
    <w:rsid w:val="004C6DDA"/>
    <w:rsid w:val="004C6E3D"/>
    <w:rsid w:val="004C6E4C"/>
    <w:rsid w:val="004C7075"/>
    <w:rsid w:val="004C70C6"/>
    <w:rsid w:val="004C7196"/>
    <w:rsid w:val="004C72E5"/>
    <w:rsid w:val="004C72F9"/>
    <w:rsid w:val="004C7351"/>
    <w:rsid w:val="004C73C2"/>
    <w:rsid w:val="004C74F1"/>
    <w:rsid w:val="004C74FB"/>
    <w:rsid w:val="004C7593"/>
    <w:rsid w:val="004C7698"/>
    <w:rsid w:val="004C76C3"/>
    <w:rsid w:val="004C76F9"/>
    <w:rsid w:val="004C7714"/>
    <w:rsid w:val="004C77DB"/>
    <w:rsid w:val="004C7886"/>
    <w:rsid w:val="004C799C"/>
    <w:rsid w:val="004C79E7"/>
    <w:rsid w:val="004C79F8"/>
    <w:rsid w:val="004C7AB4"/>
    <w:rsid w:val="004C7B08"/>
    <w:rsid w:val="004C7B40"/>
    <w:rsid w:val="004C7CBB"/>
    <w:rsid w:val="004C7D61"/>
    <w:rsid w:val="004C7FC7"/>
    <w:rsid w:val="004D00E4"/>
    <w:rsid w:val="004D016B"/>
    <w:rsid w:val="004D020B"/>
    <w:rsid w:val="004D0422"/>
    <w:rsid w:val="004D046D"/>
    <w:rsid w:val="004D0582"/>
    <w:rsid w:val="004D0640"/>
    <w:rsid w:val="004D07AC"/>
    <w:rsid w:val="004D0850"/>
    <w:rsid w:val="004D0862"/>
    <w:rsid w:val="004D0A3D"/>
    <w:rsid w:val="004D0AC7"/>
    <w:rsid w:val="004D0B28"/>
    <w:rsid w:val="004D0C51"/>
    <w:rsid w:val="004D0CEA"/>
    <w:rsid w:val="004D0CFF"/>
    <w:rsid w:val="004D0D5F"/>
    <w:rsid w:val="004D0DA1"/>
    <w:rsid w:val="004D0DD7"/>
    <w:rsid w:val="004D0E2E"/>
    <w:rsid w:val="004D0E89"/>
    <w:rsid w:val="004D0EE3"/>
    <w:rsid w:val="004D0EF7"/>
    <w:rsid w:val="004D1346"/>
    <w:rsid w:val="004D157F"/>
    <w:rsid w:val="004D1624"/>
    <w:rsid w:val="004D1628"/>
    <w:rsid w:val="004D1654"/>
    <w:rsid w:val="004D165C"/>
    <w:rsid w:val="004D1848"/>
    <w:rsid w:val="004D1884"/>
    <w:rsid w:val="004D1916"/>
    <w:rsid w:val="004D1AB2"/>
    <w:rsid w:val="004D1D25"/>
    <w:rsid w:val="004D1EF7"/>
    <w:rsid w:val="004D1FA6"/>
    <w:rsid w:val="004D201C"/>
    <w:rsid w:val="004D2095"/>
    <w:rsid w:val="004D2106"/>
    <w:rsid w:val="004D2142"/>
    <w:rsid w:val="004D2176"/>
    <w:rsid w:val="004D22C7"/>
    <w:rsid w:val="004D22F7"/>
    <w:rsid w:val="004D233A"/>
    <w:rsid w:val="004D2588"/>
    <w:rsid w:val="004D26AF"/>
    <w:rsid w:val="004D2788"/>
    <w:rsid w:val="004D286B"/>
    <w:rsid w:val="004D28EA"/>
    <w:rsid w:val="004D295A"/>
    <w:rsid w:val="004D29CB"/>
    <w:rsid w:val="004D2A27"/>
    <w:rsid w:val="004D2B6E"/>
    <w:rsid w:val="004D2C0F"/>
    <w:rsid w:val="004D2CE3"/>
    <w:rsid w:val="004D2DDB"/>
    <w:rsid w:val="004D2E1D"/>
    <w:rsid w:val="004D2E65"/>
    <w:rsid w:val="004D2E81"/>
    <w:rsid w:val="004D2ECD"/>
    <w:rsid w:val="004D324F"/>
    <w:rsid w:val="004D32BC"/>
    <w:rsid w:val="004D32C8"/>
    <w:rsid w:val="004D359E"/>
    <w:rsid w:val="004D3663"/>
    <w:rsid w:val="004D36E0"/>
    <w:rsid w:val="004D36F3"/>
    <w:rsid w:val="004D39BE"/>
    <w:rsid w:val="004D3A79"/>
    <w:rsid w:val="004D3BF1"/>
    <w:rsid w:val="004D3C36"/>
    <w:rsid w:val="004D3C50"/>
    <w:rsid w:val="004D3CB8"/>
    <w:rsid w:val="004D3D3E"/>
    <w:rsid w:val="004D3D86"/>
    <w:rsid w:val="004D4001"/>
    <w:rsid w:val="004D4059"/>
    <w:rsid w:val="004D40F2"/>
    <w:rsid w:val="004D4150"/>
    <w:rsid w:val="004D4225"/>
    <w:rsid w:val="004D424C"/>
    <w:rsid w:val="004D425D"/>
    <w:rsid w:val="004D433C"/>
    <w:rsid w:val="004D43AF"/>
    <w:rsid w:val="004D442B"/>
    <w:rsid w:val="004D45B4"/>
    <w:rsid w:val="004D469D"/>
    <w:rsid w:val="004D47C9"/>
    <w:rsid w:val="004D4976"/>
    <w:rsid w:val="004D4B59"/>
    <w:rsid w:val="004D4BB3"/>
    <w:rsid w:val="004D4C26"/>
    <w:rsid w:val="004D4D11"/>
    <w:rsid w:val="004D4F01"/>
    <w:rsid w:val="004D4F8B"/>
    <w:rsid w:val="004D5002"/>
    <w:rsid w:val="004D502E"/>
    <w:rsid w:val="004D50EB"/>
    <w:rsid w:val="004D5254"/>
    <w:rsid w:val="004D5278"/>
    <w:rsid w:val="004D52F6"/>
    <w:rsid w:val="004D5390"/>
    <w:rsid w:val="004D5408"/>
    <w:rsid w:val="004D540C"/>
    <w:rsid w:val="004D5602"/>
    <w:rsid w:val="004D56E4"/>
    <w:rsid w:val="004D5781"/>
    <w:rsid w:val="004D5785"/>
    <w:rsid w:val="004D57F2"/>
    <w:rsid w:val="004D5A67"/>
    <w:rsid w:val="004D5A9E"/>
    <w:rsid w:val="004D5B27"/>
    <w:rsid w:val="004D5C88"/>
    <w:rsid w:val="004D5D4E"/>
    <w:rsid w:val="004D5D63"/>
    <w:rsid w:val="004D5FB8"/>
    <w:rsid w:val="004D6028"/>
    <w:rsid w:val="004D62A3"/>
    <w:rsid w:val="004D630D"/>
    <w:rsid w:val="004D634F"/>
    <w:rsid w:val="004D6439"/>
    <w:rsid w:val="004D657B"/>
    <w:rsid w:val="004D65FE"/>
    <w:rsid w:val="004D6638"/>
    <w:rsid w:val="004D6707"/>
    <w:rsid w:val="004D69F0"/>
    <w:rsid w:val="004D6B53"/>
    <w:rsid w:val="004D6B93"/>
    <w:rsid w:val="004D6C14"/>
    <w:rsid w:val="004D6EB5"/>
    <w:rsid w:val="004D6F3D"/>
    <w:rsid w:val="004D6F5E"/>
    <w:rsid w:val="004D6FE7"/>
    <w:rsid w:val="004D7022"/>
    <w:rsid w:val="004D70AF"/>
    <w:rsid w:val="004D7161"/>
    <w:rsid w:val="004D7219"/>
    <w:rsid w:val="004D72BC"/>
    <w:rsid w:val="004D730C"/>
    <w:rsid w:val="004D7565"/>
    <w:rsid w:val="004D7638"/>
    <w:rsid w:val="004D764B"/>
    <w:rsid w:val="004D770B"/>
    <w:rsid w:val="004D7785"/>
    <w:rsid w:val="004D7828"/>
    <w:rsid w:val="004D7918"/>
    <w:rsid w:val="004D7946"/>
    <w:rsid w:val="004D797C"/>
    <w:rsid w:val="004D7A36"/>
    <w:rsid w:val="004D7B23"/>
    <w:rsid w:val="004D7BAA"/>
    <w:rsid w:val="004D7BB1"/>
    <w:rsid w:val="004D7C84"/>
    <w:rsid w:val="004D7D36"/>
    <w:rsid w:val="004D7E04"/>
    <w:rsid w:val="004D7E6B"/>
    <w:rsid w:val="004D7EA9"/>
    <w:rsid w:val="004D7FB3"/>
    <w:rsid w:val="004E004D"/>
    <w:rsid w:val="004E0293"/>
    <w:rsid w:val="004E02E3"/>
    <w:rsid w:val="004E0335"/>
    <w:rsid w:val="004E04D5"/>
    <w:rsid w:val="004E0588"/>
    <w:rsid w:val="004E05CB"/>
    <w:rsid w:val="004E05D7"/>
    <w:rsid w:val="004E05FF"/>
    <w:rsid w:val="004E06B1"/>
    <w:rsid w:val="004E06D3"/>
    <w:rsid w:val="004E06DB"/>
    <w:rsid w:val="004E06E6"/>
    <w:rsid w:val="004E0734"/>
    <w:rsid w:val="004E0888"/>
    <w:rsid w:val="004E08A3"/>
    <w:rsid w:val="004E094D"/>
    <w:rsid w:val="004E0983"/>
    <w:rsid w:val="004E0A4D"/>
    <w:rsid w:val="004E0A93"/>
    <w:rsid w:val="004E0B80"/>
    <w:rsid w:val="004E0C13"/>
    <w:rsid w:val="004E0C16"/>
    <w:rsid w:val="004E0CDA"/>
    <w:rsid w:val="004E0DDB"/>
    <w:rsid w:val="004E0E91"/>
    <w:rsid w:val="004E0E9A"/>
    <w:rsid w:val="004E10A1"/>
    <w:rsid w:val="004E1155"/>
    <w:rsid w:val="004E1394"/>
    <w:rsid w:val="004E1413"/>
    <w:rsid w:val="004E1465"/>
    <w:rsid w:val="004E146E"/>
    <w:rsid w:val="004E15F8"/>
    <w:rsid w:val="004E1627"/>
    <w:rsid w:val="004E1644"/>
    <w:rsid w:val="004E1699"/>
    <w:rsid w:val="004E16A2"/>
    <w:rsid w:val="004E1735"/>
    <w:rsid w:val="004E1961"/>
    <w:rsid w:val="004E19C3"/>
    <w:rsid w:val="004E1A4C"/>
    <w:rsid w:val="004E1A6E"/>
    <w:rsid w:val="004E1AEF"/>
    <w:rsid w:val="004E1B83"/>
    <w:rsid w:val="004E1D95"/>
    <w:rsid w:val="004E1D98"/>
    <w:rsid w:val="004E1E4F"/>
    <w:rsid w:val="004E1F3B"/>
    <w:rsid w:val="004E2115"/>
    <w:rsid w:val="004E211E"/>
    <w:rsid w:val="004E214E"/>
    <w:rsid w:val="004E2194"/>
    <w:rsid w:val="004E22D1"/>
    <w:rsid w:val="004E240E"/>
    <w:rsid w:val="004E2423"/>
    <w:rsid w:val="004E2496"/>
    <w:rsid w:val="004E24A3"/>
    <w:rsid w:val="004E24B7"/>
    <w:rsid w:val="004E2508"/>
    <w:rsid w:val="004E2522"/>
    <w:rsid w:val="004E2523"/>
    <w:rsid w:val="004E2561"/>
    <w:rsid w:val="004E2599"/>
    <w:rsid w:val="004E2644"/>
    <w:rsid w:val="004E27B6"/>
    <w:rsid w:val="004E27C4"/>
    <w:rsid w:val="004E27E6"/>
    <w:rsid w:val="004E2864"/>
    <w:rsid w:val="004E29C1"/>
    <w:rsid w:val="004E2A95"/>
    <w:rsid w:val="004E2BB5"/>
    <w:rsid w:val="004E2C3C"/>
    <w:rsid w:val="004E2D7B"/>
    <w:rsid w:val="004E2D93"/>
    <w:rsid w:val="004E2F3D"/>
    <w:rsid w:val="004E2F59"/>
    <w:rsid w:val="004E30BB"/>
    <w:rsid w:val="004E30E4"/>
    <w:rsid w:val="004E30F1"/>
    <w:rsid w:val="004E312F"/>
    <w:rsid w:val="004E3138"/>
    <w:rsid w:val="004E314E"/>
    <w:rsid w:val="004E3267"/>
    <w:rsid w:val="004E32A8"/>
    <w:rsid w:val="004E32DA"/>
    <w:rsid w:val="004E3304"/>
    <w:rsid w:val="004E3310"/>
    <w:rsid w:val="004E33C2"/>
    <w:rsid w:val="004E3475"/>
    <w:rsid w:val="004E3546"/>
    <w:rsid w:val="004E3568"/>
    <w:rsid w:val="004E35EF"/>
    <w:rsid w:val="004E36E1"/>
    <w:rsid w:val="004E37AF"/>
    <w:rsid w:val="004E38AB"/>
    <w:rsid w:val="004E3968"/>
    <w:rsid w:val="004E3BC0"/>
    <w:rsid w:val="004E3D0B"/>
    <w:rsid w:val="004E3D23"/>
    <w:rsid w:val="004E3E9F"/>
    <w:rsid w:val="004E3EA4"/>
    <w:rsid w:val="004E3F46"/>
    <w:rsid w:val="004E405E"/>
    <w:rsid w:val="004E41E0"/>
    <w:rsid w:val="004E42AE"/>
    <w:rsid w:val="004E4315"/>
    <w:rsid w:val="004E434F"/>
    <w:rsid w:val="004E4638"/>
    <w:rsid w:val="004E4668"/>
    <w:rsid w:val="004E4892"/>
    <w:rsid w:val="004E4934"/>
    <w:rsid w:val="004E4A4B"/>
    <w:rsid w:val="004E4BE8"/>
    <w:rsid w:val="004E4C42"/>
    <w:rsid w:val="004E4D10"/>
    <w:rsid w:val="004E4D11"/>
    <w:rsid w:val="004E4DE6"/>
    <w:rsid w:val="004E4E4D"/>
    <w:rsid w:val="004E4EF7"/>
    <w:rsid w:val="004E4F3A"/>
    <w:rsid w:val="004E4F86"/>
    <w:rsid w:val="004E5060"/>
    <w:rsid w:val="004E50D6"/>
    <w:rsid w:val="004E50F3"/>
    <w:rsid w:val="004E5116"/>
    <w:rsid w:val="004E5155"/>
    <w:rsid w:val="004E51A2"/>
    <w:rsid w:val="004E51CD"/>
    <w:rsid w:val="004E538F"/>
    <w:rsid w:val="004E53F2"/>
    <w:rsid w:val="004E5409"/>
    <w:rsid w:val="004E542D"/>
    <w:rsid w:val="004E548D"/>
    <w:rsid w:val="004E54B5"/>
    <w:rsid w:val="004E5560"/>
    <w:rsid w:val="004E55C2"/>
    <w:rsid w:val="004E55D1"/>
    <w:rsid w:val="004E5756"/>
    <w:rsid w:val="004E576E"/>
    <w:rsid w:val="004E5874"/>
    <w:rsid w:val="004E5937"/>
    <w:rsid w:val="004E5952"/>
    <w:rsid w:val="004E5AEA"/>
    <w:rsid w:val="004E5BAA"/>
    <w:rsid w:val="004E5C04"/>
    <w:rsid w:val="004E5C63"/>
    <w:rsid w:val="004E5CDB"/>
    <w:rsid w:val="004E5DE9"/>
    <w:rsid w:val="004E6094"/>
    <w:rsid w:val="004E60F0"/>
    <w:rsid w:val="004E638E"/>
    <w:rsid w:val="004E654E"/>
    <w:rsid w:val="004E6566"/>
    <w:rsid w:val="004E66AC"/>
    <w:rsid w:val="004E6706"/>
    <w:rsid w:val="004E6742"/>
    <w:rsid w:val="004E6959"/>
    <w:rsid w:val="004E6A0B"/>
    <w:rsid w:val="004E6D1C"/>
    <w:rsid w:val="004E6D2C"/>
    <w:rsid w:val="004E6D5C"/>
    <w:rsid w:val="004E6E8E"/>
    <w:rsid w:val="004E6EFA"/>
    <w:rsid w:val="004E7027"/>
    <w:rsid w:val="004E7056"/>
    <w:rsid w:val="004E71CB"/>
    <w:rsid w:val="004E721D"/>
    <w:rsid w:val="004E729B"/>
    <w:rsid w:val="004E729E"/>
    <w:rsid w:val="004E73C8"/>
    <w:rsid w:val="004E7510"/>
    <w:rsid w:val="004E7618"/>
    <w:rsid w:val="004E777D"/>
    <w:rsid w:val="004E77A4"/>
    <w:rsid w:val="004E784F"/>
    <w:rsid w:val="004E79B8"/>
    <w:rsid w:val="004E7BED"/>
    <w:rsid w:val="004E7C99"/>
    <w:rsid w:val="004E7E93"/>
    <w:rsid w:val="004E7F84"/>
    <w:rsid w:val="004E7FA4"/>
    <w:rsid w:val="004F0037"/>
    <w:rsid w:val="004F0228"/>
    <w:rsid w:val="004F03A1"/>
    <w:rsid w:val="004F03AC"/>
    <w:rsid w:val="004F0402"/>
    <w:rsid w:val="004F053A"/>
    <w:rsid w:val="004F053C"/>
    <w:rsid w:val="004F0599"/>
    <w:rsid w:val="004F0791"/>
    <w:rsid w:val="004F079E"/>
    <w:rsid w:val="004F07B6"/>
    <w:rsid w:val="004F084A"/>
    <w:rsid w:val="004F0ABF"/>
    <w:rsid w:val="004F0B6B"/>
    <w:rsid w:val="004F0C16"/>
    <w:rsid w:val="004F0C8F"/>
    <w:rsid w:val="004F0C9D"/>
    <w:rsid w:val="004F0D81"/>
    <w:rsid w:val="004F0E30"/>
    <w:rsid w:val="004F0FC8"/>
    <w:rsid w:val="004F0FCF"/>
    <w:rsid w:val="004F1052"/>
    <w:rsid w:val="004F10AD"/>
    <w:rsid w:val="004F10C2"/>
    <w:rsid w:val="004F1163"/>
    <w:rsid w:val="004F11D6"/>
    <w:rsid w:val="004F11D7"/>
    <w:rsid w:val="004F1232"/>
    <w:rsid w:val="004F123D"/>
    <w:rsid w:val="004F1426"/>
    <w:rsid w:val="004F1451"/>
    <w:rsid w:val="004F1474"/>
    <w:rsid w:val="004F1541"/>
    <w:rsid w:val="004F154D"/>
    <w:rsid w:val="004F1614"/>
    <w:rsid w:val="004F1648"/>
    <w:rsid w:val="004F16AF"/>
    <w:rsid w:val="004F171F"/>
    <w:rsid w:val="004F18A7"/>
    <w:rsid w:val="004F1951"/>
    <w:rsid w:val="004F1957"/>
    <w:rsid w:val="004F1976"/>
    <w:rsid w:val="004F1A64"/>
    <w:rsid w:val="004F1CC1"/>
    <w:rsid w:val="004F1D9D"/>
    <w:rsid w:val="004F1E25"/>
    <w:rsid w:val="004F1E6C"/>
    <w:rsid w:val="004F2049"/>
    <w:rsid w:val="004F20DB"/>
    <w:rsid w:val="004F20FB"/>
    <w:rsid w:val="004F231D"/>
    <w:rsid w:val="004F237A"/>
    <w:rsid w:val="004F238E"/>
    <w:rsid w:val="004F243E"/>
    <w:rsid w:val="004F24D4"/>
    <w:rsid w:val="004F253E"/>
    <w:rsid w:val="004F2609"/>
    <w:rsid w:val="004F2673"/>
    <w:rsid w:val="004F268C"/>
    <w:rsid w:val="004F27CB"/>
    <w:rsid w:val="004F2B5A"/>
    <w:rsid w:val="004F2BFE"/>
    <w:rsid w:val="004F2C20"/>
    <w:rsid w:val="004F2C39"/>
    <w:rsid w:val="004F2C74"/>
    <w:rsid w:val="004F2D9C"/>
    <w:rsid w:val="004F2F28"/>
    <w:rsid w:val="004F2FF0"/>
    <w:rsid w:val="004F30A3"/>
    <w:rsid w:val="004F3251"/>
    <w:rsid w:val="004F32B2"/>
    <w:rsid w:val="004F33FB"/>
    <w:rsid w:val="004F3405"/>
    <w:rsid w:val="004F34BE"/>
    <w:rsid w:val="004F35B7"/>
    <w:rsid w:val="004F35BF"/>
    <w:rsid w:val="004F3610"/>
    <w:rsid w:val="004F3662"/>
    <w:rsid w:val="004F390C"/>
    <w:rsid w:val="004F3A54"/>
    <w:rsid w:val="004F3BA4"/>
    <w:rsid w:val="004F3C31"/>
    <w:rsid w:val="004F3CB7"/>
    <w:rsid w:val="004F3E8D"/>
    <w:rsid w:val="004F3EC5"/>
    <w:rsid w:val="004F3F55"/>
    <w:rsid w:val="004F4065"/>
    <w:rsid w:val="004F415E"/>
    <w:rsid w:val="004F418D"/>
    <w:rsid w:val="004F4289"/>
    <w:rsid w:val="004F42E7"/>
    <w:rsid w:val="004F4403"/>
    <w:rsid w:val="004F4520"/>
    <w:rsid w:val="004F488A"/>
    <w:rsid w:val="004F489A"/>
    <w:rsid w:val="004F48E1"/>
    <w:rsid w:val="004F4937"/>
    <w:rsid w:val="004F49D7"/>
    <w:rsid w:val="004F49F8"/>
    <w:rsid w:val="004F4F6E"/>
    <w:rsid w:val="004F50C9"/>
    <w:rsid w:val="004F514C"/>
    <w:rsid w:val="004F5181"/>
    <w:rsid w:val="004F524C"/>
    <w:rsid w:val="004F557A"/>
    <w:rsid w:val="004F574D"/>
    <w:rsid w:val="004F57FB"/>
    <w:rsid w:val="004F5817"/>
    <w:rsid w:val="004F5831"/>
    <w:rsid w:val="004F5852"/>
    <w:rsid w:val="004F585D"/>
    <w:rsid w:val="004F5974"/>
    <w:rsid w:val="004F5AED"/>
    <w:rsid w:val="004F5C30"/>
    <w:rsid w:val="004F5C64"/>
    <w:rsid w:val="004F5D89"/>
    <w:rsid w:val="004F5DA3"/>
    <w:rsid w:val="004F5E76"/>
    <w:rsid w:val="004F5E7C"/>
    <w:rsid w:val="004F5F02"/>
    <w:rsid w:val="004F5FF9"/>
    <w:rsid w:val="004F60EC"/>
    <w:rsid w:val="004F6147"/>
    <w:rsid w:val="004F615B"/>
    <w:rsid w:val="004F6261"/>
    <w:rsid w:val="004F62AC"/>
    <w:rsid w:val="004F62F4"/>
    <w:rsid w:val="004F6318"/>
    <w:rsid w:val="004F6444"/>
    <w:rsid w:val="004F6484"/>
    <w:rsid w:val="004F65B0"/>
    <w:rsid w:val="004F67A3"/>
    <w:rsid w:val="004F67D1"/>
    <w:rsid w:val="004F6910"/>
    <w:rsid w:val="004F6929"/>
    <w:rsid w:val="004F693F"/>
    <w:rsid w:val="004F696D"/>
    <w:rsid w:val="004F6A0F"/>
    <w:rsid w:val="004F6A49"/>
    <w:rsid w:val="004F6A99"/>
    <w:rsid w:val="004F6AA3"/>
    <w:rsid w:val="004F6AFA"/>
    <w:rsid w:val="004F6BAC"/>
    <w:rsid w:val="004F6BAE"/>
    <w:rsid w:val="004F6E28"/>
    <w:rsid w:val="004F6EAC"/>
    <w:rsid w:val="004F6EAE"/>
    <w:rsid w:val="004F7002"/>
    <w:rsid w:val="004F706C"/>
    <w:rsid w:val="004F71FC"/>
    <w:rsid w:val="004F7236"/>
    <w:rsid w:val="004F72B4"/>
    <w:rsid w:val="004F7322"/>
    <w:rsid w:val="004F7350"/>
    <w:rsid w:val="004F7521"/>
    <w:rsid w:val="004F761B"/>
    <w:rsid w:val="004F762C"/>
    <w:rsid w:val="004F76BB"/>
    <w:rsid w:val="004F7852"/>
    <w:rsid w:val="004F7911"/>
    <w:rsid w:val="004F797D"/>
    <w:rsid w:val="004F7991"/>
    <w:rsid w:val="004F7A37"/>
    <w:rsid w:val="004F7A60"/>
    <w:rsid w:val="004F7AD1"/>
    <w:rsid w:val="004F7B5D"/>
    <w:rsid w:val="004F7C21"/>
    <w:rsid w:val="004F7C24"/>
    <w:rsid w:val="004F7CCA"/>
    <w:rsid w:val="004F7D62"/>
    <w:rsid w:val="004F7D67"/>
    <w:rsid w:val="004F7E18"/>
    <w:rsid w:val="004F7E3B"/>
    <w:rsid w:val="005000AA"/>
    <w:rsid w:val="0050012F"/>
    <w:rsid w:val="005001E6"/>
    <w:rsid w:val="00500240"/>
    <w:rsid w:val="0050032B"/>
    <w:rsid w:val="00500335"/>
    <w:rsid w:val="00500462"/>
    <w:rsid w:val="00500528"/>
    <w:rsid w:val="005005DC"/>
    <w:rsid w:val="0050061C"/>
    <w:rsid w:val="005006C6"/>
    <w:rsid w:val="00500722"/>
    <w:rsid w:val="00500740"/>
    <w:rsid w:val="00500785"/>
    <w:rsid w:val="00500945"/>
    <w:rsid w:val="00500951"/>
    <w:rsid w:val="005009AA"/>
    <w:rsid w:val="00500ADC"/>
    <w:rsid w:val="00500AEE"/>
    <w:rsid w:val="00500AF6"/>
    <w:rsid w:val="00500B40"/>
    <w:rsid w:val="00500BBF"/>
    <w:rsid w:val="00500C45"/>
    <w:rsid w:val="00500DA4"/>
    <w:rsid w:val="00500DC6"/>
    <w:rsid w:val="00500DE1"/>
    <w:rsid w:val="00500DE6"/>
    <w:rsid w:val="00500DFA"/>
    <w:rsid w:val="00500E06"/>
    <w:rsid w:val="00500ED5"/>
    <w:rsid w:val="00500F27"/>
    <w:rsid w:val="00500FD6"/>
    <w:rsid w:val="0050109F"/>
    <w:rsid w:val="0050117D"/>
    <w:rsid w:val="00501195"/>
    <w:rsid w:val="005012F3"/>
    <w:rsid w:val="00501315"/>
    <w:rsid w:val="00501826"/>
    <w:rsid w:val="005018CC"/>
    <w:rsid w:val="005019E3"/>
    <w:rsid w:val="00501B34"/>
    <w:rsid w:val="00501B8B"/>
    <w:rsid w:val="00501C5F"/>
    <w:rsid w:val="00501D14"/>
    <w:rsid w:val="00501D28"/>
    <w:rsid w:val="00501E81"/>
    <w:rsid w:val="00501E99"/>
    <w:rsid w:val="00501F1A"/>
    <w:rsid w:val="00502064"/>
    <w:rsid w:val="005020A0"/>
    <w:rsid w:val="005022FF"/>
    <w:rsid w:val="00502387"/>
    <w:rsid w:val="005023D0"/>
    <w:rsid w:val="00502502"/>
    <w:rsid w:val="0050255A"/>
    <w:rsid w:val="005025DD"/>
    <w:rsid w:val="005026F2"/>
    <w:rsid w:val="005027BE"/>
    <w:rsid w:val="00502952"/>
    <w:rsid w:val="00502A52"/>
    <w:rsid w:val="00502AA7"/>
    <w:rsid w:val="00502BCB"/>
    <w:rsid w:val="00502CBB"/>
    <w:rsid w:val="00502D5E"/>
    <w:rsid w:val="00502DF7"/>
    <w:rsid w:val="00502EEB"/>
    <w:rsid w:val="00502FB2"/>
    <w:rsid w:val="005032E2"/>
    <w:rsid w:val="00503354"/>
    <w:rsid w:val="00503385"/>
    <w:rsid w:val="0050341F"/>
    <w:rsid w:val="00503477"/>
    <w:rsid w:val="005034A7"/>
    <w:rsid w:val="00503507"/>
    <w:rsid w:val="005036A3"/>
    <w:rsid w:val="0050371A"/>
    <w:rsid w:val="00503737"/>
    <w:rsid w:val="005037DC"/>
    <w:rsid w:val="00503801"/>
    <w:rsid w:val="0050380D"/>
    <w:rsid w:val="00503A09"/>
    <w:rsid w:val="00503AB2"/>
    <w:rsid w:val="00503ABE"/>
    <w:rsid w:val="00503C14"/>
    <w:rsid w:val="00503C1F"/>
    <w:rsid w:val="00503CA6"/>
    <w:rsid w:val="00503CAE"/>
    <w:rsid w:val="00503CEB"/>
    <w:rsid w:val="00503E05"/>
    <w:rsid w:val="00504104"/>
    <w:rsid w:val="00504128"/>
    <w:rsid w:val="00504194"/>
    <w:rsid w:val="0050419C"/>
    <w:rsid w:val="00504242"/>
    <w:rsid w:val="00504323"/>
    <w:rsid w:val="00504404"/>
    <w:rsid w:val="00504409"/>
    <w:rsid w:val="005046A4"/>
    <w:rsid w:val="005046B7"/>
    <w:rsid w:val="005046E6"/>
    <w:rsid w:val="0050498B"/>
    <w:rsid w:val="00504AC2"/>
    <w:rsid w:val="00504B12"/>
    <w:rsid w:val="00504B7D"/>
    <w:rsid w:val="00504BDB"/>
    <w:rsid w:val="00504C04"/>
    <w:rsid w:val="00504C6D"/>
    <w:rsid w:val="00504DAB"/>
    <w:rsid w:val="00504DE2"/>
    <w:rsid w:val="00504F15"/>
    <w:rsid w:val="00504F1A"/>
    <w:rsid w:val="00504FB5"/>
    <w:rsid w:val="00505024"/>
    <w:rsid w:val="005051E9"/>
    <w:rsid w:val="00505338"/>
    <w:rsid w:val="0050537E"/>
    <w:rsid w:val="005053F0"/>
    <w:rsid w:val="005054AD"/>
    <w:rsid w:val="005054D3"/>
    <w:rsid w:val="0050554B"/>
    <w:rsid w:val="005055EA"/>
    <w:rsid w:val="0050562F"/>
    <w:rsid w:val="00505633"/>
    <w:rsid w:val="00505730"/>
    <w:rsid w:val="00505915"/>
    <w:rsid w:val="00505943"/>
    <w:rsid w:val="005059F2"/>
    <w:rsid w:val="00505B84"/>
    <w:rsid w:val="00505BD1"/>
    <w:rsid w:val="00505CB1"/>
    <w:rsid w:val="00505CB6"/>
    <w:rsid w:val="00505DDD"/>
    <w:rsid w:val="00505FB0"/>
    <w:rsid w:val="0050604A"/>
    <w:rsid w:val="00506129"/>
    <w:rsid w:val="00506142"/>
    <w:rsid w:val="005062A8"/>
    <w:rsid w:val="0050638C"/>
    <w:rsid w:val="0050646C"/>
    <w:rsid w:val="005065A8"/>
    <w:rsid w:val="005065C1"/>
    <w:rsid w:val="005066E4"/>
    <w:rsid w:val="0050674A"/>
    <w:rsid w:val="005068D4"/>
    <w:rsid w:val="00506970"/>
    <w:rsid w:val="005069AD"/>
    <w:rsid w:val="00506A71"/>
    <w:rsid w:val="00506A8C"/>
    <w:rsid w:val="00506E60"/>
    <w:rsid w:val="00506EDA"/>
    <w:rsid w:val="00506EF8"/>
    <w:rsid w:val="00507069"/>
    <w:rsid w:val="0050712E"/>
    <w:rsid w:val="005071A6"/>
    <w:rsid w:val="005072B1"/>
    <w:rsid w:val="005072C0"/>
    <w:rsid w:val="005072E1"/>
    <w:rsid w:val="0050745E"/>
    <w:rsid w:val="005077C1"/>
    <w:rsid w:val="00507802"/>
    <w:rsid w:val="00507817"/>
    <w:rsid w:val="0050789C"/>
    <w:rsid w:val="00507970"/>
    <w:rsid w:val="00507AA8"/>
    <w:rsid w:val="00507B46"/>
    <w:rsid w:val="00507BB2"/>
    <w:rsid w:val="00507BE2"/>
    <w:rsid w:val="00507C72"/>
    <w:rsid w:val="00507D10"/>
    <w:rsid w:val="00507DB1"/>
    <w:rsid w:val="00507E3C"/>
    <w:rsid w:val="00507F0D"/>
    <w:rsid w:val="00507FDE"/>
    <w:rsid w:val="0051001A"/>
    <w:rsid w:val="00510027"/>
    <w:rsid w:val="00510158"/>
    <w:rsid w:val="00510181"/>
    <w:rsid w:val="005102E4"/>
    <w:rsid w:val="0051038F"/>
    <w:rsid w:val="005103B3"/>
    <w:rsid w:val="005104A4"/>
    <w:rsid w:val="0051057A"/>
    <w:rsid w:val="005105AE"/>
    <w:rsid w:val="0051067C"/>
    <w:rsid w:val="00510993"/>
    <w:rsid w:val="005109F1"/>
    <w:rsid w:val="00510A0D"/>
    <w:rsid w:val="00510A1E"/>
    <w:rsid w:val="00510B35"/>
    <w:rsid w:val="00510B56"/>
    <w:rsid w:val="00510CCD"/>
    <w:rsid w:val="00510DE6"/>
    <w:rsid w:val="00510EF5"/>
    <w:rsid w:val="00510EFE"/>
    <w:rsid w:val="00510F10"/>
    <w:rsid w:val="00510FB3"/>
    <w:rsid w:val="00511066"/>
    <w:rsid w:val="0051166C"/>
    <w:rsid w:val="005116D8"/>
    <w:rsid w:val="00511831"/>
    <w:rsid w:val="00511832"/>
    <w:rsid w:val="00511842"/>
    <w:rsid w:val="0051184D"/>
    <w:rsid w:val="00511904"/>
    <w:rsid w:val="00511AB0"/>
    <w:rsid w:val="00511BA5"/>
    <w:rsid w:val="00511BB2"/>
    <w:rsid w:val="00511BBE"/>
    <w:rsid w:val="00511BEC"/>
    <w:rsid w:val="00511C22"/>
    <w:rsid w:val="00511CD8"/>
    <w:rsid w:val="00511E27"/>
    <w:rsid w:val="00511E55"/>
    <w:rsid w:val="00511EA4"/>
    <w:rsid w:val="00511F4D"/>
    <w:rsid w:val="00511FBC"/>
    <w:rsid w:val="00512090"/>
    <w:rsid w:val="005120C5"/>
    <w:rsid w:val="00512131"/>
    <w:rsid w:val="00512146"/>
    <w:rsid w:val="00512227"/>
    <w:rsid w:val="005123A7"/>
    <w:rsid w:val="005123F7"/>
    <w:rsid w:val="00512445"/>
    <w:rsid w:val="005124DC"/>
    <w:rsid w:val="005124E7"/>
    <w:rsid w:val="0051270D"/>
    <w:rsid w:val="00512784"/>
    <w:rsid w:val="005127AC"/>
    <w:rsid w:val="005127DD"/>
    <w:rsid w:val="00512896"/>
    <w:rsid w:val="00512900"/>
    <w:rsid w:val="00512925"/>
    <w:rsid w:val="00512966"/>
    <w:rsid w:val="00512A79"/>
    <w:rsid w:val="00512B06"/>
    <w:rsid w:val="00512B08"/>
    <w:rsid w:val="00512B1E"/>
    <w:rsid w:val="00512BFA"/>
    <w:rsid w:val="00512C3D"/>
    <w:rsid w:val="00512C5E"/>
    <w:rsid w:val="00512C86"/>
    <w:rsid w:val="00512D1B"/>
    <w:rsid w:val="00512EED"/>
    <w:rsid w:val="00513000"/>
    <w:rsid w:val="005130B3"/>
    <w:rsid w:val="005130DE"/>
    <w:rsid w:val="00513132"/>
    <w:rsid w:val="0051313D"/>
    <w:rsid w:val="005131B1"/>
    <w:rsid w:val="0051323E"/>
    <w:rsid w:val="0051339B"/>
    <w:rsid w:val="00513401"/>
    <w:rsid w:val="0051344A"/>
    <w:rsid w:val="005134AD"/>
    <w:rsid w:val="005134E8"/>
    <w:rsid w:val="005134F0"/>
    <w:rsid w:val="00513637"/>
    <w:rsid w:val="0051384A"/>
    <w:rsid w:val="005138C0"/>
    <w:rsid w:val="005138CC"/>
    <w:rsid w:val="005139C8"/>
    <w:rsid w:val="005139FD"/>
    <w:rsid w:val="00513A0A"/>
    <w:rsid w:val="00513A18"/>
    <w:rsid w:val="00513C7D"/>
    <w:rsid w:val="00513C89"/>
    <w:rsid w:val="00513CF5"/>
    <w:rsid w:val="00513CF8"/>
    <w:rsid w:val="00513D6E"/>
    <w:rsid w:val="00513D73"/>
    <w:rsid w:val="00513DDE"/>
    <w:rsid w:val="00513E83"/>
    <w:rsid w:val="00513E93"/>
    <w:rsid w:val="00513F9C"/>
    <w:rsid w:val="00513FBD"/>
    <w:rsid w:val="00513FF8"/>
    <w:rsid w:val="00514068"/>
    <w:rsid w:val="005140F6"/>
    <w:rsid w:val="0051412A"/>
    <w:rsid w:val="00514238"/>
    <w:rsid w:val="00514315"/>
    <w:rsid w:val="0051435A"/>
    <w:rsid w:val="005143C4"/>
    <w:rsid w:val="00514670"/>
    <w:rsid w:val="00514683"/>
    <w:rsid w:val="005148FF"/>
    <w:rsid w:val="00514980"/>
    <w:rsid w:val="00514A39"/>
    <w:rsid w:val="00514A46"/>
    <w:rsid w:val="00514A93"/>
    <w:rsid w:val="00514ADA"/>
    <w:rsid w:val="00514AE4"/>
    <w:rsid w:val="00514B7B"/>
    <w:rsid w:val="00514C22"/>
    <w:rsid w:val="00514C4A"/>
    <w:rsid w:val="00514DF1"/>
    <w:rsid w:val="00514E20"/>
    <w:rsid w:val="0051501A"/>
    <w:rsid w:val="0051506B"/>
    <w:rsid w:val="0051509A"/>
    <w:rsid w:val="0051518C"/>
    <w:rsid w:val="00515266"/>
    <w:rsid w:val="005152FC"/>
    <w:rsid w:val="005153BD"/>
    <w:rsid w:val="0051542E"/>
    <w:rsid w:val="0051556D"/>
    <w:rsid w:val="00515808"/>
    <w:rsid w:val="00515895"/>
    <w:rsid w:val="00515923"/>
    <w:rsid w:val="00515926"/>
    <w:rsid w:val="00515A40"/>
    <w:rsid w:val="00515BF1"/>
    <w:rsid w:val="00515C64"/>
    <w:rsid w:val="00515DF8"/>
    <w:rsid w:val="00515E37"/>
    <w:rsid w:val="00515E4B"/>
    <w:rsid w:val="00515F2A"/>
    <w:rsid w:val="00516087"/>
    <w:rsid w:val="00516123"/>
    <w:rsid w:val="0051618A"/>
    <w:rsid w:val="005161B6"/>
    <w:rsid w:val="00516316"/>
    <w:rsid w:val="00516325"/>
    <w:rsid w:val="00516355"/>
    <w:rsid w:val="0051638B"/>
    <w:rsid w:val="00516409"/>
    <w:rsid w:val="0051646E"/>
    <w:rsid w:val="0051648A"/>
    <w:rsid w:val="0051654A"/>
    <w:rsid w:val="0051664E"/>
    <w:rsid w:val="0051667D"/>
    <w:rsid w:val="005167DA"/>
    <w:rsid w:val="00516837"/>
    <w:rsid w:val="00516866"/>
    <w:rsid w:val="005168C4"/>
    <w:rsid w:val="00516A45"/>
    <w:rsid w:val="00516AB9"/>
    <w:rsid w:val="00516B24"/>
    <w:rsid w:val="00516CE7"/>
    <w:rsid w:val="00516D2D"/>
    <w:rsid w:val="00516D5B"/>
    <w:rsid w:val="00516FDA"/>
    <w:rsid w:val="0051727C"/>
    <w:rsid w:val="005173C0"/>
    <w:rsid w:val="00517423"/>
    <w:rsid w:val="00517495"/>
    <w:rsid w:val="005175A6"/>
    <w:rsid w:val="00517757"/>
    <w:rsid w:val="00517881"/>
    <w:rsid w:val="005178DE"/>
    <w:rsid w:val="0051799D"/>
    <w:rsid w:val="00517AE3"/>
    <w:rsid w:val="00517B9C"/>
    <w:rsid w:val="00517BD4"/>
    <w:rsid w:val="00517C9C"/>
    <w:rsid w:val="00517CAA"/>
    <w:rsid w:val="00517CE7"/>
    <w:rsid w:val="0052003C"/>
    <w:rsid w:val="00520076"/>
    <w:rsid w:val="005200B3"/>
    <w:rsid w:val="00520211"/>
    <w:rsid w:val="00520232"/>
    <w:rsid w:val="005202BC"/>
    <w:rsid w:val="005202D2"/>
    <w:rsid w:val="00520306"/>
    <w:rsid w:val="00520478"/>
    <w:rsid w:val="005204C7"/>
    <w:rsid w:val="0052053A"/>
    <w:rsid w:val="00520558"/>
    <w:rsid w:val="00520767"/>
    <w:rsid w:val="005207BE"/>
    <w:rsid w:val="00520860"/>
    <w:rsid w:val="0052086E"/>
    <w:rsid w:val="00520885"/>
    <w:rsid w:val="00520909"/>
    <w:rsid w:val="0052095A"/>
    <w:rsid w:val="00520AD3"/>
    <w:rsid w:val="00520CE8"/>
    <w:rsid w:val="00520EF7"/>
    <w:rsid w:val="00520FB5"/>
    <w:rsid w:val="00521085"/>
    <w:rsid w:val="005210EE"/>
    <w:rsid w:val="00521141"/>
    <w:rsid w:val="00521445"/>
    <w:rsid w:val="0052144E"/>
    <w:rsid w:val="005214E3"/>
    <w:rsid w:val="00521569"/>
    <w:rsid w:val="0052162E"/>
    <w:rsid w:val="0052173D"/>
    <w:rsid w:val="0052174B"/>
    <w:rsid w:val="005217CD"/>
    <w:rsid w:val="0052181C"/>
    <w:rsid w:val="00521862"/>
    <w:rsid w:val="00521875"/>
    <w:rsid w:val="00521913"/>
    <w:rsid w:val="00521A2A"/>
    <w:rsid w:val="00521AAE"/>
    <w:rsid w:val="00521CA8"/>
    <w:rsid w:val="00521DEE"/>
    <w:rsid w:val="00521E68"/>
    <w:rsid w:val="00521E7D"/>
    <w:rsid w:val="00521ED4"/>
    <w:rsid w:val="00521F6F"/>
    <w:rsid w:val="0052210D"/>
    <w:rsid w:val="005221E3"/>
    <w:rsid w:val="005221E7"/>
    <w:rsid w:val="00522258"/>
    <w:rsid w:val="0052238A"/>
    <w:rsid w:val="005223E5"/>
    <w:rsid w:val="005223EB"/>
    <w:rsid w:val="00522685"/>
    <w:rsid w:val="00522890"/>
    <w:rsid w:val="005228AD"/>
    <w:rsid w:val="005228D8"/>
    <w:rsid w:val="005228E4"/>
    <w:rsid w:val="005229CE"/>
    <w:rsid w:val="00522A2C"/>
    <w:rsid w:val="00522A81"/>
    <w:rsid w:val="00522B47"/>
    <w:rsid w:val="00522B93"/>
    <w:rsid w:val="00522C56"/>
    <w:rsid w:val="00522CA6"/>
    <w:rsid w:val="00522CB0"/>
    <w:rsid w:val="00522D85"/>
    <w:rsid w:val="00522E98"/>
    <w:rsid w:val="00522F3D"/>
    <w:rsid w:val="00522F69"/>
    <w:rsid w:val="00522F70"/>
    <w:rsid w:val="00523098"/>
    <w:rsid w:val="0052310C"/>
    <w:rsid w:val="0052316D"/>
    <w:rsid w:val="005231DF"/>
    <w:rsid w:val="00523321"/>
    <w:rsid w:val="00523404"/>
    <w:rsid w:val="0052342F"/>
    <w:rsid w:val="005234B1"/>
    <w:rsid w:val="00523584"/>
    <w:rsid w:val="005235A5"/>
    <w:rsid w:val="00523676"/>
    <w:rsid w:val="0052389F"/>
    <w:rsid w:val="005238B6"/>
    <w:rsid w:val="00523AF0"/>
    <w:rsid w:val="00523B20"/>
    <w:rsid w:val="00523B24"/>
    <w:rsid w:val="00523B2D"/>
    <w:rsid w:val="00523B5B"/>
    <w:rsid w:val="00523B80"/>
    <w:rsid w:val="00523BF6"/>
    <w:rsid w:val="00523CE5"/>
    <w:rsid w:val="00523F4F"/>
    <w:rsid w:val="00523FC9"/>
    <w:rsid w:val="00524034"/>
    <w:rsid w:val="00524046"/>
    <w:rsid w:val="00524076"/>
    <w:rsid w:val="00524110"/>
    <w:rsid w:val="00524190"/>
    <w:rsid w:val="005241D1"/>
    <w:rsid w:val="0052423D"/>
    <w:rsid w:val="00524262"/>
    <w:rsid w:val="005242E6"/>
    <w:rsid w:val="00524318"/>
    <w:rsid w:val="0052435B"/>
    <w:rsid w:val="005243B9"/>
    <w:rsid w:val="00524495"/>
    <w:rsid w:val="005246A1"/>
    <w:rsid w:val="00524756"/>
    <w:rsid w:val="00524772"/>
    <w:rsid w:val="005247D5"/>
    <w:rsid w:val="005247E2"/>
    <w:rsid w:val="0052484B"/>
    <w:rsid w:val="00524850"/>
    <w:rsid w:val="0052486D"/>
    <w:rsid w:val="0052486F"/>
    <w:rsid w:val="0052487B"/>
    <w:rsid w:val="00524933"/>
    <w:rsid w:val="00524A25"/>
    <w:rsid w:val="00524C92"/>
    <w:rsid w:val="00524CD7"/>
    <w:rsid w:val="00524D74"/>
    <w:rsid w:val="00524E2E"/>
    <w:rsid w:val="00524ED9"/>
    <w:rsid w:val="00524F53"/>
    <w:rsid w:val="00524FBA"/>
    <w:rsid w:val="00524FE6"/>
    <w:rsid w:val="005250F6"/>
    <w:rsid w:val="005251CB"/>
    <w:rsid w:val="00525214"/>
    <w:rsid w:val="00525394"/>
    <w:rsid w:val="005256A0"/>
    <w:rsid w:val="005256BD"/>
    <w:rsid w:val="0052585C"/>
    <w:rsid w:val="005258D8"/>
    <w:rsid w:val="00525916"/>
    <w:rsid w:val="00525A09"/>
    <w:rsid w:val="00525B3F"/>
    <w:rsid w:val="00525BAC"/>
    <w:rsid w:val="00525D32"/>
    <w:rsid w:val="00525D50"/>
    <w:rsid w:val="00525E39"/>
    <w:rsid w:val="00525E6B"/>
    <w:rsid w:val="00525F74"/>
    <w:rsid w:val="00525FAD"/>
    <w:rsid w:val="00525FCD"/>
    <w:rsid w:val="00525FD7"/>
    <w:rsid w:val="0052641E"/>
    <w:rsid w:val="00526433"/>
    <w:rsid w:val="0052649A"/>
    <w:rsid w:val="00526535"/>
    <w:rsid w:val="005266AD"/>
    <w:rsid w:val="00526739"/>
    <w:rsid w:val="00526813"/>
    <w:rsid w:val="00526850"/>
    <w:rsid w:val="005268B2"/>
    <w:rsid w:val="005268C5"/>
    <w:rsid w:val="005268DD"/>
    <w:rsid w:val="00526923"/>
    <w:rsid w:val="00526C6B"/>
    <w:rsid w:val="00526E2E"/>
    <w:rsid w:val="00526EDC"/>
    <w:rsid w:val="00526F4A"/>
    <w:rsid w:val="00526FD2"/>
    <w:rsid w:val="00526FF3"/>
    <w:rsid w:val="00527018"/>
    <w:rsid w:val="0052701E"/>
    <w:rsid w:val="0052707A"/>
    <w:rsid w:val="005270C3"/>
    <w:rsid w:val="0052735A"/>
    <w:rsid w:val="00527373"/>
    <w:rsid w:val="00527381"/>
    <w:rsid w:val="00527395"/>
    <w:rsid w:val="005274D3"/>
    <w:rsid w:val="0052756E"/>
    <w:rsid w:val="00527638"/>
    <w:rsid w:val="0052765C"/>
    <w:rsid w:val="005276F6"/>
    <w:rsid w:val="00527739"/>
    <w:rsid w:val="005278F5"/>
    <w:rsid w:val="00527D98"/>
    <w:rsid w:val="00527E4D"/>
    <w:rsid w:val="00527E89"/>
    <w:rsid w:val="00527EB4"/>
    <w:rsid w:val="00527FEC"/>
    <w:rsid w:val="005300FF"/>
    <w:rsid w:val="00530116"/>
    <w:rsid w:val="005301D7"/>
    <w:rsid w:val="0053027E"/>
    <w:rsid w:val="005304C3"/>
    <w:rsid w:val="00530574"/>
    <w:rsid w:val="0053059E"/>
    <w:rsid w:val="005305A1"/>
    <w:rsid w:val="00530600"/>
    <w:rsid w:val="00530684"/>
    <w:rsid w:val="00530708"/>
    <w:rsid w:val="0053081A"/>
    <w:rsid w:val="005308A3"/>
    <w:rsid w:val="00530A9C"/>
    <w:rsid w:val="00530B41"/>
    <w:rsid w:val="00530CC6"/>
    <w:rsid w:val="00530E55"/>
    <w:rsid w:val="00531000"/>
    <w:rsid w:val="0053101E"/>
    <w:rsid w:val="00531078"/>
    <w:rsid w:val="0053109B"/>
    <w:rsid w:val="0053123A"/>
    <w:rsid w:val="00531253"/>
    <w:rsid w:val="0053145E"/>
    <w:rsid w:val="005314CD"/>
    <w:rsid w:val="005316C7"/>
    <w:rsid w:val="0053178C"/>
    <w:rsid w:val="00531790"/>
    <w:rsid w:val="0053179D"/>
    <w:rsid w:val="005317E7"/>
    <w:rsid w:val="005317F2"/>
    <w:rsid w:val="005319C4"/>
    <w:rsid w:val="00531A13"/>
    <w:rsid w:val="00531A7A"/>
    <w:rsid w:val="00531B98"/>
    <w:rsid w:val="00531BA2"/>
    <w:rsid w:val="00531BF3"/>
    <w:rsid w:val="00531C0A"/>
    <w:rsid w:val="00531D45"/>
    <w:rsid w:val="00531DB6"/>
    <w:rsid w:val="00531F77"/>
    <w:rsid w:val="00532065"/>
    <w:rsid w:val="005320BE"/>
    <w:rsid w:val="00532155"/>
    <w:rsid w:val="00532259"/>
    <w:rsid w:val="0053229D"/>
    <w:rsid w:val="0053232A"/>
    <w:rsid w:val="00532358"/>
    <w:rsid w:val="005323F4"/>
    <w:rsid w:val="00532462"/>
    <w:rsid w:val="00532496"/>
    <w:rsid w:val="005324C9"/>
    <w:rsid w:val="00532564"/>
    <w:rsid w:val="005325D0"/>
    <w:rsid w:val="00532618"/>
    <w:rsid w:val="00532777"/>
    <w:rsid w:val="00532961"/>
    <w:rsid w:val="0053298F"/>
    <w:rsid w:val="005329EC"/>
    <w:rsid w:val="00532A4C"/>
    <w:rsid w:val="00532AD7"/>
    <w:rsid w:val="00532BB7"/>
    <w:rsid w:val="00532EFF"/>
    <w:rsid w:val="00532F48"/>
    <w:rsid w:val="00532F60"/>
    <w:rsid w:val="00532FD6"/>
    <w:rsid w:val="00533267"/>
    <w:rsid w:val="005332B5"/>
    <w:rsid w:val="005333D3"/>
    <w:rsid w:val="00533423"/>
    <w:rsid w:val="00533456"/>
    <w:rsid w:val="005334E2"/>
    <w:rsid w:val="00533571"/>
    <w:rsid w:val="005336AF"/>
    <w:rsid w:val="005336FD"/>
    <w:rsid w:val="005339B8"/>
    <w:rsid w:val="005339D7"/>
    <w:rsid w:val="00533A63"/>
    <w:rsid w:val="00533B86"/>
    <w:rsid w:val="00533C69"/>
    <w:rsid w:val="00533CCD"/>
    <w:rsid w:val="00533E82"/>
    <w:rsid w:val="00533F25"/>
    <w:rsid w:val="005341FC"/>
    <w:rsid w:val="005343BA"/>
    <w:rsid w:val="00534466"/>
    <w:rsid w:val="00534799"/>
    <w:rsid w:val="00534920"/>
    <w:rsid w:val="00534925"/>
    <w:rsid w:val="00534A10"/>
    <w:rsid w:val="00534B88"/>
    <w:rsid w:val="00534C52"/>
    <w:rsid w:val="00534D2C"/>
    <w:rsid w:val="00534D82"/>
    <w:rsid w:val="00534EFD"/>
    <w:rsid w:val="005350D7"/>
    <w:rsid w:val="0053522B"/>
    <w:rsid w:val="0053525B"/>
    <w:rsid w:val="0053529F"/>
    <w:rsid w:val="005353CA"/>
    <w:rsid w:val="005354CE"/>
    <w:rsid w:val="005354FD"/>
    <w:rsid w:val="005354FF"/>
    <w:rsid w:val="0053551F"/>
    <w:rsid w:val="00535533"/>
    <w:rsid w:val="005355B9"/>
    <w:rsid w:val="00535619"/>
    <w:rsid w:val="00535630"/>
    <w:rsid w:val="0053565B"/>
    <w:rsid w:val="005356E9"/>
    <w:rsid w:val="00535802"/>
    <w:rsid w:val="00535A3A"/>
    <w:rsid w:val="00535BAA"/>
    <w:rsid w:val="00535C7B"/>
    <w:rsid w:val="00535C9C"/>
    <w:rsid w:val="00535D5F"/>
    <w:rsid w:val="00535E0A"/>
    <w:rsid w:val="00535ECF"/>
    <w:rsid w:val="00535F64"/>
    <w:rsid w:val="00535F6A"/>
    <w:rsid w:val="0053607B"/>
    <w:rsid w:val="005360CB"/>
    <w:rsid w:val="005361B9"/>
    <w:rsid w:val="0053622B"/>
    <w:rsid w:val="005362DF"/>
    <w:rsid w:val="0053632E"/>
    <w:rsid w:val="00536541"/>
    <w:rsid w:val="005366FC"/>
    <w:rsid w:val="0053670C"/>
    <w:rsid w:val="0053681E"/>
    <w:rsid w:val="005368B8"/>
    <w:rsid w:val="00536925"/>
    <w:rsid w:val="00536945"/>
    <w:rsid w:val="00536B96"/>
    <w:rsid w:val="00536BDC"/>
    <w:rsid w:val="00536C2F"/>
    <w:rsid w:val="00536C86"/>
    <w:rsid w:val="00536CBC"/>
    <w:rsid w:val="00536E1B"/>
    <w:rsid w:val="00537142"/>
    <w:rsid w:val="00537179"/>
    <w:rsid w:val="005372BA"/>
    <w:rsid w:val="00537367"/>
    <w:rsid w:val="005373E0"/>
    <w:rsid w:val="0053745C"/>
    <w:rsid w:val="00537517"/>
    <w:rsid w:val="005375A1"/>
    <w:rsid w:val="005376E9"/>
    <w:rsid w:val="0053773F"/>
    <w:rsid w:val="005377FE"/>
    <w:rsid w:val="0053794A"/>
    <w:rsid w:val="00537AAD"/>
    <w:rsid w:val="00537BED"/>
    <w:rsid w:val="00537C1C"/>
    <w:rsid w:val="00537C5F"/>
    <w:rsid w:val="00537D33"/>
    <w:rsid w:val="00537D54"/>
    <w:rsid w:val="00537D8B"/>
    <w:rsid w:val="00537DE9"/>
    <w:rsid w:val="00537E9B"/>
    <w:rsid w:val="0054006F"/>
    <w:rsid w:val="005400F8"/>
    <w:rsid w:val="00540149"/>
    <w:rsid w:val="00540179"/>
    <w:rsid w:val="0054019D"/>
    <w:rsid w:val="00540219"/>
    <w:rsid w:val="00540347"/>
    <w:rsid w:val="005403D0"/>
    <w:rsid w:val="0054041E"/>
    <w:rsid w:val="00540472"/>
    <w:rsid w:val="00540515"/>
    <w:rsid w:val="00540522"/>
    <w:rsid w:val="0054054C"/>
    <w:rsid w:val="00540624"/>
    <w:rsid w:val="00540680"/>
    <w:rsid w:val="0054068C"/>
    <w:rsid w:val="005406DE"/>
    <w:rsid w:val="0054071D"/>
    <w:rsid w:val="00540794"/>
    <w:rsid w:val="0054079E"/>
    <w:rsid w:val="005408E0"/>
    <w:rsid w:val="00540927"/>
    <w:rsid w:val="00540BC0"/>
    <w:rsid w:val="00540C30"/>
    <w:rsid w:val="00540D02"/>
    <w:rsid w:val="00540D88"/>
    <w:rsid w:val="00540E51"/>
    <w:rsid w:val="00540E73"/>
    <w:rsid w:val="00540EAA"/>
    <w:rsid w:val="00540EB1"/>
    <w:rsid w:val="00541006"/>
    <w:rsid w:val="00541074"/>
    <w:rsid w:val="0054116F"/>
    <w:rsid w:val="0054126B"/>
    <w:rsid w:val="00541295"/>
    <w:rsid w:val="0054131F"/>
    <w:rsid w:val="00541326"/>
    <w:rsid w:val="005413AE"/>
    <w:rsid w:val="005415B7"/>
    <w:rsid w:val="00541641"/>
    <w:rsid w:val="00541647"/>
    <w:rsid w:val="0054165A"/>
    <w:rsid w:val="0054180D"/>
    <w:rsid w:val="00541869"/>
    <w:rsid w:val="005418CA"/>
    <w:rsid w:val="00541980"/>
    <w:rsid w:val="005419B6"/>
    <w:rsid w:val="005419BE"/>
    <w:rsid w:val="00541A8F"/>
    <w:rsid w:val="00541CEB"/>
    <w:rsid w:val="00541DB4"/>
    <w:rsid w:val="00541E8B"/>
    <w:rsid w:val="00541FDF"/>
    <w:rsid w:val="005421EF"/>
    <w:rsid w:val="00542282"/>
    <w:rsid w:val="0054234C"/>
    <w:rsid w:val="005423B9"/>
    <w:rsid w:val="005423BE"/>
    <w:rsid w:val="00542527"/>
    <w:rsid w:val="00542652"/>
    <w:rsid w:val="005427B8"/>
    <w:rsid w:val="005427DC"/>
    <w:rsid w:val="00542ACC"/>
    <w:rsid w:val="00542B59"/>
    <w:rsid w:val="00542BB8"/>
    <w:rsid w:val="00542E0F"/>
    <w:rsid w:val="00542F9D"/>
    <w:rsid w:val="00542FF0"/>
    <w:rsid w:val="00543028"/>
    <w:rsid w:val="005430C1"/>
    <w:rsid w:val="00543310"/>
    <w:rsid w:val="005433DB"/>
    <w:rsid w:val="005433FE"/>
    <w:rsid w:val="0054340B"/>
    <w:rsid w:val="00543462"/>
    <w:rsid w:val="00543512"/>
    <w:rsid w:val="00543594"/>
    <w:rsid w:val="005436F3"/>
    <w:rsid w:val="00543723"/>
    <w:rsid w:val="0054379B"/>
    <w:rsid w:val="005438B9"/>
    <w:rsid w:val="005438BF"/>
    <w:rsid w:val="005439C3"/>
    <w:rsid w:val="005439DB"/>
    <w:rsid w:val="005439DD"/>
    <w:rsid w:val="00543A42"/>
    <w:rsid w:val="00543D9E"/>
    <w:rsid w:val="00543E1A"/>
    <w:rsid w:val="00543E37"/>
    <w:rsid w:val="00544018"/>
    <w:rsid w:val="00544052"/>
    <w:rsid w:val="00544083"/>
    <w:rsid w:val="0054409B"/>
    <w:rsid w:val="00544150"/>
    <w:rsid w:val="0054424B"/>
    <w:rsid w:val="0054431F"/>
    <w:rsid w:val="0054437D"/>
    <w:rsid w:val="005445BB"/>
    <w:rsid w:val="005446C3"/>
    <w:rsid w:val="005446E0"/>
    <w:rsid w:val="00544742"/>
    <w:rsid w:val="005447CE"/>
    <w:rsid w:val="0054482E"/>
    <w:rsid w:val="00544840"/>
    <w:rsid w:val="00544874"/>
    <w:rsid w:val="005448E1"/>
    <w:rsid w:val="00544A8C"/>
    <w:rsid w:val="00544AF6"/>
    <w:rsid w:val="00544B36"/>
    <w:rsid w:val="00544B7C"/>
    <w:rsid w:val="00544B8B"/>
    <w:rsid w:val="00544BCB"/>
    <w:rsid w:val="00544DA0"/>
    <w:rsid w:val="00544DE2"/>
    <w:rsid w:val="00544E09"/>
    <w:rsid w:val="00544ECF"/>
    <w:rsid w:val="00545019"/>
    <w:rsid w:val="005450BF"/>
    <w:rsid w:val="005450CE"/>
    <w:rsid w:val="005450E9"/>
    <w:rsid w:val="005453C7"/>
    <w:rsid w:val="005453E6"/>
    <w:rsid w:val="005453FA"/>
    <w:rsid w:val="00545589"/>
    <w:rsid w:val="0054582E"/>
    <w:rsid w:val="00545841"/>
    <w:rsid w:val="0054585B"/>
    <w:rsid w:val="00545916"/>
    <w:rsid w:val="00545945"/>
    <w:rsid w:val="00545952"/>
    <w:rsid w:val="005459C1"/>
    <w:rsid w:val="00545B9D"/>
    <w:rsid w:val="00545C4F"/>
    <w:rsid w:val="00545C6E"/>
    <w:rsid w:val="00545D5F"/>
    <w:rsid w:val="00545D9D"/>
    <w:rsid w:val="00545DF7"/>
    <w:rsid w:val="00545E23"/>
    <w:rsid w:val="00545E2D"/>
    <w:rsid w:val="00545E7C"/>
    <w:rsid w:val="00545F1B"/>
    <w:rsid w:val="005460F1"/>
    <w:rsid w:val="005461B9"/>
    <w:rsid w:val="005461FD"/>
    <w:rsid w:val="0054636B"/>
    <w:rsid w:val="0054640F"/>
    <w:rsid w:val="0054649D"/>
    <w:rsid w:val="005464AC"/>
    <w:rsid w:val="005464E9"/>
    <w:rsid w:val="00546546"/>
    <w:rsid w:val="0054661C"/>
    <w:rsid w:val="00546685"/>
    <w:rsid w:val="00546856"/>
    <w:rsid w:val="00546879"/>
    <w:rsid w:val="00546A33"/>
    <w:rsid w:val="00546AA4"/>
    <w:rsid w:val="00546AB1"/>
    <w:rsid w:val="00546B04"/>
    <w:rsid w:val="00546B16"/>
    <w:rsid w:val="00546C2A"/>
    <w:rsid w:val="00546C4D"/>
    <w:rsid w:val="00546C6E"/>
    <w:rsid w:val="00546D33"/>
    <w:rsid w:val="00546E82"/>
    <w:rsid w:val="00546F5B"/>
    <w:rsid w:val="0054701A"/>
    <w:rsid w:val="00547089"/>
    <w:rsid w:val="005470D2"/>
    <w:rsid w:val="0054713B"/>
    <w:rsid w:val="0054713C"/>
    <w:rsid w:val="005471C5"/>
    <w:rsid w:val="005472C2"/>
    <w:rsid w:val="005473D3"/>
    <w:rsid w:val="005474AC"/>
    <w:rsid w:val="00547612"/>
    <w:rsid w:val="00547659"/>
    <w:rsid w:val="00547773"/>
    <w:rsid w:val="005477CE"/>
    <w:rsid w:val="00547849"/>
    <w:rsid w:val="005478E0"/>
    <w:rsid w:val="00547963"/>
    <w:rsid w:val="005479F9"/>
    <w:rsid w:val="00547BC9"/>
    <w:rsid w:val="00547C34"/>
    <w:rsid w:val="00547C66"/>
    <w:rsid w:val="00547CE8"/>
    <w:rsid w:val="00547D07"/>
    <w:rsid w:val="00547D3E"/>
    <w:rsid w:val="00547D3F"/>
    <w:rsid w:val="00547EB4"/>
    <w:rsid w:val="00547EF3"/>
    <w:rsid w:val="0055000D"/>
    <w:rsid w:val="00550222"/>
    <w:rsid w:val="00550273"/>
    <w:rsid w:val="0055039C"/>
    <w:rsid w:val="00550412"/>
    <w:rsid w:val="00550413"/>
    <w:rsid w:val="00550435"/>
    <w:rsid w:val="005505D7"/>
    <w:rsid w:val="00550602"/>
    <w:rsid w:val="00550765"/>
    <w:rsid w:val="00550885"/>
    <w:rsid w:val="005509A9"/>
    <w:rsid w:val="00550A65"/>
    <w:rsid w:val="00550ACB"/>
    <w:rsid w:val="00550AE6"/>
    <w:rsid w:val="00550B17"/>
    <w:rsid w:val="00550D17"/>
    <w:rsid w:val="00550E66"/>
    <w:rsid w:val="00550FCE"/>
    <w:rsid w:val="005511A8"/>
    <w:rsid w:val="00551263"/>
    <w:rsid w:val="0055129B"/>
    <w:rsid w:val="0055138C"/>
    <w:rsid w:val="00551469"/>
    <w:rsid w:val="005514CA"/>
    <w:rsid w:val="005515AB"/>
    <w:rsid w:val="00551636"/>
    <w:rsid w:val="005518A3"/>
    <w:rsid w:val="00551947"/>
    <w:rsid w:val="00551AAD"/>
    <w:rsid w:val="00551AB4"/>
    <w:rsid w:val="00551B95"/>
    <w:rsid w:val="00551BEE"/>
    <w:rsid w:val="00551CF5"/>
    <w:rsid w:val="00551D2E"/>
    <w:rsid w:val="00551E3B"/>
    <w:rsid w:val="00551E8F"/>
    <w:rsid w:val="00551E93"/>
    <w:rsid w:val="00551EC4"/>
    <w:rsid w:val="005520C6"/>
    <w:rsid w:val="00552200"/>
    <w:rsid w:val="005522A3"/>
    <w:rsid w:val="00552302"/>
    <w:rsid w:val="00552390"/>
    <w:rsid w:val="005525A6"/>
    <w:rsid w:val="0055260E"/>
    <w:rsid w:val="00552677"/>
    <w:rsid w:val="00552735"/>
    <w:rsid w:val="00552763"/>
    <w:rsid w:val="00552828"/>
    <w:rsid w:val="00552868"/>
    <w:rsid w:val="00552877"/>
    <w:rsid w:val="00552899"/>
    <w:rsid w:val="00552A67"/>
    <w:rsid w:val="00552B25"/>
    <w:rsid w:val="00552C1D"/>
    <w:rsid w:val="00552C36"/>
    <w:rsid w:val="00552CC4"/>
    <w:rsid w:val="00552CD0"/>
    <w:rsid w:val="00552D2C"/>
    <w:rsid w:val="00552D37"/>
    <w:rsid w:val="00552DA2"/>
    <w:rsid w:val="00552DD6"/>
    <w:rsid w:val="00552DF8"/>
    <w:rsid w:val="00552E59"/>
    <w:rsid w:val="00552ECF"/>
    <w:rsid w:val="00552F18"/>
    <w:rsid w:val="00552F82"/>
    <w:rsid w:val="005531B6"/>
    <w:rsid w:val="005531DE"/>
    <w:rsid w:val="00553222"/>
    <w:rsid w:val="00553226"/>
    <w:rsid w:val="0055325E"/>
    <w:rsid w:val="00553359"/>
    <w:rsid w:val="00553446"/>
    <w:rsid w:val="00553478"/>
    <w:rsid w:val="0055347E"/>
    <w:rsid w:val="005534DE"/>
    <w:rsid w:val="005534E8"/>
    <w:rsid w:val="00553618"/>
    <w:rsid w:val="0055366D"/>
    <w:rsid w:val="0055373D"/>
    <w:rsid w:val="0055389A"/>
    <w:rsid w:val="0055389E"/>
    <w:rsid w:val="005538BE"/>
    <w:rsid w:val="005538C1"/>
    <w:rsid w:val="005538F0"/>
    <w:rsid w:val="00553900"/>
    <w:rsid w:val="0055396E"/>
    <w:rsid w:val="0055398D"/>
    <w:rsid w:val="00553AAD"/>
    <w:rsid w:val="00553B1B"/>
    <w:rsid w:val="00553B28"/>
    <w:rsid w:val="00553C58"/>
    <w:rsid w:val="00553DA6"/>
    <w:rsid w:val="00553DF3"/>
    <w:rsid w:val="00553EAF"/>
    <w:rsid w:val="00553EB6"/>
    <w:rsid w:val="00553F5F"/>
    <w:rsid w:val="00554090"/>
    <w:rsid w:val="005540AE"/>
    <w:rsid w:val="00554268"/>
    <w:rsid w:val="005543A3"/>
    <w:rsid w:val="0055440A"/>
    <w:rsid w:val="00554410"/>
    <w:rsid w:val="00554471"/>
    <w:rsid w:val="0055450B"/>
    <w:rsid w:val="005545B8"/>
    <w:rsid w:val="005545DE"/>
    <w:rsid w:val="00554939"/>
    <w:rsid w:val="00554BA3"/>
    <w:rsid w:val="00554C10"/>
    <w:rsid w:val="00554CD2"/>
    <w:rsid w:val="00554CE1"/>
    <w:rsid w:val="00554D37"/>
    <w:rsid w:val="00554D88"/>
    <w:rsid w:val="00554DAC"/>
    <w:rsid w:val="00554E32"/>
    <w:rsid w:val="00554F19"/>
    <w:rsid w:val="00555036"/>
    <w:rsid w:val="00555084"/>
    <w:rsid w:val="005550F8"/>
    <w:rsid w:val="00555293"/>
    <w:rsid w:val="00555294"/>
    <w:rsid w:val="00555357"/>
    <w:rsid w:val="0055555C"/>
    <w:rsid w:val="005556F3"/>
    <w:rsid w:val="005559B4"/>
    <w:rsid w:val="005559F0"/>
    <w:rsid w:val="00555AA4"/>
    <w:rsid w:val="00555AC2"/>
    <w:rsid w:val="00555AD1"/>
    <w:rsid w:val="00555BCC"/>
    <w:rsid w:val="00555BF8"/>
    <w:rsid w:val="00555FB1"/>
    <w:rsid w:val="00555FF7"/>
    <w:rsid w:val="005560AB"/>
    <w:rsid w:val="0055611F"/>
    <w:rsid w:val="00556126"/>
    <w:rsid w:val="00556377"/>
    <w:rsid w:val="00556735"/>
    <w:rsid w:val="0055687C"/>
    <w:rsid w:val="00556A3E"/>
    <w:rsid w:val="00556B35"/>
    <w:rsid w:val="00556CFD"/>
    <w:rsid w:val="00556DDB"/>
    <w:rsid w:val="00556E8E"/>
    <w:rsid w:val="00556E92"/>
    <w:rsid w:val="00556EEF"/>
    <w:rsid w:val="00556F73"/>
    <w:rsid w:val="0055706F"/>
    <w:rsid w:val="00557157"/>
    <w:rsid w:val="0055715D"/>
    <w:rsid w:val="005572CE"/>
    <w:rsid w:val="00557393"/>
    <w:rsid w:val="005573C4"/>
    <w:rsid w:val="005575FE"/>
    <w:rsid w:val="00557688"/>
    <w:rsid w:val="0055768F"/>
    <w:rsid w:val="0055779B"/>
    <w:rsid w:val="00557839"/>
    <w:rsid w:val="0055795B"/>
    <w:rsid w:val="00557ACE"/>
    <w:rsid w:val="00557B6D"/>
    <w:rsid w:val="00557C06"/>
    <w:rsid w:val="00557C36"/>
    <w:rsid w:val="00557CA9"/>
    <w:rsid w:val="00557EAB"/>
    <w:rsid w:val="00557EE5"/>
    <w:rsid w:val="00557FAE"/>
    <w:rsid w:val="00557FC5"/>
    <w:rsid w:val="0056001A"/>
    <w:rsid w:val="00560136"/>
    <w:rsid w:val="005601D1"/>
    <w:rsid w:val="0056022E"/>
    <w:rsid w:val="00560286"/>
    <w:rsid w:val="005602B7"/>
    <w:rsid w:val="00560398"/>
    <w:rsid w:val="005603D4"/>
    <w:rsid w:val="005604BC"/>
    <w:rsid w:val="005604C8"/>
    <w:rsid w:val="00560564"/>
    <w:rsid w:val="00560750"/>
    <w:rsid w:val="0056078A"/>
    <w:rsid w:val="00560969"/>
    <w:rsid w:val="00560A09"/>
    <w:rsid w:val="00560AEF"/>
    <w:rsid w:val="00560AF0"/>
    <w:rsid w:val="00560B57"/>
    <w:rsid w:val="00560CC3"/>
    <w:rsid w:val="00560D17"/>
    <w:rsid w:val="00560DA3"/>
    <w:rsid w:val="00560E71"/>
    <w:rsid w:val="00560FC6"/>
    <w:rsid w:val="00561012"/>
    <w:rsid w:val="0056103E"/>
    <w:rsid w:val="005610B3"/>
    <w:rsid w:val="00561105"/>
    <w:rsid w:val="00561121"/>
    <w:rsid w:val="005611AA"/>
    <w:rsid w:val="00561282"/>
    <w:rsid w:val="00561292"/>
    <w:rsid w:val="005612B7"/>
    <w:rsid w:val="005613FE"/>
    <w:rsid w:val="00561448"/>
    <w:rsid w:val="005614A5"/>
    <w:rsid w:val="005614F9"/>
    <w:rsid w:val="005615CA"/>
    <w:rsid w:val="00561664"/>
    <w:rsid w:val="005616C5"/>
    <w:rsid w:val="005616F0"/>
    <w:rsid w:val="00561782"/>
    <w:rsid w:val="00561841"/>
    <w:rsid w:val="005619A1"/>
    <w:rsid w:val="00561D1E"/>
    <w:rsid w:val="00561D58"/>
    <w:rsid w:val="00561E8A"/>
    <w:rsid w:val="00561EA2"/>
    <w:rsid w:val="00561F10"/>
    <w:rsid w:val="00561F42"/>
    <w:rsid w:val="00562030"/>
    <w:rsid w:val="005620CF"/>
    <w:rsid w:val="0056222E"/>
    <w:rsid w:val="00562239"/>
    <w:rsid w:val="005622AC"/>
    <w:rsid w:val="00562352"/>
    <w:rsid w:val="0056235E"/>
    <w:rsid w:val="00562382"/>
    <w:rsid w:val="005624EC"/>
    <w:rsid w:val="005626FA"/>
    <w:rsid w:val="00562701"/>
    <w:rsid w:val="00562782"/>
    <w:rsid w:val="00562A43"/>
    <w:rsid w:val="00562A54"/>
    <w:rsid w:val="00562B18"/>
    <w:rsid w:val="00562B52"/>
    <w:rsid w:val="00562C46"/>
    <w:rsid w:val="00562CE7"/>
    <w:rsid w:val="00562EB7"/>
    <w:rsid w:val="00562F41"/>
    <w:rsid w:val="00562F84"/>
    <w:rsid w:val="00562FC1"/>
    <w:rsid w:val="0056316B"/>
    <w:rsid w:val="005632FC"/>
    <w:rsid w:val="005633B6"/>
    <w:rsid w:val="00563412"/>
    <w:rsid w:val="00563446"/>
    <w:rsid w:val="0056368C"/>
    <w:rsid w:val="00563840"/>
    <w:rsid w:val="005638D4"/>
    <w:rsid w:val="00563982"/>
    <w:rsid w:val="005639B3"/>
    <w:rsid w:val="005639D3"/>
    <w:rsid w:val="00563B5A"/>
    <w:rsid w:val="00563E10"/>
    <w:rsid w:val="00563E6B"/>
    <w:rsid w:val="00563EA8"/>
    <w:rsid w:val="00563EB3"/>
    <w:rsid w:val="00563EDD"/>
    <w:rsid w:val="00564085"/>
    <w:rsid w:val="005640DE"/>
    <w:rsid w:val="00564175"/>
    <w:rsid w:val="005641E5"/>
    <w:rsid w:val="00564217"/>
    <w:rsid w:val="0056443B"/>
    <w:rsid w:val="0056444B"/>
    <w:rsid w:val="0056448B"/>
    <w:rsid w:val="00564527"/>
    <w:rsid w:val="00564566"/>
    <w:rsid w:val="005646B6"/>
    <w:rsid w:val="005646CA"/>
    <w:rsid w:val="005647EC"/>
    <w:rsid w:val="005648AD"/>
    <w:rsid w:val="00564912"/>
    <w:rsid w:val="00564935"/>
    <w:rsid w:val="00564A83"/>
    <w:rsid w:val="00564AD4"/>
    <w:rsid w:val="00564AFE"/>
    <w:rsid w:val="00564B57"/>
    <w:rsid w:val="00564C12"/>
    <w:rsid w:val="00564C7D"/>
    <w:rsid w:val="00564D01"/>
    <w:rsid w:val="00564E18"/>
    <w:rsid w:val="00564F39"/>
    <w:rsid w:val="00564FC5"/>
    <w:rsid w:val="00565136"/>
    <w:rsid w:val="00565250"/>
    <w:rsid w:val="005652D5"/>
    <w:rsid w:val="00565367"/>
    <w:rsid w:val="005653B3"/>
    <w:rsid w:val="005653F9"/>
    <w:rsid w:val="005653FB"/>
    <w:rsid w:val="00565409"/>
    <w:rsid w:val="0056552C"/>
    <w:rsid w:val="00565595"/>
    <w:rsid w:val="00565677"/>
    <w:rsid w:val="005656B8"/>
    <w:rsid w:val="00565874"/>
    <w:rsid w:val="00565918"/>
    <w:rsid w:val="00565952"/>
    <w:rsid w:val="00565A8F"/>
    <w:rsid w:val="00565B0F"/>
    <w:rsid w:val="00565B20"/>
    <w:rsid w:val="00565C0D"/>
    <w:rsid w:val="00565C5E"/>
    <w:rsid w:val="00565C6E"/>
    <w:rsid w:val="00565F85"/>
    <w:rsid w:val="0056610A"/>
    <w:rsid w:val="0056614A"/>
    <w:rsid w:val="005661D5"/>
    <w:rsid w:val="00566210"/>
    <w:rsid w:val="00566214"/>
    <w:rsid w:val="00566224"/>
    <w:rsid w:val="005662AA"/>
    <w:rsid w:val="005662B6"/>
    <w:rsid w:val="00566469"/>
    <w:rsid w:val="0056659D"/>
    <w:rsid w:val="005665A0"/>
    <w:rsid w:val="005665A9"/>
    <w:rsid w:val="00566639"/>
    <w:rsid w:val="005666C4"/>
    <w:rsid w:val="005667AA"/>
    <w:rsid w:val="00566804"/>
    <w:rsid w:val="00566827"/>
    <w:rsid w:val="005668C7"/>
    <w:rsid w:val="00566970"/>
    <w:rsid w:val="00566A2A"/>
    <w:rsid w:val="00566B03"/>
    <w:rsid w:val="00566B5F"/>
    <w:rsid w:val="00566BA9"/>
    <w:rsid w:val="00566BF4"/>
    <w:rsid w:val="00566C33"/>
    <w:rsid w:val="00566F97"/>
    <w:rsid w:val="0056705B"/>
    <w:rsid w:val="00567070"/>
    <w:rsid w:val="005672C2"/>
    <w:rsid w:val="00567370"/>
    <w:rsid w:val="005673ED"/>
    <w:rsid w:val="00567467"/>
    <w:rsid w:val="00567545"/>
    <w:rsid w:val="00567591"/>
    <w:rsid w:val="005675A3"/>
    <w:rsid w:val="005675E0"/>
    <w:rsid w:val="00567677"/>
    <w:rsid w:val="005676D4"/>
    <w:rsid w:val="0056770B"/>
    <w:rsid w:val="005677E4"/>
    <w:rsid w:val="00567938"/>
    <w:rsid w:val="00567A1E"/>
    <w:rsid w:val="00567AC6"/>
    <w:rsid w:val="00567C49"/>
    <w:rsid w:val="00567D23"/>
    <w:rsid w:val="00567D87"/>
    <w:rsid w:val="00567F09"/>
    <w:rsid w:val="00567F22"/>
    <w:rsid w:val="00567F90"/>
    <w:rsid w:val="00570026"/>
    <w:rsid w:val="00570106"/>
    <w:rsid w:val="005701E1"/>
    <w:rsid w:val="00570295"/>
    <w:rsid w:val="0057035D"/>
    <w:rsid w:val="005703FB"/>
    <w:rsid w:val="00570474"/>
    <w:rsid w:val="0057047B"/>
    <w:rsid w:val="005704BD"/>
    <w:rsid w:val="005704DE"/>
    <w:rsid w:val="005704FD"/>
    <w:rsid w:val="00570904"/>
    <w:rsid w:val="00570912"/>
    <w:rsid w:val="00570998"/>
    <w:rsid w:val="005709E3"/>
    <w:rsid w:val="00570A1B"/>
    <w:rsid w:val="00570B6D"/>
    <w:rsid w:val="00570BCC"/>
    <w:rsid w:val="00570C48"/>
    <w:rsid w:val="00570D2F"/>
    <w:rsid w:val="00570DD0"/>
    <w:rsid w:val="00570DED"/>
    <w:rsid w:val="00570E23"/>
    <w:rsid w:val="00570E46"/>
    <w:rsid w:val="00570F44"/>
    <w:rsid w:val="00570F48"/>
    <w:rsid w:val="005711D4"/>
    <w:rsid w:val="0057122D"/>
    <w:rsid w:val="005712D5"/>
    <w:rsid w:val="005714F4"/>
    <w:rsid w:val="005715F8"/>
    <w:rsid w:val="00571646"/>
    <w:rsid w:val="00571ACF"/>
    <w:rsid w:val="00571B32"/>
    <w:rsid w:val="00571BC3"/>
    <w:rsid w:val="00571D48"/>
    <w:rsid w:val="00571ECC"/>
    <w:rsid w:val="00571EE5"/>
    <w:rsid w:val="00571EE7"/>
    <w:rsid w:val="00571F60"/>
    <w:rsid w:val="00571F6B"/>
    <w:rsid w:val="0057204D"/>
    <w:rsid w:val="005720B6"/>
    <w:rsid w:val="00572277"/>
    <w:rsid w:val="005722DC"/>
    <w:rsid w:val="005722ED"/>
    <w:rsid w:val="005723C7"/>
    <w:rsid w:val="00572479"/>
    <w:rsid w:val="00572677"/>
    <w:rsid w:val="0057271B"/>
    <w:rsid w:val="0057277C"/>
    <w:rsid w:val="0057288F"/>
    <w:rsid w:val="00572905"/>
    <w:rsid w:val="00572909"/>
    <w:rsid w:val="00572992"/>
    <w:rsid w:val="00572B4E"/>
    <w:rsid w:val="00572BD1"/>
    <w:rsid w:val="00572CC5"/>
    <w:rsid w:val="00572D3A"/>
    <w:rsid w:val="00572D67"/>
    <w:rsid w:val="00572D99"/>
    <w:rsid w:val="00572F88"/>
    <w:rsid w:val="00572FE8"/>
    <w:rsid w:val="00573312"/>
    <w:rsid w:val="00573533"/>
    <w:rsid w:val="0057364A"/>
    <w:rsid w:val="0057372E"/>
    <w:rsid w:val="00573777"/>
    <w:rsid w:val="0057379F"/>
    <w:rsid w:val="00573A08"/>
    <w:rsid w:val="00573B02"/>
    <w:rsid w:val="00573B0E"/>
    <w:rsid w:val="00573D0A"/>
    <w:rsid w:val="00573D96"/>
    <w:rsid w:val="00573EA9"/>
    <w:rsid w:val="00573F26"/>
    <w:rsid w:val="00573F71"/>
    <w:rsid w:val="00573F82"/>
    <w:rsid w:val="0057403F"/>
    <w:rsid w:val="00574082"/>
    <w:rsid w:val="00574159"/>
    <w:rsid w:val="005743B3"/>
    <w:rsid w:val="005743D9"/>
    <w:rsid w:val="00574457"/>
    <w:rsid w:val="0057445D"/>
    <w:rsid w:val="005744E1"/>
    <w:rsid w:val="00574675"/>
    <w:rsid w:val="005746F2"/>
    <w:rsid w:val="005747A9"/>
    <w:rsid w:val="00574893"/>
    <w:rsid w:val="00574896"/>
    <w:rsid w:val="00574965"/>
    <w:rsid w:val="005749AD"/>
    <w:rsid w:val="005749ED"/>
    <w:rsid w:val="00574A69"/>
    <w:rsid w:val="00574AB7"/>
    <w:rsid w:val="00574B25"/>
    <w:rsid w:val="00574BFC"/>
    <w:rsid w:val="00575034"/>
    <w:rsid w:val="0057507B"/>
    <w:rsid w:val="0057519F"/>
    <w:rsid w:val="0057536B"/>
    <w:rsid w:val="005753E5"/>
    <w:rsid w:val="0057550C"/>
    <w:rsid w:val="00575536"/>
    <w:rsid w:val="00575590"/>
    <w:rsid w:val="005756D6"/>
    <w:rsid w:val="005757A9"/>
    <w:rsid w:val="005757BA"/>
    <w:rsid w:val="00575876"/>
    <w:rsid w:val="0057597B"/>
    <w:rsid w:val="00575A34"/>
    <w:rsid w:val="00575BE0"/>
    <w:rsid w:val="00575D49"/>
    <w:rsid w:val="00575D87"/>
    <w:rsid w:val="00575DCC"/>
    <w:rsid w:val="00575E01"/>
    <w:rsid w:val="00575F9E"/>
    <w:rsid w:val="005760D1"/>
    <w:rsid w:val="0057630D"/>
    <w:rsid w:val="0057647B"/>
    <w:rsid w:val="005766D3"/>
    <w:rsid w:val="00576724"/>
    <w:rsid w:val="00576740"/>
    <w:rsid w:val="005768BF"/>
    <w:rsid w:val="005768E7"/>
    <w:rsid w:val="00576A17"/>
    <w:rsid w:val="00576A48"/>
    <w:rsid w:val="00576A50"/>
    <w:rsid w:val="00576A63"/>
    <w:rsid w:val="00576CD2"/>
    <w:rsid w:val="00576DB3"/>
    <w:rsid w:val="00576FA8"/>
    <w:rsid w:val="00576FF9"/>
    <w:rsid w:val="00577115"/>
    <w:rsid w:val="0057713C"/>
    <w:rsid w:val="00577248"/>
    <w:rsid w:val="0057725F"/>
    <w:rsid w:val="005772D0"/>
    <w:rsid w:val="005773BD"/>
    <w:rsid w:val="00577565"/>
    <w:rsid w:val="00577602"/>
    <w:rsid w:val="005776B1"/>
    <w:rsid w:val="005776C0"/>
    <w:rsid w:val="00577761"/>
    <w:rsid w:val="005777F9"/>
    <w:rsid w:val="0057785F"/>
    <w:rsid w:val="0057790E"/>
    <w:rsid w:val="005779A4"/>
    <w:rsid w:val="00577A44"/>
    <w:rsid w:val="00577B84"/>
    <w:rsid w:val="00577C20"/>
    <w:rsid w:val="00577CC7"/>
    <w:rsid w:val="00577DEA"/>
    <w:rsid w:val="00577E95"/>
    <w:rsid w:val="00577F41"/>
    <w:rsid w:val="00577FBA"/>
    <w:rsid w:val="0058008D"/>
    <w:rsid w:val="00580183"/>
    <w:rsid w:val="0058023D"/>
    <w:rsid w:val="00580267"/>
    <w:rsid w:val="0058035C"/>
    <w:rsid w:val="005803C4"/>
    <w:rsid w:val="005806BA"/>
    <w:rsid w:val="005806C0"/>
    <w:rsid w:val="00580717"/>
    <w:rsid w:val="00580859"/>
    <w:rsid w:val="0058086A"/>
    <w:rsid w:val="00580883"/>
    <w:rsid w:val="00580AA6"/>
    <w:rsid w:val="00580AB6"/>
    <w:rsid w:val="00580BE3"/>
    <w:rsid w:val="00580C27"/>
    <w:rsid w:val="00580CA5"/>
    <w:rsid w:val="0058121B"/>
    <w:rsid w:val="00581244"/>
    <w:rsid w:val="00581291"/>
    <w:rsid w:val="00581374"/>
    <w:rsid w:val="00581439"/>
    <w:rsid w:val="00581494"/>
    <w:rsid w:val="005814A7"/>
    <w:rsid w:val="0058155B"/>
    <w:rsid w:val="0058167E"/>
    <w:rsid w:val="0058171C"/>
    <w:rsid w:val="00581764"/>
    <w:rsid w:val="00581925"/>
    <w:rsid w:val="00581A7D"/>
    <w:rsid w:val="00581B33"/>
    <w:rsid w:val="00581C39"/>
    <w:rsid w:val="00581CD7"/>
    <w:rsid w:val="00581D01"/>
    <w:rsid w:val="00581E26"/>
    <w:rsid w:val="00581EC7"/>
    <w:rsid w:val="00581FF5"/>
    <w:rsid w:val="0058214F"/>
    <w:rsid w:val="005821C0"/>
    <w:rsid w:val="005821F9"/>
    <w:rsid w:val="0058227F"/>
    <w:rsid w:val="00582357"/>
    <w:rsid w:val="00582368"/>
    <w:rsid w:val="00582379"/>
    <w:rsid w:val="0058240B"/>
    <w:rsid w:val="00582457"/>
    <w:rsid w:val="0058250A"/>
    <w:rsid w:val="0058268C"/>
    <w:rsid w:val="00582B0B"/>
    <w:rsid w:val="00582C1F"/>
    <w:rsid w:val="00582D06"/>
    <w:rsid w:val="00582D9B"/>
    <w:rsid w:val="00582FBD"/>
    <w:rsid w:val="00583026"/>
    <w:rsid w:val="0058310F"/>
    <w:rsid w:val="0058313C"/>
    <w:rsid w:val="0058321A"/>
    <w:rsid w:val="005832A5"/>
    <w:rsid w:val="005832FF"/>
    <w:rsid w:val="00583353"/>
    <w:rsid w:val="005833F4"/>
    <w:rsid w:val="005834C4"/>
    <w:rsid w:val="00583765"/>
    <w:rsid w:val="00583846"/>
    <w:rsid w:val="0058393B"/>
    <w:rsid w:val="00583A27"/>
    <w:rsid w:val="00583B90"/>
    <w:rsid w:val="00583BF8"/>
    <w:rsid w:val="00583CD6"/>
    <w:rsid w:val="00583D5E"/>
    <w:rsid w:val="00583F55"/>
    <w:rsid w:val="00583F92"/>
    <w:rsid w:val="0058400C"/>
    <w:rsid w:val="005840E5"/>
    <w:rsid w:val="00584127"/>
    <w:rsid w:val="005841A2"/>
    <w:rsid w:val="005841FA"/>
    <w:rsid w:val="005841FC"/>
    <w:rsid w:val="005842BD"/>
    <w:rsid w:val="0058465F"/>
    <w:rsid w:val="0058479A"/>
    <w:rsid w:val="005848AE"/>
    <w:rsid w:val="00584B5B"/>
    <w:rsid w:val="00584B6E"/>
    <w:rsid w:val="00584C38"/>
    <w:rsid w:val="00584C58"/>
    <w:rsid w:val="00584C84"/>
    <w:rsid w:val="00584F06"/>
    <w:rsid w:val="00584F28"/>
    <w:rsid w:val="00584F91"/>
    <w:rsid w:val="00585077"/>
    <w:rsid w:val="005852B6"/>
    <w:rsid w:val="005852C9"/>
    <w:rsid w:val="00585324"/>
    <w:rsid w:val="00585370"/>
    <w:rsid w:val="005853B3"/>
    <w:rsid w:val="00585425"/>
    <w:rsid w:val="0058543B"/>
    <w:rsid w:val="00585507"/>
    <w:rsid w:val="0058577B"/>
    <w:rsid w:val="00585813"/>
    <w:rsid w:val="00585852"/>
    <w:rsid w:val="00585895"/>
    <w:rsid w:val="005859A7"/>
    <w:rsid w:val="005859E1"/>
    <w:rsid w:val="00585A2E"/>
    <w:rsid w:val="00585A90"/>
    <w:rsid w:val="00585AF5"/>
    <w:rsid w:val="00585B87"/>
    <w:rsid w:val="00585B99"/>
    <w:rsid w:val="00585C0B"/>
    <w:rsid w:val="00585C3A"/>
    <w:rsid w:val="00585C9D"/>
    <w:rsid w:val="00585D85"/>
    <w:rsid w:val="00585DA5"/>
    <w:rsid w:val="00585E77"/>
    <w:rsid w:val="005860BC"/>
    <w:rsid w:val="005860EE"/>
    <w:rsid w:val="005861BA"/>
    <w:rsid w:val="005861EC"/>
    <w:rsid w:val="0058623C"/>
    <w:rsid w:val="00586248"/>
    <w:rsid w:val="0058626F"/>
    <w:rsid w:val="005862EB"/>
    <w:rsid w:val="0058644E"/>
    <w:rsid w:val="00586544"/>
    <w:rsid w:val="005866BE"/>
    <w:rsid w:val="00586709"/>
    <w:rsid w:val="00586818"/>
    <w:rsid w:val="0058682C"/>
    <w:rsid w:val="00586958"/>
    <w:rsid w:val="00586A15"/>
    <w:rsid w:val="00586B3A"/>
    <w:rsid w:val="00586B9D"/>
    <w:rsid w:val="00586BC6"/>
    <w:rsid w:val="00586E40"/>
    <w:rsid w:val="00586EEC"/>
    <w:rsid w:val="00586F2F"/>
    <w:rsid w:val="00586FC4"/>
    <w:rsid w:val="005870AA"/>
    <w:rsid w:val="005870B5"/>
    <w:rsid w:val="005870D4"/>
    <w:rsid w:val="00587137"/>
    <w:rsid w:val="00587287"/>
    <w:rsid w:val="005872DB"/>
    <w:rsid w:val="0058730C"/>
    <w:rsid w:val="00587372"/>
    <w:rsid w:val="005873C8"/>
    <w:rsid w:val="00587453"/>
    <w:rsid w:val="00587462"/>
    <w:rsid w:val="0058748B"/>
    <w:rsid w:val="00587688"/>
    <w:rsid w:val="005876F2"/>
    <w:rsid w:val="00587711"/>
    <w:rsid w:val="0058788C"/>
    <w:rsid w:val="00587930"/>
    <w:rsid w:val="0058794F"/>
    <w:rsid w:val="00587A19"/>
    <w:rsid w:val="00587ABA"/>
    <w:rsid w:val="00587B1E"/>
    <w:rsid w:val="00587BDF"/>
    <w:rsid w:val="00587F2F"/>
    <w:rsid w:val="00587FDA"/>
    <w:rsid w:val="00587FDB"/>
    <w:rsid w:val="00587FF2"/>
    <w:rsid w:val="00590079"/>
    <w:rsid w:val="005900AA"/>
    <w:rsid w:val="005900DA"/>
    <w:rsid w:val="00590158"/>
    <w:rsid w:val="005902B0"/>
    <w:rsid w:val="0059043D"/>
    <w:rsid w:val="005904BE"/>
    <w:rsid w:val="0059057B"/>
    <w:rsid w:val="005905FC"/>
    <w:rsid w:val="0059065F"/>
    <w:rsid w:val="0059090C"/>
    <w:rsid w:val="00590929"/>
    <w:rsid w:val="00590983"/>
    <w:rsid w:val="00590A70"/>
    <w:rsid w:val="00590B03"/>
    <w:rsid w:val="00590C58"/>
    <w:rsid w:val="00590CD8"/>
    <w:rsid w:val="00590D84"/>
    <w:rsid w:val="00590DB4"/>
    <w:rsid w:val="00590F38"/>
    <w:rsid w:val="00590FC5"/>
    <w:rsid w:val="00591119"/>
    <w:rsid w:val="005911F1"/>
    <w:rsid w:val="00591219"/>
    <w:rsid w:val="0059142D"/>
    <w:rsid w:val="00591430"/>
    <w:rsid w:val="005914D1"/>
    <w:rsid w:val="0059185F"/>
    <w:rsid w:val="0059196E"/>
    <w:rsid w:val="00591A1F"/>
    <w:rsid w:val="00591BFE"/>
    <w:rsid w:val="00591C15"/>
    <w:rsid w:val="00591DED"/>
    <w:rsid w:val="00591DFB"/>
    <w:rsid w:val="00591E10"/>
    <w:rsid w:val="00591E27"/>
    <w:rsid w:val="00591E8E"/>
    <w:rsid w:val="00591EE2"/>
    <w:rsid w:val="00591F1D"/>
    <w:rsid w:val="00591F6E"/>
    <w:rsid w:val="00591FE8"/>
    <w:rsid w:val="005921AA"/>
    <w:rsid w:val="005921AD"/>
    <w:rsid w:val="005922DA"/>
    <w:rsid w:val="005922F5"/>
    <w:rsid w:val="0059238E"/>
    <w:rsid w:val="00592417"/>
    <w:rsid w:val="0059245E"/>
    <w:rsid w:val="0059268B"/>
    <w:rsid w:val="005926B1"/>
    <w:rsid w:val="00592794"/>
    <w:rsid w:val="00592866"/>
    <w:rsid w:val="005928CE"/>
    <w:rsid w:val="00592AAA"/>
    <w:rsid w:val="00592BD8"/>
    <w:rsid w:val="00592C74"/>
    <w:rsid w:val="00592ED3"/>
    <w:rsid w:val="00593012"/>
    <w:rsid w:val="0059301E"/>
    <w:rsid w:val="0059301F"/>
    <w:rsid w:val="0059307D"/>
    <w:rsid w:val="005932A9"/>
    <w:rsid w:val="00593377"/>
    <w:rsid w:val="005933B6"/>
    <w:rsid w:val="005935B0"/>
    <w:rsid w:val="005935CB"/>
    <w:rsid w:val="0059374A"/>
    <w:rsid w:val="00593891"/>
    <w:rsid w:val="005938C6"/>
    <w:rsid w:val="005938C8"/>
    <w:rsid w:val="005938E4"/>
    <w:rsid w:val="005938E7"/>
    <w:rsid w:val="00593931"/>
    <w:rsid w:val="00593935"/>
    <w:rsid w:val="00593BEA"/>
    <w:rsid w:val="00593C20"/>
    <w:rsid w:val="00593D3C"/>
    <w:rsid w:val="00593D53"/>
    <w:rsid w:val="00593DEE"/>
    <w:rsid w:val="00593F5D"/>
    <w:rsid w:val="00593FC7"/>
    <w:rsid w:val="0059409A"/>
    <w:rsid w:val="00594206"/>
    <w:rsid w:val="005942F3"/>
    <w:rsid w:val="005945FE"/>
    <w:rsid w:val="00594664"/>
    <w:rsid w:val="00594A02"/>
    <w:rsid w:val="00594BEF"/>
    <w:rsid w:val="00594C98"/>
    <w:rsid w:val="00594D0F"/>
    <w:rsid w:val="00594E22"/>
    <w:rsid w:val="00594E43"/>
    <w:rsid w:val="00594E59"/>
    <w:rsid w:val="00594FF5"/>
    <w:rsid w:val="005950C2"/>
    <w:rsid w:val="005952C8"/>
    <w:rsid w:val="00595530"/>
    <w:rsid w:val="005955E0"/>
    <w:rsid w:val="00595651"/>
    <w:rsid w:val="0059578B"/>
    <w:rsid w:val="005957E5"/>
    <w:rsid w:val="00595838"/>
    <w:rsid w:val="005959D9"/>
    <w:rsid w:val="00595A6A"/>
    <w:rsid w:val="00595D28"/>
    <w:rsid w:val="00595D9D"/>
    <w:rsid w:val="00595E62"/>
    <w:rsid w:val="0059625D"/>
    <w:rsid w:val="00596305"/>
    <w:rsid w:val="00596316"/>
    <w:rsid w:val="0059631D"/>
    <w:rsid w:val="005963CE"/>
    <w:rsid w:val="00596510"/>
    <w:rsid w:val="0059660D"/>
    <w:rsid w:val="005966EE"/>
    <w:rsid w:val="005967BD"/>
    <w:rsid w:val="0059680F"/>
    <w:rsid w:val="0059690B"/>
    <w:rsid w:val="00596A33"/>
    <w:rsid w:val="00596A9A"/>
    <w:rsid w:val="00596BA1"/>
    <w:rsid w:val="00596BAE"/>
    <w:rsid w:val="00596C18"/>
    <w:rsid w:val="00596CEF"/>
    <w:rsid w:val="00596D09"/>
    <w:rsid w:val="00596E5A"/>
    <w:rsid w:val="00596ECC"/>
    <w:rsid w:val="00596F37"/>
    <w:rsid w:val="00596F3F"/>
    <w:rsid w:val="00596FE6"/>
    <w:rsid w:val="005970B2"/>
    <w:rsid w:val="00597184"/>
    <w:rsid w:val="00597311"/>
    <w:rsid w:val="00597346"/>
    <w:rsid w:val="005973F4"/>
    <w:rsid w:val="005974EA"/>
    <w:rsid w:val="0059759B"/>
    <w:rsid w:val="00597696"/>
    <w:rsid w:val="0059779D"/>
    <w:rsid w:val="005977AD"/>
    <w:rsid w:val="0059794D"/>
    <w:rsid w:val="00597A09"/>
    <w:rsid w:val="00597B04"/>
    <w:rsid w:val="00597B21"/>
    <w:rsid w:val="00597B81"/>
    <w:rsid w:val="00597C0E"/>
    <w:rsid w:val="00597D65"/>
    <w:rsid w:val="00597DCF"/>
    <w:rsid w:val="00597E00"/>
    <w:rsid w:val="00597E72"/>
    <w:rsid w:val="00597FC3"/>
    <w:rsid w:val="005A012F"/>
    <w:rsid w:val="005A024B"/>
    <w:rsid w:val="005A0318"/>
    <w:rsid w:val="005A0340"/>
    <w:rsid w:val="005A038F"/>
    <w:rsid w:val="005A04C6"/>
    <w:rsid w:val="005A055A"/>
    <w:rsid w:val="005A0608"/>
    <w:rsid w:val="005A0628"/>
    <w:rsid w:val="005A066B"/>
    <w:rsid w:val="005A0716"/>
    <w:rsid w:val="005A07D3"/>
    <w:rsid w:val="005A0947"/>
    <w:rsid w:val="005A095F"/>
    <w:rsid w:val="005A09C7"/>
    <w:rsid w:val="005A0A19"/>
    <w:rsid w:val="005A0A22"/>
    <w:rsid w:val="005A0CC2"/>
    <w:rsid w:val="005A0D30"/>
    <w:rsid w:val="005A0D62"/>
    <w:rsid w:val="005A0E93"/>
    <w:rsid w:val="005A0EA0"/>
    <w:rsid w:val="005A0EA2"/>
    <w:rsid w:val="005A0EF3"/>
    <w:rsid w:val="005A0FED"/>
    <w:rsid w:val="005A1071"/>
    <w:rsid w:val="005A10C7"/>
    <w:rsid w:val="005A10E2"/>
    <w:rsid w:val="005A1148"/>
    <w:rsid w:val="005A114E"/>
    <w:rsid w:val="005A12E2"/>
    <w:rsid w:val="005A134F"/>
    <w:rsid w:val="005A13ED"/>
    <w:rsid w:val="005A14C7"/>
    <w:rsid w:val="005A14E6"/>
    <w:rsid w:val="005A14FC"/>
    <w:rsid w:val="005A1518"/>
    <w:rsid w:val="005A15E6"/>
    <w:rsid w:val="005A162C"/>
    <w:rsid w:val="005A1775"/>
    <w:rsid w:val="005A18A2"/>
    <w:rsid w:val="005A1910"/>
    <w:rsid w:val="005A1914"/>
    <w:rsid w:val="005A1999"/>
    <w:rsid w:val="005A19B1"/>
    <w:rsid w:val="005A1B01"/>
    <w:rsid w:val="005A1BC9"/>
    <w:rsid w:val="005A1C4C"/>
    <w:rsid w:val="005A1CDA"/>
    <w:rsid w:val="005A1DC8"/>
    <w:rsid w:val="005A1EC7"/>
    <w:rsid w:val="005A1F69"/>
    <w:rsid w:val="005A200F"/>
    <w:rsid w:val="005A211A"/>
    <w:rsid w:val="005A21BB"/>
    <w:rsid w:val="005A2227"/>
    <w:rsid w:val="005A2242"/>
    <w:rsid w:val="005A2309"/>
    <w:rsid w:val="005A2531"/>
    <w:rsid w:val="005A25D6"/>
    <w:rsid w:val="005A2606"/>
    <w:rsid w:val="005A2673"/>
    <w:rsid w:val="005A26C3"/>
    <w:rsid w:val="005A271C"/>
    <w:rsid w:val="005A27D4"/>
    <w:rsid w:val="005A285F"/>
    <w:rsid w:val="005A28DE"/>
    <w:rsid w:val="005A2916"/>
    <w:rsid w:val="005A29A5"/>
    <w:rsid w:val="005A29D1"/>
    <w:rsid w:val="005A2A7D"/>
    <w:rsid w:val="005A2AD9"/>
    <w:rsid w:val="005A2D82"/>
    <w:rsid w:val="005A2E83"/>
    <w:rsid w:val="005A2EB6"/>
    <w:rsid w:val="005A31E8"/>
    <w:rsid w:val="005A33B1"/>
    <w:rsid w:val="005A3456"/>
    <w:rsid w:val="005A34ED"/>
    <w:rsid w:val="005A3631"/>
    <w:rsid w:val="005A36B6"/>
    <w:rsid w:val="005A36D4"/>
    <w:rsid w:val="005A372B"/>
    <w:rsid w:val="005A375C"/>
    <w:rsid w:val="005A3808"/>
    <w:rsid w:val="005A380E"/>
    <w:rsid w:val="005A381C"/>
    <w:rsid w:val="005A3864"/>
    <w:rsid w:val="005A395E"/>
    <w:rsid w:val="005A3CEF"/>
    <w:rsid w:val="005A3D76"/>
    <w:rsid w:val="005A3DDE"/>
    <w:rsid w:val="005A3EF0"/>
    <w:rsid w:val="005A3F3C"/>
    <w:rsid w:val="005A3FCD"/>
    <w:rsid w:val="005A3FFC"/>
    <w:rsid w:val="005A40B0"/>
    <w:rsid w:val="005A40EE"/>
    <w:rsid w:val="005A4390"/>
    <w:rsid w:val="005A446D"/>
    <w:rsid w:val="005A44AA"/>
    <w:rsid w:val="005A44C9"/>
    <w:rsid w:val="005A4686"/>
    <w:rsid w:val="005A46BD"/>
    <w:rsid w:val="005A46FE"/>
    <w:rsid w:val="005A478D"/>
    <w:rsid w:val="005A4873"/>
    <w:rsid w:val="005A4909"/>
    <w:rsid w:val="005A491A"/>
    <w:rsid w:val="005A4981"/>
    <w:rsid w:val="005A49E6"/>
    <w:rsid w:val="005A4AC9"/>
    <w:rsid w:val="005A4C12"/>
    <w:rsid w:val="005A4C17"/>
    <w:rsid w:val="005A4CF1"/>
    <w:rsid w:val="005A4D57"/>
    <w:rsid w:val="005A4D6A"/>
    <w:rsid w:val="005A4E30"/>
    <w:rsid w:val="005A4E58"/>
    <w:rsid w:val="005A4EE5"/>
    <w:rsid w:val="005A4F97"/>
    <w:rsid w:val="005A4F9A"/>
    <w:rsid w:val="005A4FC4"/>
    <w:rsid w:val="005A5015"/>
    <w:rsid w:val="005A502D"/>
    <w:rsid w:val="005A52A9"/>
    <w:rsid w:val="005A535F"/>
    <w:rsid w:val="005A53C9"/>
    <w:rsid w:val="005A54CE"/>
    <w:rsid w:val="005A54D9"/>
    <w:rsid w:val="005A5518"/>
    <w:rsid w:val="005A5739"/>
    <w:rsid w:val="005A57BB"/>
    <w:rsid w:val="005A5814"/>
    <w:rsid w:val="005A5880"/>
    <w:rsid w:val="005A58F9"/>
    <w:rsid w:val="005A5A7C"/>
    <w:rsid w:val="005A5B02"/>
    <w:rsid w:val="005A5B09"/>
    <w:rsid w:val="005A5C5D"/>
    <w:rsid w:val="005A5C72"/>
    <w:rsid w:val="005A5CF7"/>
    <w:rsid w:val="005A5D91"/>
    <w:rsid w:val="005A6216"/>
    <w:rsid w:val="005A62BF"/>
    <w:rsid w:val="005A64FB"/>
    <w:rsid w:val="005A66DE"/>
    <w:rsid w:val="005A679B"/>
    <w:rsid w:val="005A682B"/>
    <w:rsid w:val="005A6850"/>
    <w:rsid w:val="005A68AB"/>
    <w:rsid w:val="005A693D"/>
    <w:rsid w:val="005A69FA"/>
    <w:rsid w:val="005A69FD"/>
    <w:rsid w:val="005A6AC9"/>
    <w:rsid w:val="005A6BAF"/>
    <w:rsid w:val="005A6BD6"/>
    <w:rsid w:val="005A6E24"/>
    <w:rsid w:val="005A6E9C"/>
    <w:rsid w:val="005A6F4D"/>
    <w:rsid w:val="005A7085"/>
    <w:rsid w:val="005A7253"/>
    <w:rsid w:val="005A7296"/>
    <w:rsid w:val="005A7375"/>
    <w:rsid w:val="005A74F8"/>
    <w:rsid w:val="005A74FB"/>
    <w:rsid w:val="005A7541"/>
    <w:rsid w:val="005A765C"/>
    <w:rsid w:val="005A76B5"/>
    <w:rsid w:val="005A7738"/>
    <w:rsid w:val="005A77ED"/>
    <w:rsid w:val="005A7945"/>
    <w:rsid w:val="005A7AA9"/>
    <w:rsid w:val="005A7AAF"/>
    <w:rsid w:val="005A7B9B"/>
    <w:rsid w:val="005A7CB3"/>
    <w:rsid w:val="005A7CEB"/>
    <w:rsid w:val="005A7D9D"/>
    <w:rsid w:val="005A7DC5"/>
    <w:rsid w:val="005A7DEA"/>
    <w:rsid w:val="005A7DFC"/>
    <w:rsid w:val="005A7E74"/>
    <w:rsid w:val="005A7ED3"/>
    <w:rsid w:val="005A7F8A"/>
    <w:rsid w:val="005A7FD3"/>
    <w:rsid w:val="005B0045"/>
    <w:rsid w:val="005B00E7"/>
    <w:rsid w:val="005B0151"/>
    <w:rsid w:val="005B0166"/>
    <w:rsid w:val="005B0174"/>
    <w:rsid w:val="005B0362"/>
    <w:rsid w:val="005B03BA"/>
    <w:rsid w:val="005B04DD"/>
    <w:rsid w:val="005B06C6"/>
    <w:rsid w:val="005B0827"/>
    <w:rsid w:val="005B090E"/>
    <w:rsid w:val="005B094A"/>
    <w:rsid w:val="005B0C2B"/>
    <w:rsid w:val="005B0C8B"/>
    <w:rsid w:val="005B0C9A"/>
    <w:rsid w:val="005B0EC5"/>
    <w:rsid w:val="005B0FEA"/>
    <w:rsid w:val="005B107C"/>
    <w:rsid w:val="005B109A"/>
    <w:rsid w:val="005B10C2"/>
    <w:rsid w:val="005B13A5"/>
    <w:rsid w:val="005B151D"/>
    <w:rsid w:val="005B1535"/>
    <w:rsid w:val="005B16C1"/>
    <w:rsid w:val="005B16E9"/>
    <w:rsid w:val="005B1717"/>
    <w:rsid w:val="005B179D"/>
    <w:rsid w:val="005B17FE"/>
    <w:rsid w:val="005B18D1"/>
    <w:rsid w:val="005B1AE2"/>
    <w:rsid w:val="005B1B22"/>
    <w:rsid w:val="005B1DF6"/>
    <w:rsid w:val="005B1E50"/>
    <w:rsid w:val="005B1E5C"/>
    <w:rsid w:val="005B1E64"/>
    <w:rsid w:val="005B1EB6"/>
    <w:rsid w:val="005B1F1E"/>
    <w:rsid w:val="005B1F80"/>
    <w:rsid w:val="005B1FA7"/>
    <w:rsid w:val="005B21E4"/>
    <w:rsid w:val="005B2236"/>
    <w:rsid w:val="005B2307"/>
    <w:rsid w:val="005B2321"/>
    <w:rsid w:val="005B232D"/>
    <w:rsid w:val="005B2422"/>
    <w:rsid w:val="005B24BF"/>
    <w:rsid w:val="005B2538"/>
    <w:rsid w:val="005B256C"/>
    <w:rsid w:val="005B2661"/>
    <w:rsid w:val="005B2810"/>
    <w:rsid w:val="005B2875"/>
    <w:rsid w:val="005B2992"/>
    <w:rsid w:val="005B2A0C"/>
    <w:rsid w:val="005B2DE1"/>
    <w:rsid w:val="005B2FD0"/>
    <w:rsid w:val="005B3103"/>
    <w:rsid w:val="005B311D"/>
    <w:rsid w:val="005B31E5"/>
    <w:rsid w:val="005B3234"/>
    <w:rsid w:val="005B32DF"/>
    <w:rsid w:val="005B3312"/>
    <w:rsid w:val="005B3493"/>
    <w:rsid w:val="005B352A"/>
    <w:rsid w:val="005B35FA"/>
    <w:rsid w:val="005B3745"/>
    <w:rsid w:val="005B388D"/>
    <w:rsid w:val="005B3891"/>
    <w:rsid w:val="005B38E4"/>
    <w:rsid w:val="005B38F3"/>
    <w:rsid w:val="005B391F"/>
    <w:rsid w:val="005B399C"/>
    <w:rsid w:val="005B39BE"/>
    <w:rsid w:val="005B3A73"/>
    <w:rsid w:val="005B3F61"/>
    <w:rsid w:val="005B3F7B"/>
    <w:rsid w:val="005B3F9E"/>
    <w:rsid w:val="005B403A"/>
    <w:rsid w:val="005B4158"/>
    <w:rsid w:val="005B4182"/>
    <w:rsid w:val="005B4222"/>
    <w:rsid w:val="005B42F6"/>
    <w:rsid w:val="005B449E"/>
    <w:rsid w:val="005B459E"/>
    <w:rsid w:val="005B4667"/>
    <w:rsid w:val="005B468C"/>
    <w:rsid w:val="005B472D"/>
    <w:rsid w:val="005B47A2"/>
    <w:rsid w:val="005B484B"/>
    <w:rsid w:val="005B4863"/>
    <w:rsid w:val="005B4944"/>
    <w:rsid w:val="005B49A3"/>
    <w:rsid w:val="005B49BA"/>
    <w:rsid w:val="005B4AC5"/>
    <w:rsid w:val="005B4B23"/>
    <w:rsid w:val="005B4B50"/>
    <w:rsid w:val="005B4B79"/>
    <w:rsid w:val="005B4B80"/>
    <w:rsid w:val="005B4C1A"/>
    <w:rsid w:val="005B4C1D"/>
    <w:rsid w:val="005B4C23"/>
    <w:rsid w:val="005B4CC7"/>
    <w:rsid w:val="005B4F14"/>
    <w:rsid w:val="005B4FC4"/>
    <w:rsid w:val="005B50FA"/>
    <w:rsid w:val="005B5173"/>
    <w:rsid w:val="005B51F8"/>
    <w:rsid w:val="005B5510"/>
    <w:rsid w:val="005B5537"/>
    <w:rsid w:val="005B556B"/>
    <w:rsid w:val="005B55EA"/>
    <w:rsid w:val="005B5634"/>
    <w:rsid w:val="005B5671"/>
    <w:rsid w:val="005B57C5"/>
    <w:rsid w:val="005B58CB"/>
    <w:rsid w:val="005B5936"/>
    <w:rsid w:val="005B5CBD"/>
    <w:rsid w:val="005B5F86"/>
    <w:rsid w:val="005B5FBC"/>
    <w:rsid w:val="005B604A"/>
    <w:rsid w:val="005B6087"/>
    <w:rsid w:val="005B6344"/>
    <w:rsid w:val="005B6447"/>
    <w:rsid w:val="005B6457"/>
    <w:rsid w:val="005B6461"/>
    <w:rsid w:val="005B64D5"/>
    <w:rsid w:val="005B6516"/>
    <w:rsid w:val="005B6521"/>
    <w:rsid w:val="005B65C2"/>
    <w:rsid w:val="005B6606"/>
    <w:rsid w:val="005B6639"/>
    <w:rsid w:val="005B677F"/>
    <w:rsid w:val="005B67D5"/>
    <w:rsid w:val="005B6806"/>
    <w:rsid w:val="005B680B"/>
    <w:rsid w:val="005B697F"/>
    <w:rsid w:val="005B6A2A"/>
    <w:rsid w:val="005B6A56"/>
    <w:rsid w:val="005B6A99"/>
    <w:rsid w:val="005B6B31"/>
    <w:rsid w:val="005B6B6A"/>
    <w:rsid w:val="005B6B76"/>
    <w:rsid w:val="005B6BB9"/>
    <w:rsid w:val="005B6DF6"/>
    <w:rsid w:val="005B6FBA"/>
    <w:rsid w:val="005B708E"/>
    <w:rsid w:val="005B70DC"/>
    <w:rsid w:val="005B7292"/>
    <w:rsid w:val="005B733E"/>
    <w:rsid w:val="005B7359"/>
    <w:rsid w:val="005B7364"/>
    <w:rsid w:val="005B75B1"/>
    <w:rsid w:val="005B7684"/>
    <w:rsid w:val="005B76BD"/>
    <w:rsid w:val="005B77C7"/>
    <w:rsid w:val="005B784B"/>
    <w:rsid w:val="005B7A44"/>
    <w:rsid w:val="005B7A62"/>
    <w:rsid w:val="005B7AF2"/>
    <w:rsid w:val="005B7B61"/>
    <w:rsid w:val="005B7B73"/>
    <w:rsid w:val="005B7BE2"/>
    <w:rsid w:val="005B7DC0"/>
    <w:rsid w:val="005B7E88"/>
    <w:rsid w:val="005C0180"/>
    <w:rsid w:val="005C0277"/>
    <w:rsid w:val="005C0365"/>
    <w:rsid w:val="005C0448"/>
    <w:rsid w:val="005C0481"/>
    <w:rsid w:val="005C0564"/>
    <w:rsid w:val="005C05B8"/>
    <w:rsid w:val="005C0616"/>
    <w:rsid w:val="005C0735"/>
    <w:rsid w:val="005C0881"/>
    <w:rsid w:val="005C089F"/>
    <w:rsid w:val="005C0942"/>
    <w:rsid w:val="005C0965"/>
    <w:rsid w:val="005C0A01"/>
    <w:rsid w:val="005C0AF6"/>
    <w:rsid w:val="005C0B3A"/>
    <w:rsid w:val="005C0C74"/>
    <w:rsid w:val="005C0CF1"/>
    <w:rsid w:val="005C0D00"/>
    <w:rsid w:val="005C0D61"/>
    <w:rsid w:val="005C0EE6"/>
    <w:rsid w:val="005C0EF3"/>
    <w:rsid w:val="005C0F2F"/>
    <w:rsid w:val="005C0F3E"/>
    <w:rsid w:val="005C10E5"/>
    <w:rsid w:val="005C1356"/>
    <w:rsid w:val="005C13D5"/>
    <w:rsid w:val="005C1464"/>
    <w:rsid w:val="005C147B"/>
    <w:rsid w:val="005C14AF"/>
    <w:rsid w:val="005C14CD"/>
    <w:rsid w:val="005C14E0"/>
    <w:rsid w:val="005C1548"/>
    <w:rsid w:val="005C16D0"/>
    <w:rsid w:val="005C186E"/>
    <w:rsid w:val="005C1A59"/>
    <w:rsid w:val="005C1B79"/>
    <w:rsid w:val="005C1DDE"/>
    <w:rsid w:val="005C1EF3"/>
    <w:rsid w:val="005C211A"/>
    <w:rsid w:val="005C211B"/>
    <w:rsid w:val="005C211C"/>
    <w:rsid w:val="005C221B"/>
    <w:rsid w:val="005C2495"/>
    <w:rsid w:val="005C2547"/>
    <w:rsid w:val="005C28D4"/>
    <w:rsid w:val="005C291D"/>
    <w:rsid w:val="005C2BB4"/>
    <w:rsid w:val="005C2CC0"/>
    <w:rsid w:val="005C2CFE"/>
    <w:rsid w:val="005C2D1F"/>
    <w:rsid w:val="005C2E1F"/>
    <w:rsid w:val="005C2E36"/>
    <w:rsid w:val="005C2E8B"/>
    <w:rsid w:val="005C2EC6"/>
    <w:rsid w:val="005C2FA4"/>
    <w:rsid w:val="005C30D5"/>
    <w:rsid w:val="005C31AA"/>
    <w:rsid w:val="005C3281"/>
    <w:rsid w:val="005C3427"/>
    <w:rsid w:val="005C34D1"/>
    <w:rsid w:val="005C354F"/>
    <w:rsid w:val="005C3604"/>
    <w:rsid w:val="005C370E"/>
    <w:rsid w:val="005C3727"/>
    <w:rsid w:val="005C3769"/>
    <w:rsid w:val="005C37C9"/>
    <w:rsid w:val="005C380B"/>
    <w:rsid w:val="005C3867"/>
    <w:rsid w:val="005C38E9"/>
    <w:rsid w:val="005C39F7"/>
    <w:rsid w:val="005C3A21"/>
    <w:rsid w:val="005C3AF1"/>
    <w:rsid w:val="005C3BCF"/>
    <w:rsid w:val="005C3BF5"/>
    <w:rsid w:val="005C3C0B"/>
    <w:rsid w:val="005C3D96"/>
    <w:rsid w:val="005C3EFD"/>
    <w:rsid w:val="005C3FA8"/>
    <w:rsid w:val="005C3FDE"/>
    <w:rsid w:val="005C411B"/>
    <w:rsid w:val="005C416F"/>
    <w:rsid w:val="005C41A1"/>
    <w:rsid w:val="005C41B9"/>
    <w:rsid w:val="005C41DA"/>
    <w:rsid w:val="005C41F0"/>
    <w:rsid w:val="005C4213"/>
    <w:rsid w:val="005C440B"/>
    <w:rsid w:val="005C4410"/>
    <w:rsid w:val="005C4567"/>
    <w:rsid w:val="005C4595"/>
    <w:rsid w:val="005C45E2"/>
    <w:rsid w:val="005C4695"/>
    <w:rsid w:val="005C479E"/>
    <w:rsid w:val="005C48A3"/>
    <w:rsid w:val="005C49E8"/>
    <w:rsid w:val="005C4A23"/>
    <w:rsid w:val="005C4A25"/>
    <w:rsid w:val="005C4AB9"/>
    <w:rsid w:val="005C4BF0"/>
    <w:rsid w:val="005C4C04"/>
    <w:rsid w:val="005C4C2F"/>
    <w:rsid w:val="005C4CBC"/>
    <w:rsid w:val="005C4CEF"/>
    <w:rsid w:val="005C4D1B"/>
    <w:rsid w:val="005C4DB9"/>
    <w:rsid w:val="005C4F05"/>
    <w:rsid w:val="005C4F45"/>
    <w:rsid w:val="005C4F98"/>
    <w:rsid w:val="005C5082"/>
    <w:rsid w:val="005C508F"/>
    <w:rsid w:val="005C51C0"/>
    <w:rsid w:val="005C5235"/>
    <w:rsid w:val="005C538A"/>
    <w:rsid w:val="005C53EE"/>
    <w:rsid w:val="005C5419"/>
    <w:rsid w:val="005C54A6"/>
    <w:rsid w:val="005C54D2"/>
    <w:rsid w:val="005C5613"/>
    <w:rsid w:val="005C5635"/>
    <w:rsid w:val="005C5699"/>
    <w:rsid w:val="005C57A0"/>
    <w:rsid w:val="005C57A8"/>
    <w:rsid w:val="005C57B3"/>
    <w:rsid w:val="005C5806"/>
    <w:rsid w:val="005C586B"/>
    <w:rsid w:val="005C58AD"/>
    <w:rsid w:val="005C58F5"/>
    <w:rsid w:val="005C59F7"/>
    <w:rsid w:val="005C5A75"/>
    <w:rsid w:val="005C5A93"/>
    <w:rsid w:val="005C5C1C"/>
    <w:rsid w:val="005C5C85"/>
    <w:rsid w:val="005C5CA4"/>
    <w:rsid w:val="005C5CD6"/>
    <w:rsid w:val="005C5CFA"/>
    <w:rsid w:val="005C5D1E"/>
    <w:rsid w:val="005C5D33"/>
    <w:rsid w:val="005C5DBF"/>
    <w:rsid w:val="005C5DCF"/>
    <w:rsid w:val="005C5DDD"/>
    <w:rsid w:val="005C5FB2"/>
    <w:rsid w:val="005C602E"/>
    <w:rsid w:val="005C6186"/>
    <w:rsid w:val="005C6215"/>
    <w:rsid w:val="005C62F5"/>
    <w:rsid w:val="005C6440"/>
    <w:rsid w:val="005C65DC"/>
    <w:rsid w:val="005C661F"/>
    <w:rsid w:val="005C6673"/>
    <w:rsid w:val="005C6696"/>
    <w:rsid w:val="005C676B"/>
    <w:rsid w:val="005C6854"/>
    <w:rsid w:val="005C6860"/>
    <w:rsid w:val="005C6987"/>
    <w:rsid w:val="005C6A60"/>
    <w:rsid w:val="005C6A64"/>
    <w:rsid w:val="005C6A71"/>
    <w:rsid w:val="005C6ACE"/>
    <w:rsid w:val="005C6B17"/>
    <w:rsid w:val="005C6C83"/>
    <w:rsid w:val="005C6CA6"/>
    <w:rsid w:val="005C6CF5"/>
    <w:rsid w:val="005C6D7B"/>
    <w:rsid w:val="005C6E54"/>
    <w:rsid w:val="005C6F0C"/>
    <w:rsid w:val="005C6F46"/>
    <w:rsid w:val="005C7105"/>
    <w:rsid w:val="005C7274"/>
    <w:rsid w:val="005C72D3"/>
    <w:rsid w:val="005C73BE"/>
    <w:rsid w:val="005C75E6"/>
    <w:rsid w:val="005C7720"/>
    <w:rsid w:val="005C7789"/>
    <w:rsid w:val="005C793C"/>
    <w:rsid w:val="005C7990"/>
    <w:rsid w:val="005C7997"/>
    <w:rsid w:val="005C7AEE"/>
    <w:rsid w:val="005C7B66"/>
    <w:rsid w:val="005C7BE2"/>
    <w:rsid w:val="005C7C64"/>
    <w:rsid w:val="005C7CBC"/>
    <w:rsid w:val="005C7D05"/>
    <w:rsid w:val="005C7E71"/>
    <w:rsid w:val="005C7F0E"/>
    <w:rsid w:val="005C7FCD"/>
    <w:rsid w:val="005C7FF9"/>
    <w:rsid w:val="005D0039"/>
    <w:rsid w:val="005D004D"/>
    <w:rsid w:val="005D00FB"/>
    <w:rsid w:val="005D015F"/>
    <w:rsid w:val="005D01AB"/>
    <w:rsid w:val="005D0215"/>
    <w:rsid w:val="005D02D3"/>
    <w:rsid w:val="005D0332"/>
    <w:rsid w:val="005D03DE"/>
    <w:rsid w:val="005D0449"/>
    <w:rsid w:val="005D04FF"/>
    <w:rsid w:val="005D05BF"/>
    <w:rsid w:val="005D05D5"/>
    <w:rsid w:val="005D05EB"/>
    <w:rsid w:val="005D06EA"/>
    <w:rsid w:val="005D0887"/>
    <w:rsid w:val="005D09CF"/>
    <w:rsid w:val="005D09F6"/>
    <w:rsid w:val="005D0ADF"/>
    <w:rsid w:val="005D0D2C"/>
    <w:rsid w:val="005D0E10"/>
    <w:rsid w:val="005D0E18"/>
    <w:rsid w:val="005D0E1B"/>
    <w:rsid w:val="005D0E40"/>
    <w:rsid w:val="005D0E92"/>
    <w:rsid w:val="005D0EBC"/>
    <w:rsid w:val="005D0EF7"/>
    <w:rsid w:val="005D0F8E"/>
    <w:rsid w:val="005D1047"/>
    <w:rsid w:val="005D120E"/>
    <w:rsid w:val="005D1271"/>
    <w:rsid w:val="005D1402"/>
    <w:rsid w:val="005D142C"/>
    <w:rsid w:val="005D1758"/>
    <w:rsid w:val="005D181D"/>
    <w:rsid w:val="005D19F2"/>
    <w:rsid w:val="005D1B06"/>
    <w:rsid w:val="005D1CC8"/>
    <w:rsid w:val="005D1F1A"/>
    <w:rsid w:val="005D1F28"/>
    <w:rsid w:val="005D1F53"/>
    <w:rsid w:val="005D1FDF"/>
    <w:rsid w:val="005D2080"/>
    <w:rsid w:val="005D20B0"/>
    <w:rsid w:val="005D220C"/>
    <w:rsid w:val="005D2330"/>
    <w:rsid w:val="005D2490"/>
    <w:rsid w:val="005D24BB"/>
    <w:rsid w:val="005D24F3"/>
    <w:rsid w:val="005D26F3"/>
    <w:rsid w:val="005D281E"/>
    <w:rsid w:val="005D2844"/>
    <w:rsid w:val="005D28C4"/>
    <w:rsid w:val="005D2961"/>
    <w:rsid w:val="005D297A"/>
    <w:rsid w:val="005D29DC"/>
    <w:rsid w:val="005D29ED"/>
    <w:rsid w:val="005D2A29"/>
    <w:rsid w:val="005D2B2C"/>
    <w:rsid w:val="005D2C48"/>
    <w:rsid w:val="005D2C6A"/>
    <w:rsid w:val="005D2D33"/>
    <w:rsid w:val="005D2DA9"/>
    <w:rsid w:val="005D2DF4"/>
    <w:rsid w:val="005D2FA8"/>
    <w:rsid w:val="005D302C"/>
    <w:rsid w:val="005D32E2"/>
    <w:rsid w:val="005D3372"/>
    <w:rsid w:val="005D33B4"/>
    <w:rsid w:val="005D3402"/>
    <w:rsid w:val="005D3476"/>
    <w:rsid w:val="005D34F3"/>
    <w:rsid w:val="005D34FD"/>
    <w:rsid w:val="005D355E"/>
    <w:rsid w:val="005D379B"/>
    <w:rsid w:val="005D3879"/>
    <w:rsid w:val="005D3893"/>
    <w:rsid w:val="005D389C"/>
    <w:rsid w:val="005D3A13"/>
    <w:rsid w:val="005D3B81"/>
    <w:rsid w:val="005D3C0F"/>
    <w:rsid w:val="005D3DDA"/>
    <w:rsid w:val="005D3E18"/>
    <w:rsid w:val="005D3E2B"/>
    <w:rsid w:val="005D3FAF"/>
    <w:rsid w:val="005D410D"/>
    <w:rsid w:val="005D4651"/>
    <w:rsid w:val="005D4706"/>
    <w:rsid w:val="005D474B"/>
    <w:rsid w:val="005D47B1"/>
    <w:rsid w:val="005D47CC"/>
    <w:rsid w:val="005D485F"/>
    <w:rsid w:val="005D4953"/>
    <w:rsid w:val="005D4A5E"/>
    <w:rsid w:val="005D4AD4"/>
    <w:rsid w:val="005D4C1D"/>
    <w:rsid w:val="005D4E6C"/>
    <w:rsid w:val="005D4ECB"/>
    <w:rsid w:val="005D4F5F"/>
    <w:rsid w:val="005D50CC"/>
    <w:rsid w:val="005D50F5"/>
    <w:rsid w:val="005D524A"/>
    <w:rsid w:val="005D528F"/>
    <w:rsid w:val="005D5364"/>
    <w:rsid w:val="005D54C5"/>
    <w:rsid w:val="005D5521"/>
    <w:rsid w:val="005D554B"/>
    <w:rsid w:val="005D5602"/>
    <w:rsid w:val="005D564C"/>
    <w:rsid w:val="005D5666"/>
    <w:rsid w:val="005D5744"/>
    <w:rsid w:val="005D5771"/>
    <w:rsid w:val="005D5942"/>
    <w:rsid w:val="005D5A2A"/>
    <w:rsid w:val="005D5A70"/>
    <w:rsid w:val="005D5B9C"/>
    <w:rsid w:val="005D5BB5"/>
    <w:rsid w:val="005D5C17"/>
    <w:rsid w:val="005D5CC4"/>
    <w:rsid w:val="005D5DD8"/>
    <w:rsid w:val="005D5F82"/>
    <w:rsid w:val="005D5F87"/>
    <w:rsid w:val="005D5FF2"/>
    <w:rsid w:val="005D6099"/>
    <w:rsid w:val="005D6129"/>
    <w:rsid w:val="005D6300"/>
    <w:rsid w:val="005D63BB"/>
    <w:rsid w:val="005D63F9"/>
    <w:rsid w:val="005D6442"/>
    <w:rsid w:val="005D6536"/>
    <w:rsid w:val="005D6619"/>
    <w:rsid w:val="005D66AD"/>
    <w:rsid w:val="005D67AD"/>
    <w:rsid w:val="005D6945"/>
    <w:rsid w:val="005D6A41"/>
    <w:rsid w:val="005D6AA2"/>
    <w:rsid w:val="005D6AED"/>
    <w:rsid w:val="005D6C74"/>
    <w:rsid w:val="005D6DCF"/>
    <w:rsid w:val="005D6E3F"/>
    <w:rsid w:val="005D6ECF"/>
    <w:rsid w:val="005D6F72"/>
    <w:rsid w:val="005D6FA8"/>
    <w:rsid w:val="005D7044"/>
    <w:rsid w:val="005D7344"/>
    <w:rsid w:val="005D75CF"/>
    <w:rsid w:val="005D7612"/>
    <w:rsid w:val="005D764B"/>
    <w:rsid w:val="005D7757"/>
    <w:rsid w:val="005D77BB"/>
    <w:rsid w:val="005D7865"/>
    <w:rsid w:val="005D798F"/>
    <w:rsid w:val="005D7998"/>
    <w:rsid w:val="005D79A5"/>
    <w:rsid w:val="005D79E8"/>
    <w:rsid w:val="005D7B8A"/>
    <w:rsid w:val="005D7DAB"/>
    <w:rsid w:val="005D7E74"/>
    <w:rsid w:val="005D7EE6"/>
    <w:rsid w:val="005D7EF9"/>
    <w:rsid w:val="005D7F73"/>
    <w:rsid w:val="005D7FE2"/>
    <w:rsid w:val="005D7FF3"/>
    <w:rsid w:val="005E0034"/>
    <w:rsid w:val="005E0041"/>
    <w:rsid w:val="005E00A9"/>
    <w:rsid w:val="005E01BF"/>
    <w:rsid w:val="005E01D5"/>
    <w:rsid w:val="005E0327"/>
    <w:rsid w:val="005E04D2"/>
    <w:rsid w:val="005E0636"/>
    <w:rsid w:val="005E07E6"/>
    <w:rsid w:val="005E07FD"/>
    <w:rsid w:val="005E0803"/>
    <w:rsid w:val="005E0826"/>
    <w:rsid w:val="005E083C"/>
    <w:rsid w:val="005E0884"/>
    <w:rsid w:val="005E08F6"/>
    <w:rsid w:val="005E0921"/>
    <w:rsid w:val="005E0A8A"/>
    <w:rsid w:val="005E0AAC"/>
    <w:rsid w:val="005E0B5D"/>
    <w:rsid w:val="005E0B7F"/>
    <w:rsid w:val="005E0BF7"/>
    <w:rsid w:val="005E0C51"/>
    <w:rsid w:val="005E0D85"/>
    <w:rsid w:val="005E124F"/>
    <w:rsid w:val="005E13A0"/>
    <w:rsid w:val="005E13A6"/>
    <w:rsid w:val="005E13D4"/>
    <w:rsid w:val="005E1530"/>
    <w:rsid w:val="005E157B"/>
    <w:rsid w:val="005E158E"/>
    <w:rsid w:val="005E15AB"/>
    <w:rsid w:val="005E15F2"/>
    <w:rsid w:val="005E1607"/>
    <w:rsid w:val="005E167E"/>
    <w:rsid w:val="005E169B"/>
    <w:rsid w:val="005E173F"/>
    <w:rsid w:val="005E1790"/>
    <w:rsid w:val="005E191D"/>
    <w:rsid w:val="005E1ADA"/>
    <w:rsid w:val="005E1B0A"/>
    <w:rsid w:val="005E1B28"/>
    <w:rsid w:val="005E1CED"/>
    <w:rsid w:val="005E1DE4"/>
    <w:rsid w:val="005E1E36"/>
    <w:rsid w:val="005E1FDB"/>
    <w:rsid w:val="005E1FF5"/>
    <w:rsid w:val="005E20B3"/>
    <w:rsid w:val="005E21BE"/>
    <w:rsid w:val="005E21EC"/>
    <w:rsid w:val="005E21FF"/>
    <w:rsid w:val="005E2212"/>
    <w:rsid w:val="005E2240"/>
    <w:rsid w:val="005E2249"/>
    <w:rsid w:val="005E23EB"/>
    <w:rsid w:val="005E249C"/>
    <w:rsid w:val="005E258A"/>
    <w:rsid w:val="005E25CF"/>
    <w:rsid w:val="005E2687"/>
    <w:rsid w:val="005E2804"/>
    <w:rsid w:val="005E29BF"/>
    <w:rsid w:val="005E29C2"/>
    <w:rsid w:val="005E2AAA"/>
    <w:rsid w:val="005E2AD8"/>
    <w:rsid w:val="005E2C65"/>
    <w:rsid w:val="005E2CCB"/>
    <w:rsid w:val="005E2DB0"/>
    <w:rsid w:val="005E2EFC"/>
    <w:rsid w:val="005E2FB9"/>
    <w:rsid w:val="005E3025"/>
    <w:rsid w:val="005E3042"/>
    <w:rsid w:val="005E3061"/>
    <w:rsid w:val="005E30F9"/>
    <w:rsid w:val="005E3138"/>
    <w:rsid w:val="005E316D"/>
    <w:rsid w:val="005E3177"/>
    <w:rsid w:val="005E31E9"/>
    <w:rsid w:val="005E31ED"/>
    <w:rsid w:val="005E33A5"/>
    <w:rsid w:val="005E346F"/>
    <w:rsid w:val="005E349B"/>
    <w:rsid w:val="005E34A8"/>
    <w:rsid w:val="005E34E7"/>
    <w:rsid w:val="005E34FE"/>
    <w:rsid w:val="005E3510"/>
    <w:rsid w:val="005E35F8"/>
    <w:rsid w:val="005E3626"/>
    <w:rsid w:val="005E36AC"/>
    <w:rsid w:val="005E37D9"/>
    <w:rsid w:val="005E38B6"/>
    <w:rsid w:val="005E3973"/>
    <w:rsid w:val="005E3983"/>
    <w:rsid w:val="005E398D"/>
    <w:rsid w:val="005E399F"/>
    <w:rsid w:val="005E3B46"/>
    <w:rsid w:val="005E3BB0"/>
    <w:rsid w:val="005E3C2A"/>
    <w:rsid w:val="005E3C71"/>
    <w:rsid w:val="005E3D4D"/>
    <w:rsid w:val="005E3DBF"/>
    <w:rsid w:val="005E3DC8"/>
    <w:rsid w:val="005E3E95"/>
    <w:rsid w:val="005E3EEE"/>
    <w:rsid w:val="005E3F08"/>
    <w:rsid w:val="005E3FD3"/>
    <w:rsid w:val="005E402B"/>
    <w:rsid w:val="005E40EC"/>
    <w:rsid w:val="005E4120"/>
    <w:rsid w:val="005E431D"/>
    <w:rsid w:val="005E43FC"/>
    <w:rsid w:val="005E4456"/>
    <w:rsid w:val="005E4526"/>
    <w:rsid w:val="005E465E"/>
    <w:rsid w:val="005E47B6"/>
    <w:rsid w:val="005E4882"/>
    <w:rsid w:val="005E48CF"/>
    <w:rsid w:val="005E48DF"/>
    <w:rsid w:val="005E4A0C"/>
    <w:rsid w:val="005E4C05"/>
    <w:rsid w:val="005E4CBA"/>
    <w:rsid w:val="005E4CEF"/>
    <w:rsid w:val="005E4CF7"/>
    <w:rsid w:val="005E4D56"/>
    <w:rsid w:val="005E4E4E"/>
    <w:rsid w:val="005E4FFC"/>
    <w:rsid w:val="005E504D"/>
    <w:rsid w:val="005E516B"/>
    <w:rsid w:val="005E5194"/>
    <w:rsid w:val="005E5234"/>
    <w:rsid w:val="005E534E"/>
    <w:rsid w:val="005E5382"/>
    <w:rsid w:val="005E5396"/>
    <w:rsid w:val="005E5408"/>
    <w:rsid w:val="005E5462"/>
    <w:rsid w:val="005E5503"/>
    <w:rsid w:val="005E559B"/>
    <w:rsid w:val="005E57A6"/>
    <w:rsid w:val="005E5A38"/>
    <w:rsid w:val="005E5A5A"/>
    <w:rsid w:val="005E5A7C"/>
    <w:rsid w:val="005E5A9A"/>
    <w:rsid w:val="005E5B93"/>
    <w:rsid w:val="005E5DE4"/>
    <w:rsid w:val="005E5FCC"/>
    <w:rsid w:val="005E5FF7"/>
    <w:rsid w:val="005E6219"/>
    <w:rsid w:val="005E62B0"/>
    <w:rsid w:val="005E62BE"/>
    <w:rsid w:val="005E6471"/>
    <w:rsid w:val="005E6488"/>
    <w:rsid w:val="005E6489"/>
    <w:rsid w:val="005E64CF"/>
    <w:rsid w:val="005E6641"/>
    <w:rsid w:val="005E66DB"/>
    <w:rsid w:val="005E6755"/>
    <w:rsid w:val="005E6792"/>
    <w:rsid w:val="005E6905"/>
    <w:rsid w:val="005E695B"/>
    <w:rsid w:val="005E6C2F"/>
    <w:rsid w:val="005E6C64"/>
    <w:rsid w:val="005E6CBB"/>
    <w:rsid w:val="005E6CE1"/>
    <w:rsid w:val="005E6D39"/>
    <w:rsid w:val="005E6DB9"/>
    <w:rsid w:val="005E6DE0"/>
    <w:rsid w:val="005E6E64"/>
    <w:rsid w:val="005E6E6E"/>
    <w:rsid w:val="005E6E99"/>
    <w:rsid w:val="005E6F46"/>
    <w:rsid w:val="005E70B5"/>
    <w:rsid w:val="005E70E8"/>
    <w:rsid w:val="005E712D"/>
    <w:rsid w:val="005E727A"/>
    <w:rsid w:val="005E740B"/>
    <w:rsid w:val="005E745A"/>
    <w:rsid w:val="005E7490"/>
    <w:rsid w:val="005E753F"/>
    <w:rsid w:val="005E754A"/>
    <w:rsid w:val="005E7585"/>
    <w:rsid w:val="005E76A3"/>
    <w:rsid w:val="005E771B"/>
    <w:rsid w:val="005E7833"/>
    <w:rsid w:val="005E783F"/>
    <w:rsid w:val="005E799C"/>
    <w:rsid w:val="005E79DF"/>
    <w:rsid w:val="005E7A5B"/>
    <w:rsid w:val="005E7A70"/>
    <w:rsid w:val="005E7B23"/>
    <w:rsid w:val="005E7C33"/>
    <w:rsid w:val="005E7C35"/>
    <w:rsid w:val="005E7C36"/>
    <w:rsid w:val="005E7CED"/>
    <w:rsid w:val="005E7E0E"/>
    <w:rsid w:val="005E7EDC"/>
    <w:rsid w:val="005E7EEE"/>
    <w:rsid w:val="005E7F9D"/>
    <w:rsid w:val="005F0300"/>
    <w:rsid w:val="005F030D"/>
    <w:rsid w:val="005F0354"/>
    <w:rsid w:val="005F0598"/>
    <w:rsid w:val="005F05FF"/>
    <w:rsid w:val="005F0636"/>
    <w:rsid w:val="005F0720"/>
    <w:rsid w:val="005F0814"/>
    <w:rsid w:val="005F0828"/>
    <w:rsid w:val="005F086B"/>
    <w:rsid w:val="005F0890"/>
    <w:rsid w:val="005F0B2B"/>
    <w:rsid w:val="005F0C23"/>
    <w:rsid w:val="005F0CD8"/>
    <w:rsid w:val="005F0F26"/>
    <w:rsid w:val="005F0F5B"/>
    <w:rsid w:val="005F1014"/>
    <w:rsid w:val="005F1167"/>
    <w:rsid w:val="005F1214"/>
    <w:rsid w:val="005F12D8"/>
    <w:rsid w:val="005F1339"/>
    <w:rsid w:val="005F13F3"/>
    <w:rsid w:val="005F14A2"/>
    <w:rsid w:val="005F14BF"/>
    <w:rsid w:val="005F17AB"/>
    <w:rsid w:val="005F17D0"/>
    <w:rsid w:val="005F1829"/>
    <w:rsid w:val="005F187A"/>
    <w:rsid w:val="005F197E"/>
    <w:rsid w:val="005F1AED"/>
    <w:rsid w:val="005F1B60"/>
    <w:rsid w:val="005F1CC5"/>
    <w:rsid w:val="005F1DB1"/>
    <w:rsid w:val="005F1DDB"/>
    <w:rsid w:val="005F1E65"/>
    <w:rsid w:val="005F1FA6"/>
    <w:rsid w:val="005F1FF4"/>
    <w:rsid w:val="005F202B"/>
    <w:rsid w:val="005F206E"/>
    <w:rsid w:val="005F20C6"/>
    <w:rsid w:val="005F20FD"/>
    <w:rsid w:val="005F2188"/>
    <w:rsid w:val="005F21B4"/>
    <w:rsid w:val="005F22BA"/>
    <w:rsid w:val="005F2314"/>
    <w:rsid w:val="005F2343"/>
    <w:rsid w:val="005F2484"/>
    <w:rsid w:val="005F24A6"/>
    <w:rsid w:val="005F2509"/>
    <w:rsid w:val="005F25C2"/>
    <w:rsid w:val="005F2653"/>
    <w:rsid w:val="005F29CA"/>
    <w:rsid w:val="005F2AC0"/>
    <w:rsid w:val="005F2B3E"/>
    <w:rsid w:val="005F2B48"/>
    <w:rsid w:val="005F2D33"/>
    <w:rsid w:val="005F30D6"/>
    <w:rsid w:val="005F33EE"/>
    <w:rsid w:val="005F345E"/>
    <w:rsid w:val="005F36A8"/>
    <w:rsid w:val="005F39A8"/>
    <w:rsid w:val="005F3A0F"/>
    <w:rsid w:val="005F3B30"/>
    <w:rsid w:val="005F3B5F"/>
    <w:rsid w:val="005F3B6A"/>
    <w:rsid w:val="005F3BC6"/>
    <w:rsid w:val="005F3BEC"/>
    <w:rsid w:val="005F3C95"/>
    <w:rsid w:val="005F3CE5"/>
    <w:rsid w:val="005F3D4A"/>
    <w:rsid w:val="005F3D65"/>
    <w:rsid w:val="005F3DA5"/>
    <w:rsid w:val="005F3E84"/>
    <w:rsid w:val="005F3FC2"/>
    <w:rsid w:val="005F4095"/>
    <w:rsid w:val="005F40A0"/>
    <w:rsid w:val="005F40A9"/>
    <w:rsid w:val="005F4211"/>
    <w:rsid w:val="005F4253"/>
    <w:rsid w:val="005F4267"/>
    <w:rsid w:val="005F43A3"/>
    <w:rsid w:val="005F43CA"/>
    <w:rsid w:val="005F43E9"/>
    <w:rsid w:val="005F43FF"/>
    <w:rsid w:val="005F4509"/>
    <w:rsid w:val="005F452E"/>
    <w:rsid w:val="005F457B"/>
    <w:rsid w:val="005F4671"/>
    <w:rsid w:val="005F4770"/>
    <w:rsid w:val="005F4853"/>
    <w:rsid w:val="005F4B45"/>
    <w:rsid w:val="005F4BEA"/>
    <w:rsid w:val="005F4CC8"/>
    <w:rsid w:val="005F4DD5"/>
    <w:rsid w:val="005F4E9E"/>
    <w:rsid w:val="005F4F36"/>
    <w:rsid w:val="005F4F58"/>
    <w:rsid w:val="005F4FFD"/>
    <w:rsid w:val="005F5002"/>
    <w:rsid w:val="005F50A0"/>
    <w:rsid w:val="005F5162"/>
    <w:rsid w:val="005F52B2"/>
    <w:rsid w:val="005F52E5"/>
    <w:rsid w:val="005F5319"/>
    <w:rsid w:val="005F533E"/>
    <w:rsid w:val="005F537D"/>
    <w:rsid w:val="005F538C"/>
    <w:rsid w:val="005F5404"/>
    <w:rsid w:val="005F5533"/>
    <w:rsid w:val="005F5590"/>
    <w:rsid w:val="005F564D"/>
    <w:rsid w:val="005F5691"/>
    <w:rsid w:val="005F57D2"/>
    <w:rsid w:val="005F57EA"/>
    <w:rsid w:val="005F5867"/>
    <w:rsid w:val="005F58A4"/>
    <w:rsid w:val="005F5922"/>
    <w:rsid w:val="005F5B51"/>
    <w:rsid w:val="005F5B8E"/>
    <w:rsid w:val="005F5CF7"/>
    <w:rsid w:val="005F5DB1"/>
    <w:rsid w:val="005F5F8B"/>
    <w:rsid w:val="005F5FA4"/>
    <w:rsid w:val="005F6088"/>
    <w:rsid w:val="005F619B"/>
    <w:rsid w:val="005F61AB"/>
    <w:rsid w:val="005F6493"/>
    <w:rsid w:val="005F64BE"/>
    <w:rsid w:val="005F6589"/>
    <w:rsid w:val="005F6739"/>
    <w:rsid w:val="005F677A"/>
    <w:rsid w:val="005F67B7"/>
    <w:rsid w:val="005F684B"/>
    <w:rsid w:val="005F6861"/>
    <w:rsid w:val="005F68D7"/>
    <w:rsid w:val="005F6B94"/>
    <w:rsid w:val="005F6BBC"/>
    <w:rsid w:val="005F6C0A"/>
    <w:rsid w:val="005F6C82"/>
    <w:rsid w:val="005F6DAD"/>
    <w:rsid w:val="005F6EE0"/>
    <w:rsid w:val="005F700B"/>
    <w:rsid w:val="005F7179"/>
    <w:rsid w:val="005F71B3"/>
    <w:rsid w:val="005F7216"/>
    <w:rsid w:val="005F7272"/>
    <w:rsid w:val="005F7274"/>
    <w:rsid w:val="005F72D2"/>
    <w:rsid w:val="005F72D8"/>
    <w:rsid w:val="005F733C"/>
    <w:rsid w:val="005F735A"/>
    <w:rsid w:val="005F7466"/>
    <w:rsid w:val="005F74B3"/>
    <w:rsid w:val="005F75B1"/>
    <w:rsid w:val="005F777A"/>
    <w:rsid w:val="005F77C0"/>
    <w:rsid w:val="005F78F5"/>
    <w:rsid w:val="005F7976"/>
    <w:rsid w:val="005F79DB"/>
    <w:rsid w:val="005F7AC6"/>
    <w:rsid w:val="005F7B30"/>
    <w:rsid w:val="005F7B3C"/>
    <w:rsid w:val="005F7B5B"/>
    <w:rsid w:val="005F7B8B"/>
    <w:rsid w:val="005F7C59"/>
    <w:rsid w:val="005F7DA8"/>
    <w:rsid w:val="005F7DC0"/>
    <w:rsid w:val="005F7DE0"/>
    <w:rsid w:val="005F7EF6"/>
    <w:rsid w:val="00600097"/>
    <w:rsid w:val="00600167"/>
    <w:rsid w:val="00600280"/>
    <w:rsid w:val="0060029A"/>
    <w:rsid w:val="006002B2"/>
    <w:rsid w:val="006002B8"/>
    <w:rsid w:val="00600351"/>
    <w:rsid w:val="006003C2"/>
    <w:rsid w:val="0060040C"/>
    <w:rsid w:val="00600487"/>
    <w:rsid w:val="00600509"/>
    <w:rsid w:val="0060064E"/>
    <w:rsid w:val="0060066E"/>
    <w:rsid w:val="006006FE"/>
    <w:rsid w:val="00600751"/>
    <w:rsid w:val="006007E5"/>
    <w:rsid w:val="00600860"/>
    <w:rsid w:val="006008E9"/>
    <w:rsid w:val="00600A5B"/>
    <w:rsid w:val="00600C49"/>
    <w:rsid w:val="00600C65"/>
    <w:rsid w:val="00600C6D"/>
    <w:rsid w:val="00600D53"/>
    <w:rsid w:val="00600E1B"/>
    <w:rsid w:val="00600EDB"/>
    <w:rsid w:val="00600F69"/>
    <w:rsid w:val="0060102D"/>
    <w:rsid w:val="006011AE"/>
    <w:rsid w:val="00601201"/>
    <w:rsid w:val="00601306"/>
    <w:rsid w:val="00601397"/>
    <w:rsid w:val="0060144A"/>
    <w:rsid w:val="0060167D"/>
    <w:rsid w:val="006017AD"/>
    <w:rsid w:val="006018A2"/>
    <w:rsid w:val="00601928"/>
    <w:rsid w:val="00601A1C"/>
    <w:rsid w:val="00601ADE"/>
    <w:rsid w:val="00601EBA"/>
    <w:rsid w:val="00601EBE"/>
    <w:rsid w:val="00601F73"/>
    <w:rsid w:val="0060201D"/>
    <w:rsid w:val="0060206C"/>
    <w:rsid w:val="006020B6"/>
    <w:rsid w:val="006020DA"/>
    <w:rsid w:val="006022B7"/>
    <w:rsid w:val="006023B5"/>
    <w:rsid w:val="006023C9"/>
    <w:rsid w:val="006025C0"/>
    <w:rsid w:val="00602604"/>
    <w:rsid w:val="00602645"/>
    <w:rsid w:val="006026A2"/>
    <w:rsid w:val="0060270D"/>
    <w:rsid w:val="00602726"/>
    <w:rsid w:val="00602804"/>
    <w:rsid w:val="00602918"/>
    <w:rsid w:val="00602968"/>
    <w:rsid w:val="006029AE"/>
    <w:rsid w:val="006029F6"/>
    <w:rsid w:val="00602A4C"/>
    <w:rsid w:val="00602B01"/>
    <w:rsid w:val="00602C05"/>
    <w:rsid w:val="00602C0F"/>
    <w:rsid w:val="00602D71"/>
    <w:rsid w:val="00602E24"/>
    <w:rsid w:val="00602E93"/>
    <w:rsid w:val="00602F5C"/>
    <w:rsid w:val="00602FA8"/>
    <w:rsid w:val="00603069"/>
    <w:rsid w:val="006030C9"/>
    <w:rsid w:val="006031F4"/>
    <w:rsid w:val="00603372"/>
    <w:rsid w:val="00603401"/>
    <w:rsid w:val="0060355E"/>
    <w:rsid w:val="00603740"/>
    <w:rsid w:val="006037D0"/>
    <w:rsid w:val="00603888"/>
    <w:rsid w:val="0060390B"/>
    <w:rsid w:val="006039AD"/>
    <w:rsid w:val="006039F2"/>
    <w:rsid w:val="00603A3B"/>
    <w:rsid w:val="00603AE1"/>
    <w:rsid w:val="00603B0F"/>
    <w:rsid w:val="00603B4D"/>
    <w:rsid w:val="00603BC3"/>
    <w:rsid w:val="00603BCE"/>
    <w:rsid w:val="00603D23"/>
    <w:rsid w:val="00603D2F"/>
    <w:rsid w:val="00603D80"/>
    <w:rsid w:val="00603DCC"/>
    <w:rsid w:val="00603E17"/>
    <w:rsid w:val="00603EA1"/>
    <w:rsid w:val="00603F17"/>
    <w:rsid w:val="0060403E"/>
    <w:rsid w:val="00604066"/>
    <w:rsid w:val="00604495"/>
    <w:rsid w:val="00604581"/>
    <w:rsid w:val="00604808"/>
    <w:rsid w:val="006048F0"/>
    <w:rsid w:val="00604992"/>
    <w:rsid w:val="00604AC1"/>
    <w:rsid w:val="00604B2F"/>
    <w:rsid w:val="00604B3F"/>
    <w:rsid w:val="00604BB5"/>
    <w:rsid w:val="00604BCD"/>
    <w:rsid w:val="00604BE3"/>
    <w:rsid w:val="00604CCA"/>
    <w:rsid w:val="00604D1E"/>
    <w:rsid w:val="00604D9A"/>
    <w:rsid w:val="00604DB0"/>
    <w:rsid w:val="00604DB6"/>
    <w:rsid w:val="00604EE7"/>
    <w:rsid w:val="00604FC4"/>
    <w:rsid w:val="0060511A"/>
    <w:rsid w:val="006052A4"/>
    <w:rsid w:val="006053F0"/>
    <w:rsid w:val="0060541E"/>
    <w:rsid w:val="0060546D"/>
    <w:rsid w:val="00605509"/>
    <w:rsid w:val="006056E1"/>
    <w:rsid w:val="006058D9"/>
    <w:rsid w:val="006058DD"/>
    <w:rsid w:val="00605CCD"/>
    <w:rsid w:val="00605D6F"/>
    <w:rsid w:val="00605E63"/>
    <w:rsid w:val="00605E6E"/>
    <w:rsid w:val="0060605C"/>
    <w:rsid w:val="006060AF"/>
    <w:rsid w:val="00606129"/>
    <w:rsid w:val="006061BC"/>
    <w:rsid w:val="00606208"/>
    <w:rsid w:val="00606279"/>
    <w:rsid w:val="00606280"/>
    <w:rsid w:val="0060646C"/>
    <w:rsid w:val="006064F6"/>
    <w:rsid w:val="00606573"/>
    <w:rsid w:val="006065C4"/>
    <w:rsid w:val="0060661B"/>
    <w:rsid w:val="00606676"/>
    <w:rsid w:val="006066FA"/>
    <w:rsid w:val="0060671C"/>
    <w:rsid w:val="00606833"/>
    <w:rsid w:val="00606892"/>
    <w:rsid w:val="0060696D"/>
    <w:rsid w:val="006069D5"/>
    <w:rsid w:val="00606A8D"/>
    <w:rsid w:val="00606EF9"/>
    <w:rsid w:val="00607285"/>
    <w:rsid w:val="006073E1"/>
    <w:rsid w:val="00607600"/>
    <w:rsid w:val="00607679"/>
    <w:rsid w:val="006076A7"/>
    <w:rsid w:val="006076E5"/>
    <w:rsid w:val="00607713"/>
    <w:rsid w:val="00607740"/>
    <w:rsid w:val="006077A0"/>
    <w:rsid w:val="00607893"/>
    <w:rsid w:val="006078B9"/>
    <w:rsid w:val="00607916"/>
    <w:rsid w:val="0060792E"/>
    <w:rsid w:val="00607942"/>
    <w:rsid w:val="00607955"/>
    <w:rsid w:val="00607962"/>
    <w:rsid w:val="0060796A"/>
    <w:rsid w:val="006079BC"/>
    <w:rsid w:val="00607AEE"/>
    <w:rsid w:val="00607B09"/>
    <w:rsid w:val="00607B79"/>
    <w:rsid w:val="00607BD8"/>
    <w:rsid w:val="00607BF1"/>
    <w:rsid w:val="00607CAD"/>
    <w:rsid w:val="00607D01"/>
    <w:rsid w:val="00607D14"/>
    <w:rsid w:val="00607D37"/>
    <w:rsid w:val="00607D73"/>
    <w:rsid w:val="00610053"/>
    <w:rsid w:val="006101B2"/>
    <w:rsid w:val="006101E3"/>
    <w:rsid w:val="0061036F"/>
    <w:rsid w:val="006103C0"/>
    <w:rsid w:val="006103FE"/>
    <w:rsid w:val="00610477"/>
    <w:rsid w:val="00610651"/>
    <w:rsid w:val="0061067B"/>
    <w:rsid w:val="006106DD"/>
    <w:rsid w:val="00610732"/>
    <w:rsid w:val="006107BA"/>
    <w:rsid w:val="00610845"/>
    <w:rsid w:val="006108FE"/>
    <w:rsid w:val="00610954"/>
    <w:rsid w:val="0061098A"/>
    <w:rsid w:val="00610AF3"/>
    <w:rsid w:val="00610E6C"/>
    <w:rsid w:val="00610E78"/>
    <w:rsid w:val="00611048"/>
    <w:rsid w:val="0061113C"/>
    <w:rsid w:val="00611242"/>
    <w:rsid w:val="00611356"/>
    <w:rsid w:val="0061143D"/>
    <w:rsid w:val="006114E6"/>
    <w:rsid w:val="006115D9"/>
    <w:rsid w:val="006116E2"/>
    <w:rsid w:val="00611856"/>
    <w:rsid w:val="0061197E"/>
    <w:rsid w:val="006119E5"/>
    <w:rsid w:val="00611AEC"/>
    <w:rsid w:val="00611C5B"/>
    <w:rsid w:val="00611CEC"/>
    <w:rsid w:val="00611E4A"/>
    <w:rsid w:val="00611E52"/>
    <w:rsid w:val="00611E5C"/>
    <w:rsid w:val="00611E84"/>
    <w:rsid w:val="00611EF4"/>
    <w:rsid w:val="00611F80"/>
    <w:rsid w:val="00611FD6"/>
    <w:rsid w:val="006120F9"/>
    <w:rsid w:val="0061215D"/>
    <w:rsid w:val="00612286"/>
    <w:rsid w:val="00612330"/>
    <w:rsid w:val="0061235F"/>
    <w:rsid w:val="00612394"/>
    <w:rsid w:val="00612404"/>
    <w:rsid w:val="00612431"/>
    <w:rsid w:val="006124BA"/>
    <w:rsid w:val="00612523"/>
    <w:rsid w:val="0061257C"/>
    <w:rsid w:val="006125AE"/>
    <w:rsid w:val="006125B0"/>
    <w:rsid w:val="006125D9"/>
    <w:rsid w:val="006125E6"/>
    <w:rsid w:val="006126E5"/>
    <w:rsid w:val="006127D3"/>
    <w:rsid w:val="006127DB"/>
    <w:rsid w:val="00612826"/>
    <w:rsid w:val="006128C4"/>
    <w:rsid w:val="00612942"/>
    <w:rsid w:val="0061296B"/>
    <w:rsid w:val="00612A73"/>
    <w:rsid w:val="00612AB1"/>
    <w:rsid w:val="00612C05"/>
    <w:rsid w:val="00612C22"/>
    <w:rsid w:val="00612D3A"/>
    <w:rsid w:val="00612E82"/>
    <w:rsid w:val="00612FF3"/>
    <w:rsid w:val="00613012"/>
    <w:rsid w:val="0061312D"/>
    <w:rsid w:val="00613136"/>
    <w:rsid w:val="0061314F"/>
    <w:rsid w:val="00613213"/>
    <w:rsid w:val="00613253"/>
    <w:rsid w:val="0061325C"/>
    <w:rsid w:val="00613274"/>
    <w:rsid w:val="0061329B"/>
    <w:rsid w:val="00613329"/>
    <w:rsid w:val="0061338C"/>
    <w:rsid w:val="006133CA"/>
    <w:rsid w:val="006133EE"/>
    <w:rsid w:val="0061343E"/>
    <w:rsid w:val="00613451"/>
    <w:rsid w:val="00613492"/>
    <w:rsid w:val="006134D3"/>
    <w:rsid w:val="00613525"/>
    <w:rsid w:val="0061362E"/>
    <w:rsid w:val="00613734"/>
    <w:rsid w:val="00613895"/>
    <w:rsid w:val="00613AC1"/>
    <w:rsid w:val="00613BE5"/>
    <w:rsid w:val="00613C47"/>
    <w:rsid w:val="00613C77"/>
    <w:rsid w:val="00613C89"/>
    <w:rsid w:val="00613CD8"/>
    <w:rsid w:val="00613D17"/>
    <w:rsid w:val="00613D96"/>
    <w:rsid w:val="00613DCA"/>
    <w:rsid w:val="00613E79"/>
    <w:rsid w:val="00613F0B"/>
    <w:rsid w:val="0061405A"/>
    <w:rsid w:val="006140F4"/>
    <w:rsid w:val="006140F5"/>
    <w:rsid w:val="00614164"/>
    <w:rsid w:val="0061421F"/>
    <w:rsid w:val="00614297"/>
    <w:rsid w:val="006144EC"/>
    <w:rsid w:val="006146CD"/>
    <w:rsid w:val="00614837"/>
    <w:rsid w:val="00614880"/>
    <w:rsid w:val="006149A2"/>
    <w:rsid w:val="00614AD6"/>
    <w:rsid w:val="00614B0D"/>
    <w:rsid w:val="00614BC4"/>
    <w:rsid w:val="00614C33"/>
    <w:rsid w:val="00614CC7"/>
    <w:rsid w:val="00614D0C"/>
    <w:rsid w:val="00614DAD"/>
    <w:rsid w:val="00614DEB"/>
    <w:rsid w:val="00614F7B"/>
    <w:rsid w:val="00614FA0"/>
    <w:rsid w:val="006150AF"/>
    <w:rsid w:val="006150F3"/>
    <w:rsid w:val="00615107"/>
    <w:rsid w:val="00615208"/>
    <w:rsid w:val="0061527A"/>
    <w:rsid w:val="006152B8"/>
    <w:rsid w:val="006154B4"/>
    <w:rsid w:val="0061574F"/>
    <w:rsid w:val="0061579C"/>
    <w:rsid w:val="006157F6"/>
    <w:rsid w:val="0061584C"/>
    <w:rsid w:val="006158A0"/>
    <w:rsid w:val="006158CD"/>
    <w:rsid w:val="006158EC"/>
    <w:rsid w:val="0061595B"/>
    <w:rsid w:val="006159AA"/>
    <w:rsid w:val="00615A23"/>
    <w:rsid w:val="00615A2C"/>
    <w:rsid w:val="00615C38"/>
    <w:rsid w:val="00615E77"/>
    <w:rsid w:val="00615EF1"/>
    <w:rsid w:val="00615F3E"/>
    <w:rsid w:val="00615FE0"/>
    <w:rsid w:val="006160A0"/>
    <w:rsid w:val="006161D6"/>
    <w:rsid w:val="00616210"/>
    <w:rsid w:val="00616246"/>
    <w:rsid w:val="00616248"/>
    <w:rsid w:val="00616284"/>
    <w:rsid w:val="006162CA"/>
    <w:rsid w:val="006163F7"/>
    <w:rsid w:val="006163F8"/>
    <w:rsid w:val="00616432"/>
    <w:rsid w:val="00616437"/>
    <w:rsid w:val="00616461"/>
    <w:rsid w:val="00616557"/>
    <w:rsid w:val="0061656E"/>
    <w:rsid w:val="0061662F"/>
    <w:rsid w:val="00616666"/>
    <w:rsid w:val="006166C8"/>
    <w:rsid w:val="006167F5"/>
    <w:rsid w:val="006168F5"/>
    <w:rsid w:val="006168F9"/>
    <w:rsid w:val="0061694F"/>
    <w:rsid w:val="00616989"/>
    <w:rsid w:val="006169DC"/>
    <w:rsid w:val="00616A75"/>
    <w:rsid w:val="00616B96"/>
    <w:rsid w:val="00616BEB"/>
    <w:rsid w:val="00616C13"/>
    <w:rsid w:val="00616C24"/>
    <w:rsid w:val="00616CA6"/>
    <w:rsid w:val="00616DBF"/>
    <w:rsid w:val="00616E41"/>
    <w:rsid w:val="00616E5E"/>
    <w:rsid w:val="00616EA4"/>
    <w:rsid w:val="00616EBC"/>
    <w:rsid w:val="00616F78"/>
    <w:rsid w:val="00616F85"/>
    <w:rsid w:val="006171CE"/>
    <w:rsid w:val="00617238"/>
    <w:rsid w:val="006172A0"/>
    <w:rsid w:val="006172F6"/>
    <w:rsid w:val="00617318"/>
    <w:rsid w:val="00617414"/>
    <w:rsid w:val="00617420"/>
    <w:rsid w:val="00617427"/>
    <w:rsid w:val="006174A7"/>
    <w:rsid w:val="006174F0"/>
    <w:rsid w:val="00617732"/>
    <w:rsid w:val="00617866"/>
    <w:rsid w:val="0061786C"/>
    <w:rsid w:val="00617894"/>
    <w:rsid w:val="00617DC7"/>
    <w:rsid w:val="00617E12"/>
    <w:rsid w:val="00617EA2"/>
    <w:rsid w:val="00617EE4"/>
    <w:rsid w:val="00617F25"/>
    <w:rsid w:val="00620006"/>
    <w:rsid w:val="00620052"/>
    <w:rsid w:val="006201CF"/>
    <w:rsid w:val="00620246"/>
    <w:rsid w:val="00620315"/>
    <w:rsid w:val="0062031F"/>
    <w:rsid w:val="00620362"/>
    <w:rsid w:val="006204DC"/>
    <w:rsid w:val="0062050D"/>
    <w:rsid w:val="00620531"/>
    <w:rsid w:val="00620555"/>
    <w:rsid w:val="006205A1"/>
    <w:rsid w:val="006205E5"/>
    <w:rsid w:val="00620670"/>
    <w:rsid w:val="00620829"/>
    <w:rsid w:val="00620832"/>
    <w:rsid w:val="00620945"/>
    <w:rsid w:val="00620974"/>
    <w:rsid w:val="00620C2C"/>
    <w:rsid w:val="00620C9C"/>
    <w:rsid w:val="00620EE3"/>
    <w:rsid w:val="00620F50"/>
    <w:rsid w:val="0062100E"/>
    <w:rsid w:val="0062101D"/>
    <w:rsid w:val="006210D5"/>
    <w:rsid w:val="00621179"/>
    <w:rsid w:val="0062123A"/>
    <w:rsid w:val="006212E0"/>
    <w:rsid w:val="00621361"/>
    <w:rsid w:val="006213C9"/>
    <w:rsid w:val="006213EB"/>
    <w:rsid w:val="0062141A"/>
    <w:rsid w:val="00621457"/>
    <w:rsid w:val="00621539"/>
    <w:rsid w:val="006216D4"/>
    <w:rsid w:val="006216F4"/>
    <w:rsid w:val="0062172A"/>
    <w:rsid w:val="0062173D"/>
    <w:rsid w:val="00621758"/>
    <w:rsid w:val="006217AF"/>
    <w:rsid w:val="0062185D"/>
    <w:rsid w:val="006218D4"/>
    <w:rsid w:val="00621BE3"/>
    <w:rsid w:val="00621C9B"/>
    <w:rsid w:val="00621DD2"/>
    <w:rsid w:val="00621ED7"/>
    <w:rsid w:val="00621FCE"/>
    <w:rsid w:val="00621FE2"/>
    <w:rsid w:val="00621FE5"/>
    <w:rsid w:val="0062200F"/>
    <w:rsid w:val="00622113"/>
    <w:rsid w:val="0062211A"/>
    <w:rsid w:val="006221A0"/>
    <w:rsid w:val="006222D9"/>
    <w:rsid w:val="00622374"/>
    <w:rsid w:val="0062243C"/>
    <w:rsid w:val="00622557"/>
    <w:rsid w:val="006225F9"/>
    <w:rsid w:val="0062269D"/>
    <w:rsid w:val="006226E5"/>
    <w:rsid w:val="00622727"/>
    <w:rsid w:val="00622774"/>
    <w:rsid w:val="006228A7"/>
    <w:rsid w:val="00622920"/>
    <w:rsid w:val="00622A1C"/>
    <w:rsid w:val="00622BEC"/>
    <w:rsid w:val="00622BFB"/>
    <w:rsid w:val="00622C5B"/>
    <w:rsid w:val="00622CD8"/>
    <w:rsid w:val="00622D6D"/>
    <w:rsid w:val="00622D7B"/>
    <w:rsid w:val="00622DD5"/>
    <w:rsid w:val="00622E8C"/>
    <w:rsid w:val="00622EC1"/>
    <w:rsid w:val="00622F08"/>
    <w:rsid w:val="00622F48"/>
    <w:rsid w:val="00623067"/>
    <w:rsid w:val="0062308A"/>
    <w:rsid w:val="00623092"/>
    <w:rsid w:val="00623099"/>
    <w:rsid w:val="00623100"/>
    <w:rsid w:val="0062310A"/>
    <w:rsid w:val="0062317F"/>
    <w:rsid w:val="006232BC"/>
    <w:rsid w:val="00623333"/>
    <w:rsid w:val="0062335E"/>
    <w:rsid w:val="00623517"/>
    <w:rsid w:val="0062354A"/>
    <w:rsid w:val="00623550"/>
    <w:rsid w:val="00623630"/>
    <w:rsid w:val="0062366A"/>
    <w:rsid w:val="00623697"/>
    <w:rsid w:val="00623858"/>
    <w:rsid w:val="0062396B"/>
    <w:rsid w:val="0062397D"/>
    <w:rsid w:val="00623992"/>
    <w:rsid w:val="006239A6"/>
    <w:rsid w:val="006239F3"/>
    <w:rsid w:val="00623BF9"/>
    <w:rsid w:val="00623C06"/>
    <w:rsid w:val="00623C50"/>
    <w:rsid w:val="00623CD0"/>
    <w:rsid w:val="00623F0E"/>
    <w:rsid w:val="00623F56"/>
    <w:rsid w:val="00623FB9"/>
    <w:rsid w:val="0062413F"/>
    <w:rsid w:val="006241BA"/>
    <w:rsid w:val="0062425C"/>
    <w:rsid w:val="006242C1"/>
    <w:rsid w:val="006242EC"/>
    <w:rsid w:val="00624383"/>
    <w:rsid w:val="0062445F"/>
    <w:rsid w:val="00624464"/>
    <w:rsid w:val="006244A4"/>
    <w:rsid w:val="00624563"/>
    <w:rsid w:val="0062466D"/>
    <w:rsid w:val="006246F0"/>
    <w:rsid w:val="006247B6"/>
    <w:rsid w:val="0062489F"/>
    <w:rsid w:val="006248BB"/>
    <w:rsid w:val="0062494A"/>
    <w:rsid w:val="00624B13"/>
    <w:rsid w:val="00624B2D"/>
    <w:rsid w:val="00624B7F"/>
    <w:rsid w:val="00624BBD"/>
    <w:rsid w:val="00624BCB"/>
    <w:rsid w:val="00624BD1"/>
    <w:rsid w:val="00624E5B"/>
    <w:rsid w:val="00625063"/>
    <w:rsid w:val="006250F6"/>
    <w:rsid w:val="0062510A"/>
    <w:rsid w:val="00625318"/>
    <w:rsid w:val="00625320"/>
    <w:rsid w:val="00625409"/>
    <w:rsid w:val="00625429"/>
    <w:rsid w:val="00625492"/>
    <w:rsid w:val="006254AE"/>
    <w:rsid w:val="00625512"/>
    <w:rsid w:val="006255F7"/>
    <w:rsid w:val="00625607"/>
    <w:rsid w:val="0062567A"/>
    <w:rsid w:val="00625748"/>
    <w:rsid w:val="006257A4"/>
    <w:rsid w:val="006257AD"/>
    <w:rsid w:val="006258DB"/>
    <w:rsid w:val="00625976"/>
    <w:rsid w:val="006259A6"/>
    <w:rsid w:val="00625A26"/>
    <w:rsid w:val="00625A2F"/>
    <w:rsid w:val="00625BB4"/>
    <w:rsid w:val="00625CB2"/>
    <w:rsid w:val="00625DA8"/>
    <w:rsid w:val="00625FA2"/>
    <w:rsid w:val="00626065"/>
    <w:rsid w:val="006261A0"/>
    <w:rsid w:val="0062628C"/>
    <w:rsid w:val="00626363"/>
    <w:rsid w:val="006263B1"/>
    <w:rsid w:val="006263E7"/>
    <w:rsid w:val="00626418"/>
    <w:rsid w:val="00626492"/>
    <w:rsid w:val="0062655C"/>
    <w:rsid w:val="006265BE"/>
    <w:rsid w:val="006265EB"/>
    <w:rsid w:val="0062660A"/>
    <w:rsid w:val="0062663C"/>
    <w:rsid w:val="00626876"/>
    <w:rsid w:val="0062687E"/>
    <w:rsid w:val="0062688B"/>
    <w:rsid w:val="006268BF"/>
    <w:rsid w:val="00626CDC"/>
    <w:rsid w:val="00626D0A"/>
    <w:rsid w:val="00626D43"/>
    <w:rsid w:val="00626D68"/>
    <w:rsid w:val="00626D85"/>
    <w:rsid w:val="00626DFB"/>
    <w:rsid w:val="0062722A"/>
    <w:rsid w:val="0062724A"/>
    <w:rsid w:val="006273F1"/>
    <w:rsid w:val="00627785"/>
    <w:rsid w:val="0062779F"/>
    <w:rsid w:val="006277DD"/>
    <w:rsid w:val="00627950"/>
    <w:rsid w:val="00627965"/>
    <w:rsid w:val="00627B34"/>
    <w:rsid w:val="00627B4B"/>
    <w:rsid w:val="00627B68"/>
    <w:rsid w:val="00627BE0"/>
    <w:rsid w:val="00627D96"/>
    <w:rsid w:val="00627F27"/>
    <w:rsid w:val="006300B2"/>
    <w:rsid w:val="00630203"/>
    <w:rsid w:val="00630298"/>
    <w:rsid w:val="00630356"/>
    <w:rsid w:val="006303C3"/>
    <w:rsid w:val="006303E3"/>
    <w:rsid w:val="00630515"/>
    <w:rsid w:val="00630531"/>
    <w:rsid w:val="006305AF"/>
    <w:rsid w:val="006305B9"/>
    <w:rsid w:val="006305E6"/>
    <w:rsid w:val="00630610"/>
    <w:rsid w:val="00630737"/>
    <w:rsid w:val="006307E5"/>
    <w:rsid w:val="00630873"/>
    <w:rsid w:val="00630B06"/>
    <w:rsid w:val="00630B25"/>
    <w:rsid w:val="00630D6A"/>
    <w:rsid w:val="00630DCC"/>
    <w:rsid w:val="00630E11"/>
    <w:rsid w:val="006310F7"/>
    <w:rsid w:val="00631120"/>
    <w:rsid w:val="0063114A"/>
    <w:rsid w:val="00631258"/>
    <w:rsid w:val="00631261"/>
    <w:rsid w:val="00631341"/>
    <w:rsid w:val="00631396"/>
    <w:rsid w:val="00631538"/>
    <w:rsid w:val="0063157D"/>
    <w:rsid w:val="006315E4"/>
    <w:rsid w:val="00631626"/>
    <w:rsid w:val="00631727"/>
    <w:rsid w:val="00631781"/>
    <w:rsid w:val="006317B8"/>
    <w:rsid w:val="0063180D"/>
    <w:rsid w:val="0063189A"/>
    <w:rsid w:val="006319B1"/>
    <w:rsid w:val="006319D5"/>
    <w:rsid w:val="00631A28"/>
    <w:rsid w:val="00631B05"/>
    <w:rsid w:val="00631B51"/>
    <w:rsid w:val="00631C67"/>
    <w:rsid w:val="00631D28"/>
    <w:rsid w:val="00631F34"/>
    <w:rsid w:val="00631F77"/>
    <w:rsid w:val="00632039"/>
    <w:rsid w:val="00632166"/>
    <w:rsid w:val="00632294"/>
    <w:rsid w:val="006322E3"/>
    <w:rsid w:val="0063237C"/>
    <w:rsid w:val="00632383"/>
    <w:rsid w:val="0063247B"/>
    <w:rsid w:val="00632554"/>
    <w:rsid w:val="006325D4"/>
    <w:rsid w:val="006325E4"/>
    <w:rsid w:val="0063260B"/>
    <w:rsid w:val="00632750"/>
    <w:rsid w:val="0063275B"/>
    <w:rsid w:val="00632766"/>
    <w:rsid w:val="006327E1"/>
    <w:rsid w:val="0063289E"/>
    <w:rsid w:val="006328EE"/>
    <w:rsid w:val="00632A39"/>
    <w:rsid w:val="00632A84"/>
    <w:rsid w:val="00632C45"/>
    <w:rsid w:val="00632D00"/>
    <w:rsid w:val="00632D42"/>
    <w:rsid w:val="00632D66"/>
    <w:rsid w:val="00632D7D"/>
    <w:rsid w:val="00632DBD"/>
    <w:rsid w:val="00632DD2"/>
    <w:rsid w:val="00632DFA"/>
    <w:rsid w:val="00632EE6"/>
    <w:rsid w:val="00632FEB"/>
    <w:rsid w:val="00633008"/>
    <w:rsid w:val="0063301D"/>
    <w:rsid w:val="00633186"/>
    <w:rsid w:val="0063321C"/>
    <w:rsid w:val="00633316"/>
    <w:rsid w:val="006333B2"/>
    <w:rsid w:val="006333E9"/>
    <w:rsid w:val="0063345F"/>
    <w:rsid w:val="00633548"/>
    <w:rsid w:val="006335FB"/>
    <w:rsid w:val="0063364E"/>
    <w:rsid w:val="006336C3"/>
    <w:rsid w:val="00633749"/>
    <w:rsid w:val="0063387A"/>
    <w:rsid w:val="006338EC"/>
    <w:rsid w:val="00633902"/>
    <w:rsid w:val="00633910"/>
    <w:rsid w:val="006339A1"/>
    <w:rsid w:val="006339E8"/>
    <w:rsid w:val="00633B56"/>
    <w:rsid w:val="00633C97"/>
    <w:rsid w:val="00633D9B"/>
    <w:rsid w:val="00633E87"/>
    <w:rsid w:val="00633EB9"/>
    <w:rsid w:val="00633EFD"/>
    <w:rsid w:val="00633F85"/>
    <w:rsid w:val="00633FD6"/>
    <w:rsid w:val="0063406F"/>
    <w:rsid w:val="006340C2"/>
    <w:rsid w:val="006341A3"/>
    <w:rsid w:val="00634251"/>
    <w:rsid w:val="006342FB"/>
    <w:rsid w:val="006344A2"/>
    <w:rsid w:val="0063458B"/>
    <w:rsid w:val="006345C3"/>
    <w:rsid w:val="00634687"/>
    <w:rsid w:val="00634833"/>
    <w:rsid w:val="0063487A"/>
    <w:rsid w:val="0063488A"/>
    <w:rsid w:val="00634ADE"/>
    <w:rsid w:val="00634B66"/>
    <w:rsid w:val="00634BEC"/>
    <w:rsid w:val="00634CA1"/>
    <w:rsid w:val="00634DB7"/>
    <w:rsid w:val="00634E6D"/>
    <w:rsid w:val="00634ED8"/>
    <w:rsid w:val="00634F6F"/>
    <w:rsid w:val="00634FB8"/>
    <w:rsid w:val="0063503F"/>
    <w:rsid w:val="00635079"/>
    <w:rsid w:val="00635100"/>
    <w:rsid w:val="006352FE"/>
    <w:rsid w:val="0063532B"/>
    <w:rsid w:val="0063558C"/>
    <w:rsid w:val="00635652"/>
    <w:rsid w:val="00635779"/>
    <w:rsid w:val="00635815"/>
    <w:rsid w:val="006358BA"/>
    <w:rsid w:val="006358C1"/>
    <w:rsid w:val="006358CE"/>
    <w:rsid w:val="00635A08"/>
    <w:rsid w:val="00635AB9"/>
    <w:rsid w:val="00635B05"/>
    <w:rsid w:val="00635B30"/>
    <w:rsid w:val="00635C3B"/>
    <w:rsid w:val="00635D0C"/>
    <w:rsid w:val="00635DF7"/>
    <w:rsid w:val="00635DFB"/>
    <w:rsid w:val="00635E96"/>
    <w:rsid w:val="00635EA4"/>
    <w:rsid w:val="00635F1B"/>
    <w:rsid w:val="00635F20"/>
    <w:rsid w:val="0063602C"/>
    <w:rsid w:val="00636073"/>
    <w:rsid w:val="0063624E"/>
    <w:rsid w:val="00636424"/>
    <w:rsid w:val="0063657D"/>
    <w:rsid w:val="0063657F"/>
    <w:rsid w:val="0063669C"/>
    <w:rsid w:val="006366C6"/>
    <w:rsid w:val="00636977"/>
    <w:rsid w:val="006369AF"/>
    <w:rsid w:val="006369DD"/>
    <w:rsid w:val="00636A75"/>
    <w:rsid w:val="00636ABF"/>
    <w:rsid w:val="00636B5C"/>
    <w:rsid w:val="00636B90"/>
    <w:rsid w:val="00636BA8"/>
    <w:rsid w:val="00636BBB"/>
    <w:rsid w:val="00636C76"/>
    <w:rsid w:val="00636D1C"/>
    <w:rsid w:val="00636E4E"/>
    <w:rsid w:val="00636F65"/>
    <w:rsid w:val="00636FA9"/>
    <w:rsid w:val="006370DD"/>
    <w:rsid w:val="00637164"/>
    <w:rsid w:val="006371D4"/>
    <w:rsid w:val="00637302"/>
    <w:rsid w:val="0063730E"/>
    <w:rsid w:val="006374A6"/>
    <w:rsid w:val="0063757E"/>
    <w:rsid w:val="00637713"/>
    <w:rsid w:val="00637733"/>
    <w:rsid w:val="0063782C"/>
    <w:rsid w:val="00637857"/>
    <w:rsid w:val="006379EF"/>
    <w:rsid w:val="00637B39"/>
    <w:rsid w:val="00637C1A"/>
    <w:rsid w:val="00637DE4"/>
    <w:rsid w:val="00637EEF"/>
    <w:rsid w:val="006400C9"/>
    <w:rsid w:val="006400E3"/>
    <w:rsid w:val="00640106"/>
    <w:rsid w:val="0064012C"/>
    <w:rsid w:val="00640205"/>
    <w:rsid w:val="00640221"/>
    <w:rsid w:val="006402D6"/>
    <w:rsid w:val="00640331"/>
    <w:rsid w:val="006403EC"/>
    <w:rsid w:val="0064060D"/>
    <w:rsid w:val="006406BD"/>
    <w:rsid w:val="00640750"/>
    <w:rsid w:val="0064079F"/>
    <w:rsid w:val="006407FC"/>
    <w:rsid w:val="00640833"/>
    <w:rsid w:val="0064086A"/>
    <w:rsid w:val="0064092E"/>
    <w:rsid w:val="00640931"/>
    <w:rsid w:val="00640991"/>
    <w:rsid w:val="00640AAD"/>
    <w:rsid w:val="00640BB6"/>
    <w:rsid w:val="00640CB8"/>
    <w:rsid w:val="00640D39"/>
    <w:rsid w:val="00640D93"/>
    <w:rsid w:val="00640EAE"/>
    <w:rsid w:val="00640EED"/>
    <w:rsid w:val="00640FAE"/>
    <w:rsid w:val="0064113B"/>
    <w:rsid w:val="006413B0"/>
    <w:rsid w:val="00641417"/>
    <w:rsid w:val="00641442"/>
    <w:rsid w:val="0064150C"/>
    <w:rsid w:val="006415BC"/>
    <w:rsid w:val="006418FA"/>
    <w:rsid w:val="00641953"/>
    <w:rsid w:val="00641A11"/>
    <w:rsid w:val="00641A41"/>
    <w:rsid w:val="00641AAC"/>
    <w:rsid w:val="00641C5A"/>
    <w:rsid w:val="00641E02"/>
    <w:rsid w:val="00641E6A"/>
    <w:rsid w:val="00641EA1"/>
    <w:rsid w:val="00641FE9"/>
    <w:rsid w:val="00642175"/>
    <w:rsid w:val="006421E0"/>
    <w:rsid w:val="006421ED"/>
    <w:rsid w:val="00642216"/>
    <w:rsid w:val="0064221F"/>
    <w:rsid w:val="00642332"/>
    <w:rsid w:val="00642626"/>
    <w:rsid w:val="00642653"/>
    <w:rsid w:val="0064274B"/>
    <w:rsid w:val="00642805"/>
    <w:rsid w:val="0064293F"/>
    <w:rsid w:val="006429A2"/>
    <w:rsid w:val="00642A66"/>
    <w:rsid w:val="00642D60"/>
    <w:rsid w:val="00642D62"/>
    <w:rsid w:val="00642F32"/>
    <w:rsid w:val="00642F3D"/>
    <w:rsid w:val="00642F3E"/>
    <w:rsid w:val="006430A9"/>
    <w:rsid w:val="006431C4"/>
    <w:rsid w:val="006432C9"/>
    <w:rsid w:val="006433E2"/>
    <w:rsid w:val="00643542"/>
    <w:rsid w:val="00643588"/>
    <w:rsid w:val="00643647"/>
    <w:rsid w:val="00643694"/>
    <w:rsid w:val="006436A0"/>
    <w:rsid w:val="006436C1"/>
    <w:rsid w:val="006436EF"/>
    <w:rsid w:val="0064378A"/>
    <w:rsid w:val="006437E6"/>
    <w:rsid w:val="00643841"/>
    <w:rsid w:val="00643967"/>
    <w:rsid w:val="00643981"/>
    <w:rsid w:val="006439D0"/>
    <w:rsid w:val="00643AF0"/>
    <w:rsid w:val="00643BAD"/>
    <w:rsid w:val="00643CEF"/>
    <w:rsid w:val="00643CF9"/>
    <w:rsid w:val="00643E4F"/>
    <w:rsid w:val="00643E5B"/>
    <w:rsid w:val="00643E8B"/>
    <w:rsid w:val="00643EF1"/>
    <w:rsid w:val="00644047"/>
    <w:rsid w:val="006440B6"/>
    <w:rsid w:val="00644122"/>
    <w:rsid w:val="00644145"/>
    <w:rsid w:val="006441EE"/>
    <w:rsid w:val="00644270"/>
    <w:rsid w:val="00644271"/>
    <w:rsid w:val="006442A5"/>
    <w:rsid w:val="006443AD"/>
    <w:rsid w:val="0064443A"/>
    <w:rsid w:val="00644477"/>
    <w:rsid w:val="00644743"/>
    <w:rsid w:val="00644768"/>
    <w:rsid w:val="00644817"/>
    <w:rsid w:val="0064481B"/>
    <w:rsid w:val="006448AF"/>
    <w:rsid w:val="006448BA"/>
    <w:rsid w:val="00644A6C"/>
    <w:rsid w:val="00644B6D"/>
    <w:rsid w:val="00644B76"/>
    <w:rsid w:val="00644C05"/>
    <w:rsid w:val="00644DA1"/>
    <w:rsid w:val="00644DD9"/>
    <w:rsid w:val="0064506A"/>
    <w:rsid w:val="00645079"/>
    <w:rsid w:val="0064512B"/>
    <w:rsid w:val="00645216"/>
    <w:rsid w:val="00645336"/>
    <w:rsid w:val="0064538B"/>
    <w:rsid w:val="0064539A"/>
    <w:rsid w:val="0064542C"/>
    <w:rsid w:val="0064559B"/>
    <w:rsid w:val="00645604"/>
    <w:rsid w:val="00645633"/>
    <w:rsid w:val="00645778"/>
    <w:rsid w:val="0064577F"/>
    <w:rsid w:val="006457BF"/>
    <w:rsid w:val="006457FF"/>
    <w:rsid w:val="00645937"/>
    <w:rsid w:val="006459F3"/>
    <w:rsid w:val="00645A01"/>
    <w:rsid w:val="00645A6A"/>
    <w:rsid w:val="00645ADA"/>
    <w:rsid w:val="00645C62"/>
    <w:rsid w:val="00645C69"/>
    <w:rsid w:val="00645E30"/>
    <w:rsid w:val="00645E73"/>
    <w:rsid w:val="00645FF7"/>
    <w:rsid w:val="0064604C"/>
    <w:rsid w:val="0064605E"/>
    <w:rsid w:val="006461FF"/>
    <w:rsid w:val="0064622C"/>
    <w:rsid w:val="00646299"/>
    <w:rsid w:val="0064629E"/>
    <w:rsid w:val="006463B3"/>
    <w:rsid w:val="006463CB"/>
    <w:rsid w:val="00646733"/>
    <w:rsid w:val="0064684E"/>
    <w:rsid w:val="00646A70"/>
    <w:rsid w:val="00646B23"/>
    <w:rsid w:val="00646D5B"/>
    <w:rsid w:val="00646E74"/>
    <w:rsid w:val="00646E92"/>
    <w:rsid w:val="00646F49"/>
    <w:rsid w:val="00646FA8"/>
    <w:rsid w:val="00646FAB"/>
    <w:rsid w:val="00646FAF"/>
    <w:rsid w:val="00647386"/>
    <w:rsid w:val="006473A1"/>
    <w:rsid w:val="0064749E"/>
    <w:rsid w:val="006474C3"/>
    <w:rsid w:val="00647594"/>
    <w:rsid w:val="00647629"/>
    <w:rsid w:val="006476C1"/>
    <w:rsid w:val="0064778B"/>
    <w:rsid w:val="00647932"/>
    <w:rsid w:val="00647C16"/>
    <w:rsid w:val="00647D42"/>
    <w:rsid w:val="00647E0E"/>
    <w:rsid w:val="00647FA9"/>
    <w:rsid w:val="00647FB0"/>
    <w:rsid w:val="006500A7"/>
    <w:rsid w:val="00650102"/>
    <w:rsid w:val="00650136"/>
    <w:rsid w:val="0065019C"/>
    <w:rsid w:val="00650324"/>
    <w:rsid w:val="0065041C"/>
    <w:rsid w:val="006504BC"/>
    <w:rsid w:val="006504BF"/>
    <w:rsid w:val="006504C1"/>
    <w:rsid w:val="00650546"/>
    <w:rsid w:val="006505C5"/>
    <w:rsid w:val="0065064E"/>
    <w:rsid w:val="00650871"/>
    <w:rsid w:val="006509B2"/>
    <w:rsid w:val="00650CBC"/>
    <w:rsid w:val="00650E18"/>
    <w:rsid w:val="00650E6A"/>
    <w:rsid w:val="00650EC0"/>
    <w:rsid w:val="00650EDB"/>
    <w:rsid w:val="00650F46"/>
    <w:rsid w:val="00651096"/>
    <w:rsid w:val="0065121C"/>
    <w:rsid w:val="00651230"/>
    <w:rsid w:val="00651237"/>
    <w:rsid w:val="006513B6"/>
    <w:rsid w:val="006513D2"/>
    <w:rsid w:val="006513D6"/>
    <w:rsid w:val="00651729"/>
    <w:rsid w:val="006518B3"/>
    <w:rsid w:val="006518BD"/>
    <w:rsid w:val="006518C4"/>
    <w:rsid w:val="00651965"/>
    <w:rsid w:val="00651B57"/>
    <w:rsid w:val="00651CE0"/>
    <w:rsid w:val="00651DBA"/>
    <w:rsid w:val="00651DF4"/>
    <w:rsid w:val="00651FF6"/>
    <w:rsid w:val="00652056"/>
    <w:rsid w:val="006520A1"/>
    <w:rsid w:val="00652113"/>
    <w:rsid w:val="00652305"/>
    <w:rsid w:val="00652311"/>
    <w:rsid w:val="00652405"/>
    <w:rsid w:val="0065241A"/>
    <w:rsid w:val="00652644"/>
    <w:rsid w:val="006527F1"/>
    <w:rsid w:val="00652869"/>
    <w:rsid w:val="006529ED"/>
    <w:rsid w:val="00652A78"/>
    <w:rsid w:val="00652AE5"/>
    <w:rsid w:val="00652D7A"/>
    <w:rsid w:val="00652EC3"/>
    <w:rsid w:val="00652EFF"/>
    <w:rsid w:val="00652FB0"/>
    <w:rsid w:val="006530CA"/>
    <w:rsid w:val="0065323B"/>
    <w:rsid w:val="006532F8"/>
    <w:rsid w:val="0065330D"/>
    <w:rsid w:val="00653349"/>
    <w:rsid w:val="0065338C"/>
    <w:rsid w:val="0065342D"/>
    <w:rsid w:val="0065342E"/>
    <w:rsid w:val="00653510"/>
    <w:rsid w:val="0065353B"/>
    <w:rsid w:val="00653549"/>
    <w:rsid w:val="00653719"/>
    <w:rsid w:val="00653945"/>
    <w:rsid w:val="00653A88"/>
    <w:rsid w:val="00653AF4"/>
    <w:rsid w:val="00653B8E"/>
    <w:rsid w:val="00653B95"/>
    <w:rsid w:val="00653BF8"/>
    <w:rsid w:val="00653C95"/>
    <w:rsid w:val="00653E5C"/>
    <w:rsid w:val="00654076"/>
    <w:rsid w:val="006540E6"/>
    <w:rsid w:val="006542B3"/>
    <w:rsid w:val="0065448B"/>
    <w:rsid w:val="00654490"/>
    <w:rsid w:val="00654651"/>
    <w:rsid w:val="006547B2"/>
    <w:rsid w:val="00654891"/>
    <w:rsid w:val="006549FC"/>
    <w:rsid w:val="00654A7D"/>
    <w:rsid w:val="00654A8C"/>
    <w:rsid w:val="00654BC1"/>
    <w:rsid w:val="00654C0B"/>
    <w:rsid w:val="00654DBA"/>
    <w:rsid w:val="00654E0F"/>
    <w:rsid w:val="00654EE4"/>
    <w:rsid w:val="00655039"/>
    <w:rsid w:val="006553B7"/>
    <w:rsid w:val="006553E4"/>
    <w:rsid w:val="00655467"/>
    <w:rsid w:val="006556CC"/>
    <w:rsid w:val="006556DA"/>
    <w:rsid w:val="0065572D"/>
    <w:rsid w:val="0065572F"/>
    <w:rsid w:val="0065574D"/>
    <w:rsid w:val="0065575B"/>
    <w:rsid w:val="006557B8"/>
    <w:rsid w:val="006557FC"/>
    <w:rsid w:val="00655816"/>
    <w:rsid w:val="006558C6"/>
    <w:rsid w:val="0065592F"/>
    <w:rsid w:val="006559E9"/>
    <w:rsid w:val="00655AA2"/>
    <w:rsid w:val="00655B6D"/>
    <w:rsid w:val="00655DC6"/>
    <w:rsid w:val="00655E51"/>
    <w:rsid w:val="00655E55"/>
    <w:rsid w:val="00655EE3"/>
    <w:rsid w:val="0065600A"/>
    <w:rsid w:val="0065609D"/>
    <w:rsid w:val="006560E4"/>
    <w:rsid w:val="0065613C"/>
    <w:rsid w:val="00656292"/>
    <w:rsid w:val="00656460"/>
    <w:rsid w:val="0065647C"/>
    <w:rsid w:val="0065650D"/>
    <w:rsid w:val="00656720"/>
    <w:rsid w:val="006568E3"/>
    <w:rsid w:val="00656949"/>
    <w:rsid w:val="00656EB4"/>
    <w:rsid w:val="00656EDB"/>
    <w:rsid w:val="00656EDE"/>
    <w:rsid w:val="00656F37"/>
    <w:rsid w:val="0065718E"/>
    <w:rsid w:val="006571DB"/>
    <w:rsid w:val="00657344"/>
    <w:rsid w:val="006573D2"/>
    <w:rsid w:val="006574A3"/>
    <w:rsid w:val="006574E9"/>
    <w:rsid w:val="0065754C"/>
    <w:rsid w:val="00657622"/>
    <w:rsid w:val="006576E6"/>
    <w:rsid w:val="00657748"/>
    <w:rsid w:val="006577EE"/>
    <w:rsid w:val="00657871"/>
    <w:rsid w:val="006578D8"/>
    <w:rsid w:val="00657A51"/>
    <w:rsid w:val="00657BBF"/>
    <w:rsid w:val="00657C88"/>
    <w:rsid w:val="00657CEA"/>
    <w:rsid w:val="00657EC1"/>
    <w:rsid w:val="00657EE0"/>
    <w:rsid w:val="00660072"/>
    <w:rsid w:val="006600F9"/>
    <w:rsid w:val="00660110"/>
    <w:rsid w:val="00660183"/>
    <w:rsid w:val="00660184"/>
    <w:rsid w:val="006601AD"/>
    <w:rsid w:val="006602A2"/>
    <w:rsid w:val="00660404"/>
    <w:rsid w:val="00660421"/>
    <w:rsid w:val="00660634"/>
    <w:rsid w:val="006606E1"/>
    <w:rsid w:val="006609B1"/>
    <w:rsid w:val="00660A11"/>
    <w:rsid w:val="00660BE2"/>
    <w:rsid w:val="00660C19"/>
    <w:rsid w:val="00660C1D"/>
    <w:rsid w:val="00660C37"/>
    <w:rsid w:val="00660D45"/>
    <w:rsid w:val="00660E22"/>
    <w:rsid w:val="00660FEF"/>
    <w:rsid w:val="006610E9"/>
    <w:rsid w:val="00661242"/>
    <w:rsid w:val="0066127B"/>
    <w:rsid w:val="006612CF"/>
    <w:rsid w:val="0066130D"/>
    <w:rsid w:val="006614EE"/>
    <w:rsid w:val="006615DC"/>
    <w:rsid w:val="0066161C"/>
    <w:rsid w:val="00661728"/>
    <w:rsid w:val="006617A6"/>
    <w:rsid w:val="006617ED"/>
    <w:rsid w:val="006618B0"/>
    <w:rsid w:val="006618E3"/>
    <w:rsid w:val="006618E8"/>
    <w:rsid w:val="00661907"/>
    <w:rsid w:val="00661923"/>
    <w:rsid w:val="006619E2"/>
    <w:rsid w:val="006619F6"/>
    <w:rsid w:val="00661A02"/>
    <w:rsid w:val="00661AFF"/>
    <w:rsid w:val="00661CF8"/>
    <w:rsid w:val="00661D21"/>
    <w:rsid w:val="00661D6B"/>
    <w:rsid w:val="00661D9D"/>
    <w:rsid w:val="00661DC5"/>
    <w:rsid w:val="00661F9D"/>
    <w:rsid w:val="0066207F"/>
    <w:rsid w:val="006620E2"/>
    <w:rsid w:val="00662183"/>
    <w:rsid w:val="00662209"/>
    <w:rsid w:val="0066220D"/>
    <w:rsid w:val="00662263"/>
    <w:rsid w:val="0066231D"/>
    <w:rsid w:val="006623FB"/>
    <w:rsid w:val="00662477"/>
    <w:rsid w:val="00662513"/>
    <w:rsid w:val="0066254F"/>
    <w:rsid w:val="006626EC"/>
    <w:rsid w:val="00662844"/>
    <w:rsid w:val="00662991"/>
    <w:rsid w:val="006629D5"/>
    <w:rsid w:val="00662AEA"/>
    <w:rsid w:val="00662B82"/>
    <w:rsid w:val="00662BC3"/>
    <w:rsid w:val="00662D6D"/>
    <w:rsid w:val="00662DF9"/>
    <w:rsid w:val="00662FFC"/>
    <w:rsid w:val="0066315D"/>
    <w:rsid w:val="0066324D"/>
    <w:rsid w:val="0066325C"/>
    <w:rsid w:val="006632B0"/>
    <w:rsid w:val="006633C0"/>
    <w:rsid w:val="006635F2"/>
    <w:rsid w:val="00663629"/>
    <w:rsid w:val="006636EC"/>
    <w:rsid w:val="006636F6"/>
    <w:rsid w:val="00663946"/>
    <w:rsid w:val="00663962"/>
    <w:rsid w:val="00663A15"/>
    <w:rsid w:val="00663A31"/>
    <w:rsid w:val="00663AAA"/>
    <w:rsid w:val="00663B35"/>
    <w:rsid w:val="00663C3C"/>
    <w:rsid w:val="00663C42"/>
    <w:rsid w:val="00663CF6"/>
    <w:rsid w:val="00663D00"/>
    <w:rsid w:val="00663D53"/>
    <w:rsid w:val="00663DC1"/>
    <w:rsid w:val="00663E4F"/>
    <w:rsid w:val="00663ED2"/>
    <w:rsid w:val="00663F0E"/>
    <w:rsid w:val="00664290"/>
    <w:rsid w:val="006642D8"/>
    <w:rsid w:val="0066435D"/>
    <w:rsid w:val="006643E1"/>
    <w:rsid w:val="0066441C"/>
    <w:rsid w:val="006644C3"/>
    <w:rsid w:val="006645BE"/>
    <w:rsid w:val="00664682"/>
    <w:rsid w:val="006646D1"/>
    <w:rsid w:val="00664740"/>
    <w:rsid w:val="00664799"/>
    <w:rsid w:val="00664871"/>
    <w:rsid w:val="006649CB"/>
    <w:rsid w:val="00664A00"/>
    <w:rsid w:val="00664CB0"/>
    <w:rsid w:val="00664DA9"/>
    <w:rsid w:val="00664DC9"/>
    <w:rsid w:val="00664E26"/>
    <w:rsid w:val="00664E51"/>
    <w:rsid w:val="00664EA8"/>
    <w:rsid w:val="00664F47"/>
    <w:rsid w:val="00665002"/>
    <w:rsid w:val="00665057"/>
    <w:rsid w:val="0066511A"/>
    <w:rsid w:val="00665157"/>
    <w:rsid w:val="00665268"/>
    <w:rsid w:val="0066526D"/>
    <w:rsid w:val="006652C2"/>
    <w:rsid w:val="006652F1"/>
    <w:rsid w:val="00665362"/>
    <w:rsid w:val="006653A5"/>
    <w:rsid w:val="006653B7"/>
    <w:rsid w:val="00665488"/>
    <w:rsid w:val="006654B9"/>
    <w:rsid w:val="0066551B"/>
    <w:rsid w:val="006655C9"/>
    <w:rsid w:val="006655D7"/>
    <w:rsid w:val="006655D8"/>
    <w:rsid w:val="00665650"/>
    <w:rsid w:val="0066578C"/>
    <w:rsid w:val="00665848"/>
    <w:rsid w:val="006658BE"/>
    <w:rsid w:val="00665994"/>
    <w:rsid w:val="00665AB4"/>
    <w:rsid w:val="00665ACF"/>
    <w:rsid w:val="00665B87"/>
    <w:rsid w:val="00665B88"/>
    <w:rsid w:val="00665B90"/>
    <w:rsid w:val="00665BC9"/>
    <w:rsid w:val="00665C0D"/>
    <w:rsid w:val="00665CD9"/>
    <w:rsid w:val="00665D84"/>
    <w:rsid w:val="00665DA1"/>
    <w:rsid w:val="00665DE9"/>
    <w:rsid w:val="00665E5E"/>
    <w:rsid w:val="00665ED4"/>
    <w:rsid w:val="0066609D"/>
    <w:rsid w:val="006660DF"/>
    <w:rsid w:val="00666103"/>
    <w:rsid w:val="006661D6"/>
    <w:rsid w:val="00666256"/>
    <w:rsid w:val="0066643A"/>
    <w:rsid w:val="00666770"/>
    <w:rsid w:val="006667D0"/>
    <w:rsid w:val="006669A2"/>
    <w:rsid w:val="006669A3"/>
    <w:rsid w:val="00666A54"/>
    <w:rsid w:val="00666A86"/>
    <w:rsid w:val="00666B4A"/>
    <w:rsid w:val="00666D13"/>
    <w:rsid w:val="00666DEF"/>
    <w:rsid w:val="00666E78"/>
    <w:rsid w:val="00666FDB"/>
    <w:rsid w:val="006671B0"/>
    <w:rsid w:val="006671E8"/>
    <w:rsid w:val="006672DC"/>
    <w:rsid w:val="00667413"/>
    <w:rsid w:val="0066746F"/>
    <w:rsid w:val="006675E7"/>
    <w:rsid w:val="006675FD"/>
    <w:rsid w:val="00667607"/>
    <w:rsid w:val="00667693"/>
    <w:rsid w:val="00667731"/>
    <w:rsid w:val="00667754"/>
    <w:rsid w:val="00667958"/>
    <w:rsid w:val="00667B36"/>
    <w:rsid w:val="00667C01"/>
    <w:rsid w:val="00667DA1"/>
    <w:rsid w:val="00670406"/>
    <w:rsid w:val="00670468"/>
    <w:rsid w:val="00670542"/>
    <w:rsid w:val="00670612"/>
    <w:rsid w:val="00670618"/>
    <w:rsid w:val="0067063C"/>
    <w:rsid w:val="00670999"/>
    <w:rsid w:val="006709DC"/>
    <w:rsid w:val="00670A10"/>
    <w:rsid w:val="00670A50"/>
    <w:rsid w:val="00670A85"/>
    <w:rsid w:val="00670AAC"/>
    <w:rsid w:val="00670B24"/>
    <w:rsid w:val="00670BA9"/>
    <w:rsid w:val="00670C55"/>
    <w:rsid w:val="00670C65"/>
    <w:rsid w:val="00670CA6"/>
    <w:rsid w:val="00670CDC"/>
    <w:rsid w:val="00670CE4"/>
    <w:rsid w:val="00670D45"/>
    <w:rsid w:val="00670F92"/>
    <w:rsid w:val="00670FAC"/>
    <w:rsid w:val="00670FC8"/>
    <w:rsid w:val="00671055"/>
    <w:rsid w:val="0067114C"/>
    <w:rsid w:val="00671259"/>
    <w:rsid w:val="006714AC"/>
    <w:rsid w:val="0067159A"/>
    <w:rsid w:val="006715FB"/>
    <w:rsid w:val="0067168B"/>
    <w:rsid w:val="006716A9"/>
    <w:rsid w:val="0067175E"/>
    <w:rsid w:val="00671843"/>
    <w:rsid w:val="00671983"/>
    <w:rsid w:val="00671A0B"/>
    <w:rsid w:val="00671A25"/>
    <w:rsid w:val="00671A36"/>
    <w:rsid w:val="00671AA7"/>
    <w:rsid w:val="00671B20"/>
    <w:rsid w:val="00671B59"/>
    <w:rsid w:val="00671C58"/>
    <w:rsid w:val="00671E2C"/>
    <w:rsid w:val="00671E5C"/>
    <w:rsid w:val="00671E6E"/>
    <w:rsid w:val="00671F79"/>
    <w:rsid w:val="00672107"/>
    <w:rsid w:val="0067231C"/>
    <w:rsid w:val="006723CB"/>
    <w:rsid w:val="006725C0"/>
    <w:rsid w:val="006726FF"/>
    <w:rsid w:val="0067272C"/>
    <w:rsid w:val="00672948"/>
    <w:rsid w:val="00672996"/>
    <w:rsid w:val="0067299C"/>
    <w:rsid w:val="00672A74"/>
    <w:rsid w:val="00672D28"/>
    <w:rsid w:val="00672DB5"/>
    <w:rsid w:val="00672EA0"/>
    <w:rsid w:val="00672FAE"/>
    <w:rsid w:val="0067307A"/>
    <w:rsid w:val="006730CA"/>
    <w:rsid w:val="00673236"/>
    <w:rsid w:val="00673251"/>
    <w:rsid w:val="006732C7"/>
    <w:rsid w:val="0067335E"/>
    <w:rsid w:val="00673538"/>
    <w:rsid w:val="00673541"/>
    <w:rsid w:val="006735C2"/>
    <w:rsid w:val="006735E4"/>
    <w:rsid w:val="006736CF"/>
    <w:rsid w:val="0067370B"/>
    <w:rsid w:val="00673801"/>
    <w:rsid w:val="00673950"/>
    <w:rsid w:val="00673A59"/>
    <w:rsid w:val="00673B2F"/>
    <w:rsid w:val="00673BA6"/>
    <w:rsid w:val="00673BDF"/>
    <w:rsid w:val="00673CC1"/>
    <w:rsid w:val="00673DB4"/>
    <w:rsid w:val="00673E70"/>
    <w:rsid w:val="00673ED2"/>
    <w:rsid w:val="00674090"/>
    <w:rsid w:val="00674091"/>
    <w:rsid w:val="00674098"/>
    <w:rsid w:val="0067419C"/>
    <w:rsid w:val="0067447A"/>
    <w:rsid w:val="0067448F"/>
    <w:rsid w:val="006744EC"/>
    <w:rsid w:val="0067451F"/>
    <w:rsid w:val="00674571"/>
    <w:rsid w:val="006745A2"/>
    <w:rsid w:val="0067486B"/>
    <w:rsid w:val="00674881"/>
    <w:rsid w:val="00674909"/>
    <w:rsid w:val="0067490B"/>
    <w:rsid w:val="00674960"/>
    <w:rsid w:val="006749FA"/>
    <w:rsid w:val="00674A1E"/>
    <w:rsid w:val="00674A46"/>
    <w:rsid w:val="00674B22"/>
    <w:rsid w:val="00674B90"/>
    <w:rsid w:val="00674EAB"/>
    <w:rsid w:val="00674EBE"/>
    <w:rsid w:val="00674F22"/>
    <w:rsid w:val="00675103"/>
    <w:rsid w:val="00675136"/>
    <w:rsid w:val="0067520D"/>
    <w:rsid w:val="00675358"/>
    <w:rsid w:val="0067539F"/>
    <w:rsid w:val="006754F3"/>
    <w:rsid w:val="0067555D"/>
    <w:rsid w:val="006755B0"/>
    <w:rsid w:val="006755B9"/>
    <w:rsid w:val="0067562C"/>
    <w:rsid w:val="0067574A"/>
    <w:rsid w:val="006758E7"/>
    <w:rsid w:val="00675AAC"/>
    <w:rsid w:val="00675DEE"/>
    <w:rsid w:val="00675F09"/>
    <w:rsid w:val="00675F51"/>
    <w:rsid w:val="00675F83"/>
    <w:rsid w:val="00675F93"/>
    <w:rsid w:val="00676021"/>
    <w:rsid w:val="0067611F"/>
    <w:rsid w:val="00676141"/>
    <w:rsid w:val="00676241"/>
    <w:rsid w:val="00676340"/>
    <w:rsid w:val="00676465"/>
    <w:rsid w:val="006765E1"/>
    <w:rsid w:val="006766D8"/>
    <w:rsid w:val="00676746"/>
    <w:rsid w:val="00676884"/>
    <w:rsid w:val="00676902"/>
    <w:rsid w:val="00676916"/>
    <w:rsid w:val="00676AAD"/>
    <w:rsid w:val="00676AC3"/>
    <w:rsid w:val="00676B1D"/>
    <w:rsid w:val="00676B6A"/>
    <w:rsid w:val="00676CAA"/>
    <w:rsid w:val="00676D91"/>
    <w:rsid w:val="00676EE9"/>
    <w:rsid w:val="0067700F"/>
    <w:rsid w:val="006770BB"/>
    <w:rsid w:val="00677188"/>
    <w:rsid w:val="006772D5"/>
    <w:rsid w:val="006774A8"/>
    <w:rsid w:val="00677584"/>
    <w:rsid w:val="006775B2"/>
    <w:rsid w:val="0067763C"/>
    <w:rsid w:val="00677640"/>
    <w:rsid w:val="00677641"/>
    <w:rsid w:val="00677760"/>
    <w:rsid w:val="00677840"/>
    <w:rsid w:val="00677901"/>
    <w:rsid w:val="0067795F"/>
    <w:rsid w:val="006779D3"/>
    <w:rsid w:val="00677A2C"/>
    <w:rsid w:val="00677AC2"/>
    <w:rsid w:val="00677B26"/>
    <w:rsid w:val="00677B7B"/>
    <w:rsid w:val="00677BB4"/>
    <w:rsid w:val="00677D07"/>
    <w:rsid w:val="00677D58"/>
    <w:rsid w:val="00677D7D"/>
    <w:rsid w:val="00677DD1"/>
    <w:rsid w:val="00677E19"/>
    <w:rsid w:val="00677F34"/>
    <w:rsid w:val="00677FE5"/>
    <w:rsid w:val="00680334"/>
    <w:rsid w:val="00680335"/>
    <w:rsid w:val="0068041F"/>
    <w:rsid w:val="0068044E"/>
    <w:rsid w:val="006804E9"/>
    <w:rsid w:val="006805FD"/>
    <w:rsid w:val="00680649"/>
    <w:rsid w:val="00680845"/>
    <w:rsid w:val="00680853"/>
    <w:rsid w:val="00680916"/>
    <w:rsid w:val="00680945"/>
    <w:rsid w:val="006809C4"/>
    <w:rsid w:val="00680A3B"/>
    <w:rsid w:val="00680A81"/>
    <w:rsid w:val="00680AED"/>
    <w:rsid w:val="00680BAB"/>
    <w:rsid w:val="00680BD4"/>
    <w:rsid w:val="00680BF7"/>
    <w:rsid w:val="00680D66"/>
    <w:rsid w:val="00680DE9"/>
    <w:rsid w:val="00680ECA"/>
    <w:rsid w:val="00680FF4"/>
    <w:rsid w:val="0068112F"/>
    <w:rsid w:val="00681149"/>
    <w:rsid w:val="00681190"/>
    <w:rsid w:val="006811D6"/>
    <w:rsid w:val="006812DA"/>
    <w:rsid w:val="00681326"/>
    <w:rsid w:val="0068133F"/>
    <w:rsid w:val="00681447"/>
    <w:rsid w:val="006815D5"/>
    <w:rsid w:val="006815EB"/>
    <w:rsid w:val="006815FF"/>
    <w:rsid w:val="00681629"/>
    <w:rsid w:val="006816C5"/>
    <w:rsid w:val="006816EF"/>
    <w:rsid w:val="00681765"/>
    <w:rsid w:val="006817CA"/>
    <w:rsid w:val="006817CF"/>
    <w:rsid w:val="0068183F"/>
    <w:rsid w:val="006818F1"/>
    <w:rsid w:val="006819E9"/>
    <w:rsid w:val="00681B5D"/>
    <w:rsid w:val="00681BB7"/>
    <w:rsid w:val="00681BD9"/>
    <w:rsid w:val="00681C44"/>
    <w:rsid w:val="00681E22"/>
    <w:rsid w:val="00681E8C"/>
    <w:rsid w:val="00681F29"/>
    <w:rsid w:val="00681F48"/>
    <w:rsid w:val="00681F75"/>
    <w:rsid w:val="00681F8A"/>
    <w:rsid w:val="0068201D"/>
    <w:rsid w:val="00682194"/>
    <w:rsid w:val="006821A8"/>
    <w:rsid w:val="006821B2"/>
    <w:rsid w:val="0068220B"/>
    <w:rsid w:val="00682302"/>
    <w:rsid w:val="006823DC"/>
    <w:rsid w:val="006826D6"/>
    <w:rsid w:val="00682735"/>
    <w:rsid w:val="006827F2"/>
    <w:rsid w:val="00682930"/>
    <w:rsid w:val="00682995"/>
    <w:rsid w:val="00682BEE"/>
    <w:rsid w:val="00682C7F"/>
    <w:rsid w:val="00682DF7"/>
    <w:rsid w:val="00682F0D"/>
    <w:rsid w:val="00682FFC"/>
    <w:rsid w:val="00683089"/>
    <w:rsid w:val="0068310D"/>
    <w:rsid w:val="0068311B"/>
    <w:rsid w:val="0068328E"/>
    <w:rsid w:val="0068329D"/>
    <w:rsid w:val="00683439"/>
    <w:rsid w:val="0068351F"/>
    <w:rsid w:val="00683582"/>
    <w:rsid w:val="00683711"/>
    <w:rsid w:val="0068375C"/>
    <w:rsid w:val="006837CF"/>
    <w:rsid w:val="00683818"/>
    <w:rsid w:val="006838A8"/>
    <w:rsid w:val="006838D5"/>
    <w:rsid w:val="00683992"/>
    <w:rsid w:val="006839D0"/>
    <w:rsid w:val="00683A9F"/>
    <w:rsid w:val="00683B36"/>
    <w:rsid w:val="00683B73"/>
    <w:rsid w:val="00683B74"/>
    <w:rsid w:val="00683EE9"/>
    <w:rsid w:val="006841EE"/>
    <w:rsid w:val="006841EF"/>
    <w:rsid w:val="006843BE"/>
    <w:rsid w:val="006843E5"/>
    <w:rsid w:val="00684446"/>
    <w:rsid w:val="00684517"/>
    <w:rsid w:val="00684637"/>
    <w:rsid w:val="006846D3"/>
    <w:rsid w:val="00684724"/>
    <w:rsid w:val="00684778"/>
    <w:rsid w:val="00684ACB"/>
    <w:rsid w:val="00684D48"/>
    <w:rsid w:val="00684D56"/>
    <w:rsid w:val="00684DD0"/>
    <w:rsid w:val="00684F32"/>
    <w:rsid w:val="00684F75"/>
    <w:rsid w:val="006850A8"/>
    <w:rsid w:val="006855AE"/>
    <w:rsid w:val="00685616"/>
    <w:rsid w:val="00685661"/>
    <w:rsid w:val="00685771"/>
    <w:rsid w:val="006857D4"/>
    <w:rsid w:val="00685839"/>
    <w:rsid w:val="00685926"/>
    <w:rsid w:val="006859EB"/>
    <w:rsid w:val="00685BCE"/>
    <w:rsid w:val="00685CB9"/>
    <w:rsid w:val="00685D0A"/>
    <w:rsid w:val="00685D16"/>
    <w:rsid w:val="00685D5D"/>
    <w:rsid w:val="00685DD4"/>
    <w:rsid w:val="00685F02"/>
    <w:rsid w:val="00685F08"/>
    <w:rsid w:val="00685F57"/>
    <w:rsid w:val="00685FBD"/>
    <w:rsid w:val="00685FC9"/>
    <w:rsid w:val="006861A1"/>
    <w:rsid w:val="00686214"/>
    <w:rsid w:val="00686310"/>
    <w:rsid w:val="006864AA"/>
    <w:rsid w:val="006865E5"/>
    <w:rsid w:val="0068663F"/>
    <w:rsid w:val="006866A2"/>
    <w:rsid w:val="00686704"/>
    <w:rsid w:val="006867E0"/>
    <w:rsid w:val="0068686F"/>
    <w:rsid w:val="006868C6"/>
    <w:rsid w:val="00686907"/>
    <w:rsid w:val="00686981"/>
    <w:rsid w:val="00686A9A"/>
    <w:rsid w:val="00686C25"/>
    <w:rsid w:val="00686E2F"/>
    <w:rsid w:val="00686F12"/>
    <w:rsid w:val="00686F56"/>
    <w:rsid w:val="00687000"/>
    <w:rsid w:val="00687229"/>
    <w:rsid w:val="006872E6"/>
    <w:rsid w:val="0068740B"/>
    <w:rsid w:val="00687425"/>
    <w:rsid w:val="006874CC"/>
    <w:rsid w:val="0068751D"/>
    <w:rsid w:val="006876C6"/>
    <w:rsid w:val="0068780F"/>
    <w:rsid w:val="006879CA"/>
    <w:rsid w:val="00687A92"/>
    <w:rsid w:val="00687CDA"/>
    <w:rsid w:val="00687DEB"/>
    <w:rsid w:val="00687F21"/>
    <w:rsid w:val="006902BB"/>
    <w:rsid w:val="006902CD"/>
    <w:rsid w:val="00690335"/>
    <w:rsid w:val="0069033B"/>
    <w:rsid w:val="00690387"/>
    <w:rsid w:val="006903D8"/>
    <w:rsid w:val="00690474"/>
    <w:rsid w:val="00690638"/>
    <w:rsid w:val="00690691"/>
    <w:rsid w:val="006906DC"/>
    <w:rsid w:val="00690799"/>
    <w:rsid w:val="006907C9"/>
    <w:rsid w:val="00690840"/>
    <w:rsid w:val="00690AC6"/>
    <w:rsid w:val="00690B23"/>
    <w:rsid w:val="00690B73"/>
    <w:rsid w:val="00690C54"/>
    <w:rsid w:val="00690CEC"/>
    <w:rsid w:val="00690F8D"/>
    <w:rsid w:val="006910DE"/>
    <w:rsid w:val="0069116D"/>
    <w:rsid w:val="00691200"/>
    <w:rsid w:val="0069129E"/>
    <w:rsid w:val="006912D8"/>
    <w:rsid w:val="00691354"/>
    <w:rsid w:val="00691517"/>
    <w:rsid w:val="00691530"/>
    <w:rsid w:val="00691590"/>
    <w:rsid w:val="00691625"/>
    <w:rsid w:val="00691667"/>
    <w:rsid w:val="006916D2"/>
    <w:rsid w:val="006916F0"/>
    <w:rsid w:val="00691754"/>
    <w:rsid w:val="0069175E"/>
    <w:rsid w:val="00691775"/>
    <w:rsid w:val="0069192A"/>
    <w:rsid w:val="00691A54"/>
    <w:rsid w:val="00691A94"/>
    <w:rsid w:val="00691C8D"/>
    <w:rsid w:val="00691CA9"/>
    <w:rsid w:val="00691D37"/>
    <w:rsid w:val="00691DFA"/>
    <w:rsid w:val="00692013"/>
    <w:rsid w:val="00692065"/>
    <w:rsid w:val="0069221C"/>
    <w:rsid w:val="00692237"/>
    <w:rsid w:val="00692252"/>
    <w:rsid w:val="00692265"/>
    <w:rsid w:val="00692290"/>
    <w:rsid w:val="0069229C"/>
    <w:rsid w:val="00692300"/>
    <w:rsid w:val="006923BC"/>
    <w:rsid w:val="006923D5"/>
    <w:rsid w:val="00692543"/>
    <w:rsid w:val="00692557"/>
    <w:rsid w:val="00692683"/>
    <w:rsid w:val="006926CE"/>
    <w:rsid w:val="00692714"/>
    <w:rsid w:val="0069277A"/>
    <w:rsid w:val="006927AA"/>
    <w:rsid w:val="006927E0"/>
    <w:rsid w:val="006927E4"/>
    <w:rsid w:val="00692837"/>
    <w:rsid w:val="00692A14"/>
    <w:rsid w:val="00692A75"/>
    <w:rsid w:val="00692AF7"/>
    <w:rsid w:val="00692BB0"/>
    <w:rsid w:val="00692C5E"/>
    <w:rsid w:val="00692CD2"/>
    <w:rsid w:val="00692E5D"/>
    <w:rsid w:val="00692E76"/>
    <w:rsid w:val="00692EAD"/>
    <w:rsid w:val="00692FE4"/>
    <w:rsid w:val="0069301D"/>
    <w:rsid w:val="00693032"/>
    <w:rsid w:val="00693048"/>
    <w:rsid w:val="00693117"/>
    <w:rsid w:val="00693223"/>
    <w:rsid w:val="006932B9"/>
    <w:rsid w:val="00693347"/>
    <w:rsid w:val="006933EB"/>
    <w:rsid w:val="0069340E"/>
    <w:rsid w:val="00693427"/>
    <w:rsid w:val="00693468"/>
    <w:rsid w:val="00693670"/>
    <w:rsid w:val="006937F2"/>
    <w:rsid w:val="00693915"/>
    <w:rsid w:val="00693A5E"/>
    <w:rsid w:val="00693B65"/>
    <w:rsid w:val="00693B6D"/>
    <w:rsid w:val="00693C10"/>
    <w:rsid w:val="00693EE3"/>
    <w:rsid w:val="00693F12"/>
    <w:rsid w:val="00693F65"/>
    <w:rsid w:val="00694033"/>
    <w:rsid w:val="00694047"/>
    <w:rsid w:val="00694055"/>
    <w:rsid w:val="00694175"/>
    <w:rsid w:val="00694266"/>
    <w:rsid w:val="0069447B"/>
    <w:rsid w:val="00694793"/>
    <w:rsid w:val="0069479E"/>
    <w:rsid w:val="00694AC3"/>
    <w:rsid w:val="00694AE3"/>
    <w:rsid w:val="00694BCE"/>
    <w:rsid w:val="00694CAF"/>
    <w:rsid w:val="00694D2F"/>
    <w:rsid w:val="00694D95"/>
    <w:rsid w:val="00694E00"/>
    <w:rsid w:val="00694F54"/>
    <w:rsid w:val="00695100"/>
    <w:rsid w:val="006951F7"/>
    <w:rsid w:val="00695231"/>
    <w:rsid w:val="00695307"/>
    <w:rsid w:val="0069542B"/>
    <w:rsid w:val="00695461"/>
    <w:rsid w:val="006954FC"/>
    <w:rsid w:val="00695508"/>
    <w:rsid w:val="006955CC"/>
    <w:rsid w:val="0069564B"/>
    <w:rsid w:val="006956B3"/>
    <w:rsid w:val="006956C4"/>
    <w:rsid w:val="006956CA"/>
    <w:rsid w:val="00695716"/>
    <w:rsid w:val="0069576D"/>
    <w:rsid w:val="0069581F"/>
    <w:rsid w:val="0069583B"/>
    <w:rsid w:val="00695A2D"/>
    <w:rsid w:val="00695A5C"/>
    <w:rsid w:val="00695A71"/>
    <w:rsid w:val="00695B34"/>
    <w:rsid w:val="00695B49"/>
    <w:rsid w:val="00695B6A"/>
    <w:rsid w:val="00695BA7"/>
    <w:rsid w:val="00695CC6"/>
    <w:rsid w:val="00695DA7"/>
    <w:rsid w:val="00695DAA"/>
    <w:rsid w:val="00695E22"/>
    <w:rsid w:val="00695E42"/>
    <w:rsid w:val="00695F87"/>
    <w:rsid w:val="00695FFB"/>
    <w:rsid w:val="0069608A"/>
    <w:rsid w:val="0069618F"/>
    <w:rsid w:val="00696204"/>
    <w:rsid w:val="006962AA"/>
    <w:rsid w:val="006962CD"/>
    <w:rsid w:val="0069637C"/>
    <w:rsid w:val="00696391"/>
    <w:rsid w:val="00696412"/>
    <w:rsid w:val="0069648B"/>
    <w:rsid w:val="0069648F"/>
    <w:rsid w:val="00696567"/>
    <w:rsid w:val="00696602"/>
    <w:rsid w:val="00696662"/>
    <w:rsid w:val="00696757"/>
    <w:rsid w:val="00696773"/>
    <w:rsid w:val="006969C1"/>
    <w:rsid w:val="006969D7"/>
    <w:rsid w:val="00696AD7"/>
    <w:rsid w:val="00696B6B"/>
    <w:rsid w:val="00696C07"/>
    <w:rsid w:val="00696C9E"/>
    <w:rsid w:val="00696DC9"/>
    <w:rsid w:val="00696DD3"/>
    <w:rsid w:val="00696FA4"/>
    <w:rsid w:val="00697001"/>
    <w:rsid w:val="00697174"/>
    <w:rsid w:val="0069718B"/>
    <w:rsid w:val="00697237"/>
    <w:rsid w:val="00697354"/>
    <w:rsid w:val="0069738B"/>
    <w:rsid w:val="006973F3"/>
    <w:rsid w:val="00697511"/>
    <w:rsid w:val="0069752C"/>
    <w:rsid w:val="006977C3"/>
    <w:rsid w:val="006977D6"/>
    <w:rsid w:val="006977EF"/>
    <w:rsid w:val="0069782C"/>
    <w:rsid w:val="006978CD"/>
    <w:rsid w:val="006979BD"/>
    <w:rsid w:val="00697A2E"/>
    <w:rsid w:val="00697B0C"/>
    <w:rsid w:val="00697C6F"/>
    <w:rsid w:val="00697D72"/>
    <w:rsid w:val="00697DD3"/>
    <w:rsid w:val="00697DDC"/>
    <w:rsid w:val="00697EED"/>
    <w:rsid w:val="00697F09"/>
    <w:rsid w:val="00697FA8"/>
    <w:rsid w:val="00697FAD"/>
    <w:rsid w:val="006A00A6"/>
    <w:rsid w:val="006A00B3"/>
    <w:rsid w:val="006A0125"/>
    <w:rsid w:val="006A0310"/>
    <w:rsid w:val="006A0386"/>
    <w:rsid w:val="006A03A7"/>
    <w:rsid w:val="006A03C9"/>
    <w:rsid w:val="006A0428"/>
    <w:rsid w:val="006A04E1"/>
    <w:rsid w:val="006A053B"/>
    <w:rsid w:val="006A05D2"/>
    <w:rsid w:val="006A07A7"/>
    <w:rsid w:val="006A0845"/>
    <w:rsid w:val="006A08AF"/>
    <w:rsid w:val="006A0929"/>
    <w:rsid w:val="006A0993"/>
    <w:rsid w:val="006A0A0E"/>
    <w:rsid w:val="006A0A4D"/>
    <w:rsid w:val="006A0A89"/>
    <w:rsid w:val="006A0A9C"/>
    <w:rsid w:val="006A0AD4"/>
    <w:rsid w:val="006A0C5D"/>
    <w:rsid w:val="006A0CFF"/>
    <w:rsid w:val="006A0DBA"/>
    <w:rsid w:val="006A0DDF"/>
    <w:rsid w:val="006A0E98"/>
    <w:rsid w:val="006A0FB6"/>
    <w:rsid w:val="006A1023"/>
    <w:rsid w:val="006A107B"/>
    <w:rsid w:val="006A1159"/>
    <w:rsid w:val="006A1297"/>
    <w:rsid w:val="006A12D2"/>
    <w:rsid w:val="006A12E4"/>
    <w:rsid w:val="006A13F5"/>
    <w:rsid w:val="006A1477"/>
    <w:rsid w:val="006A1562"/>
    <w:rsid w:val="006A1598"/>
    <w:rsid w:val="006A15D0"/>
    <w:rsid w:val="006A160C"/>
    <w:rsid w:val="006A1624"/>
    <w:rsid w:val="006A1668"/>
    <w:rsid w:val="006A1733"/>
    <w:rsid w:val="006A1820"/>
    <w:rsid w:val="006A187F"/>
    <w:rsid w:val="006A18F4"/>
    <w:rsid w:val="006A19AF"/>
    <w:rsid w:val="006A1AAC"/>
    <w:rsid w:val="006A1AD5"/>
    <w:rsid w:val="006A1ADF"/>
    <w:rsid w:val="006A1B64"/>
    <w:rsid w:val="006A1C0A"/>
    <w:rsid w:val="006A1DE9"/>
    <w:rsid w:val="006A1E4E"/>
    <w:rsid w:val="006A1F18"/>
    <w:rsid w:val="006A1FBA"/>
    <w:rsid w:val="006A1FE3"/>
    <w:rsid w:val="006A205B"/>
    <w:rsid w:val="006A20BB"/>
    <w:rsid w:val="006A21B0"/>
    <w:rsid w:val="006A21B1"/>
    <w:rsid w:val="006A22BA"/>
    <w:rsid w:val="006A22C4"/>
    <w:rsid w:val="006A2362"/>
    <w:rsid w:val="006A23F5"/>
    <w:rsid w:val="006A24FF"/>
    <w:rsid w:val="006A25B3"/>
    <w:rsid w:val="006A265B"/>
    <w:rsid w:val="006A26CF"/>
    <w:rsid w:val="006A2705"/>
    <w:rsid w:val="006A2830"/>
    <w:rsid w:val="006A28F4"/>
    <w:rsid w:val="006A2973"/>
    <w:rsid w:val="006A2A7C"/>
    <w:rsid w:val="006A2CCD"/>
    <w:rsid w:val="006A2D3D"/>
    <w:rsid w:val="006A2E3D"/>
    <w:rsid w:val="006A2EBF"/>
    <w:rsid w:val="006A2EC4"/>
    <w:rsid w:val="006A300E"/>
    <w:rsid w:val="006A307C"/>
    <w:rsid w:val="006A30F9"/>
    <w:rsid w:val="006A3120"/>
    <w:rsid w:val="006A317C"/>
    <w:rsid w:val="006A31CF"/>
    <w:rsid w:val="006A31DE"/>
    <w:rsid w:val="006A3218"/>
    <w:rsid w:val="006A3255"/>
    <w:rsid w:val="006A3308"/>
    <w:rsid w:val="006A332F"/>
    <w:rsid w:val="006A34D5"/>
    <w:rsid w:val="006A3522"/>
    <w:rsid w:val="006A3578"/>
    <w:rsid w:val="006A368F"/>
    <w:rsid w:val="006A36FA"/>
    <w:rsid w:val="006A3745"/>
    <w:rsid w:val="006A3845"/>
    <w:rsid w:val="006A3945"/>
    <w:rsid w:val="006A3964"/>
    <w:rsid w:val="006A39FD"/>
    <w:rsid w:val="006A3B63"/>
    <w:rsid w:val="006A3C17"/>
    <w:rsid w:val="006A3C1D"/>
    <w:rsid w:val="006A3C70"/>
    <w:rsid w:val="006A3DA3"/>
    <w:rsid w:val="006A4202"/>
    <w:rsid w:val="006A4263"/>
    <w:rsid w:val="006A42C3"/>
    <w:rsid w:val="006A42F8"/>
    <w:rsid w:val="006A4387"/>
    <w:rsid w:val="006A442E"/>
    <w:rsid w:val="006A44DC"/>
    <w:rsid w:val="006A44FF"/>
    <w:rsid w:val="006A4619"/>
    <w:rsid w:val="006A4698"/>
    <w:rsid w:val="006A4742"/>
    <w:rsid w:val="006A4791"/>
    <w:rsid w:val="006A481B"/>
    <w:rsid w:val="006A4A10"/>
    <w:rsid w:val="006A4A2C"/>
    <w:rsid w:val="006A4C35"/>
    <w:rsid w:val="006A4D22"/>
    <w:rsid w:val="006A4EFE"/>
    <w:rsid w:val="006A4FE1"/>
    <w:rsid w:val="006A504D"/>
    <w:rsid w:val="006A512E"/>
    <w:rsid w:val="006A520C"/>
    <w:rsid w:val="006A526B"/>
    <w:rsid w:val="006A5290"/>
    <w:rsid w:val="006A5470"/>
    <w:rsid w:val="006A54F3"/>
    <w:rsid w:val="006A5541"/>
    <w:rsid w:val="006A5625"/>
    <w:rsid w:val="006A56BA"/>
    <w:rsid w:val="006A57C8"/>
    <w:rsid w:val="006A5849"/>
    <w:rsid w:val="006A585B"/>
    <w:rsid w:val="006A5909"/>
    <w:rsid w:val="006A5A1F"/>
    <w:rsid w:val="006A5A5C"/>
    <w:rsid w:val="006A5AF5"/>
    <w:rsid w:val="006A5E8C"/>
    <w:rsid w:val="006A5E9F"/>
    <w:rsid w:val="006A5FBE"/>
    <w:rsid w:val="006A60AF"/>
    <w:rsid w:val="006A6105"/>
    <w:rsid w:val="006A6247"/>
    <w:rsid w:val="006A636A"/>
    <w:rsid w:val="006A648C"/>
    <w:rsid w:val="006A64A7"/>
    <w:rsid w:val="006A6730"/>
    <w:rsid w:val="006A6875"/>
    <w:rsid w:val="006A68FD"/>
    <w:rsid w:val="006A69D9"/>
    <w:rsid w:val="006A6D26"/>
    <w:rsid w:val="006A6D8D"/>
    <w:rsid w:val="006A6D99"/>
    <w:rsid w:val="006A6DBC"/>
    <w:rsid w:val="006A6E60"/>
    <w:rsid w:val="006A6F2A"/>
    <w:rsid w:val="006A703D"/>
    <w:rsid w:val="006A717F"/>
    <w:rsid w:val="006A72ED"/>
    <w:rsid w:val="006A732F"/>
    <w:rsid w:val="006A7339"/>
    <w:rsid w:val="006A734D"/>
    <w:rsid w:val="006A7411"/>
    <w:rsid w:val="006A749B"/>
    <w:rsid w:val="006A74AB"/>
    <w:rsid w:val="006A74FB"/>
    <w:rsid w:val="006A7533"/>
    <w:rsid w:val="006A757E"/>
    <w:rsid w:val="006A7650"/>
    <w:rsid w:val="006A7720"/>
    <w:rsid w:val="006A77A1"/>
    <w:rsid w:val="006A77CA"/>
    <w:rsid w:val="006A7858"/>
    <w:rsid w:val="006A790C"/>
    <w:rsid w:val="006A7A44"/>
    <w:rsid w:val="006A7A8E"/>
    <w:rsid w:val="006A7B1D"/>
    <w:rsid w:val="006A7B2A"/>
    <w:rsid w:val="006A7B94"/>
    <w:rsid w:val="006A7B9D"/>
    <w:rsid w:val="006A7BEA"/>
    <w:rsid w:val="006A7C5A"/>
    <w:rsid w:val="006A7C69"/>
    <w:rsid w:val="006A7D03"/>
    <w:rsid w:val="006A7E04"/>
    <w:rsid w:val="006A7E2E"/>
    <w:rsid w:val="006A7E5E"/>
    <w:rsid w:val="006B003F"/>
    <w:rsid w:val="006B015A"/>
    <w:rsid w:val="006B0224"/>
    <w:rsid w:val="006B02A8"/>
    <w:rsid w:val="006B03C4"/>
    <w:rsid w:val="006B040B"/>
    <w:rsid w:val="006B04B9"/>
    <w:rsid w:val="006B0557"/>
    <w:rsid w:val="006B0708"/>
    <w:rsid w:val="006B0791"/>
    <w:rsid w:val="006B07B5"/>
    <w:rsid w:val="006B099F"/>
    <w:rsid w:val="006B0A79"/>
    <w:rsid w:val="006B0AF2"/>
    <w:rsid w:val="006B0C5E"/>
    <w:rsid w:val="006B0C77"/>
    <w:rsid w:val="006B0F30"/>
    <w:rsid w:val="006B0FD0"/>
    <w:rsid w:val="006B1031"/>
    <w:rsid w:val="006B1076"/>
    <w:rsid w:val="006B107A"/>
    <w:rsid w:val="006B109E"/>
    <w:rsid w:val="006B154C"/>
    <w:rsid w:val="006B15FF"/>
    <w:rsid w:val="006B1602"/>
    <w:rsid w:val="006B1690"/>
    <w:rsid w:val="006B16C9"/>
    <w:rsid w:val="006B1887"/>
    <w:rsid w:val="006B1909"/>
    <w:rsid w:val="006B1966"/>
    <w:rsid w:val="006B1A81"/>
    <w:rsid w:val="006B1AEC"/>
    <w:rsid w:val="006B1B67"/>
    <w:rsid w:val="006B1B91"/>
    <w:rsid w:val="006B1BFB"/>
    <w:rsid w:val="006B1C56"/>
    <w:rsid w:val="006B1DD7"/>
    <w:rsid w:val="006B1E39"/>
    <w:rsid w:val="006B1E81"/>
    <w:rsid w:val="006B1EE1"/>
    <w:rsid w:val="006B1EFA"/>
    <w:rsid w:val="006B2112"/>
    <w:rsid w:val="006B211B"/>
    <w:rsid w:val="006B2120"/>
    <w:rsid w:val="006B221E"/>
    <w:rsid w:val="006B22F1"/>
    <w:rsid w:val="006B2426"/>
    <w:rsid w:val="006B25F0"/>
    <w:rsid w:val="006B278A"/>
    <w:rsid w:val="006B2876"/>
    <w:rsid w:val="006B297C"/>
    <w:rsid w:val="006B2AEE"/>
    <w:rsid w:val="006B2C21"/>
    <w:rsid w:val="006B2C4A"/>
    <w:rsid w:val="006B2FCB"/>
    <w:rsid w:val="006B3077"/>
    <w:rsid w:val="006B307C"/>
    <w:rsid w:val="006B30B4"/>
    <w:rsid w:val="006B3143"/>
    <w:rsid w:val="006B320D"/>
    <w:rsid w:val="006B3230"/>
    <w:rsid w:val="006B3257"/>
    <w:rsid w:val="006B3321"/>
    <w:rsid w:val="006B33B0"/>
    <w:rsid w:val="006B345B"/>
    <w:rsid w:val="006B35A1"/>
    <w:rsid w:val="006B3732"/>
    <w:rsid w:val="006B37BE"/>
    <w:rsid w:val="006B3894"/>
    <w:rsid w:val="006B38F8"/>
    <w:rsid w:val="006B396A"/>
    <w:rsid w:val="006B3ADB"/>
    <w:rsid w:val="006B3B07"/>
    <w:rsid w:val="006B3B63"/>
    <w:rsid w:val="006B3DDA"/>
    <w:rsid w:val="006B3E1F"/>
    <w:rsid w:val="006B3EBD"/>
    <w:rsid w:val="006B3F19"/>
    <w:rsid w:val="006B3F6A"/>
    <w:rsid w:val="006B3FA2"/>
    <w:rsid w:val="006B4148"/>
    <w:rsid w:val="006B4298"/>
    <w:rsid w:val="006B42A0"/>
    <w:rsid w:val="006B4338"/>
    <w:rsid w:val="006B4390"/>
    <w:rsid w:val="006B440C"/>
    <w:rsid w:val="006B442F"/>
    <w:rsid w:val="006B446E"/>
    <w:rsid w:val="006B4489"/>
    <w:rsid w:val="006B452D"/>
    <w:rsid w:val="006B45FF"/>
    <w:rsid w:val="006B47BB"/>
    <w:rsid w:val="006B48EA"/>
    <w:rsid w:val="006B4910"/>
    <w:rsid w:val="006B49EA"/>
    <w:rsid w:val="006B4C78"/>
    <w:rsid w:val="006B4D1B"/>
    <w:rsid w:val="006B4D8A"/>
    <w:rsid w:val="006B4ECF"/>
    <w:rsid w:val="006B508F"/>
    <w:rsid w:val="006B521E"/>
    <w:rsid w:val="006B5507"/>
    <w:rsid w:val="006B55E5"/>
    <w:rsid w:val="006B5610"/>
    <w:rsid w:val="006B5648"/>
    <w:rsid w:val="006B565E"/>
    <w:rsid w:val="006B5660"/>
    <w:rsid w:val="006B56A2"/>
    <w:rsid w:val="006B5751"/>
    <w:rsid w:val="006B589E"/>
    <w:rsid w:val="006B5971"/>
    <w:rsid w:val="006B597A"/>
    <w:rsid w:val="006B5A5B"/>
    <w:rsid w:val="006B5B06"/>
    <w:rsid w:val="006B5C0E"/>
    <w:rsid w:val="006B5C52"/>
    <w:rsid w:val="006B5C56"/>
    <w:rsid w:val="006B5ED9"/>
    <w:rsid w:val="006B5F25"/>
    <w:rsid w:val="006B5F49"/>
    <w:rsid w:val="006B6123"/>
    <w:rsid w:val="006B6143"/>
    <w:rsid w:val="006B62F4"/>
    <w:rsid w:val="006B675D"/>
    <w:rsid w:val="006B67F9"/>
    <w:rsid w:val="006B6872"/>
    <w:rsid w:val="006B6894"/>
    <w:rsid w:val="006B695E"/>
    <w:rsid w:val="006B699C"/>
    <w:rsid w:val="006B6A4A"/>
    <w:rsid w:val="006B6C6C"/>
    <w:rsid w:val="006B6C96"/>
    <w:rsid w:val="006B6CDC"/>
    <w:rsid w:val="006B6D3E"/>
    <w:rsid w:val="006B6E38"/>
    <w:rsid w:val="006B6FA9"/>
    <w:rsid w:val="006B6FFD"/>
    <w:rsid w:val="006B700B"/>
    <w:rsid w:val="006B7054"/>
    <w:rsid w:val="006B713F"/>
    <w:rsid w:val="006B7196"/>
    <w:rsid w:val="006B71E6"/>
    <w:rsid w:val="006B720C"/>
    <w:rsid w:val="006B72A6"/>
    <w:rsid w:val="006B7303"/>
    <w:rsid w:val="006B733F"/>
    <w:rsid w:val="006B741C"/>
    <w:rsid w:val="006B7499"/>
    <w:rsid w:val="006B74DA"/>
    <w:rsid w:val="006B74FC"/>
    <w:rsid w:val="006B75BD"/>
    <w:rsid w:val="006B7687"/>
    <w:rsid w:val="006B7953"/>
    <w:rsid w:val="006B7BBB"/>
    <w:rsid w:val="006B7C20"/>
    <w:rsid w:val="006B7C37"/>
    <w:rsid w:val="006B7F6B"/>
    <w:rsid w:val="006B7F7E"/>
    <w:rsid w:val="006C0060"/>
    <w:rsid w:val="006C0157"/>
    <w:rsid w:val="006C023A"/>
    <w:rsid w:val="006C0391"/>
    <w:rsid w:val="006C048B"/>
    <w:rsid w:val="006C04BB"/>
    <w:rsid w:val="006C05CC"/>
    <w:rsid w:val="006C05DF"/>
    <w:rsid w:val="006C05EB"/>
    <w:rsid w:val="006C06A7"/>
    <w:rsid w:val="006C081F"/>
    <w:rsid w:val="006C0861"/>
    <w:rsid w:val="006C08A3"/>
    <w:rsid w:val="006C08F8"/>
    <w:rsid w:val="006C0A08"/>
    <w:rsid w:val="006C0A15"/>
    <w:rsid w:val="006C0A30"/>
    <w:rsid w:val="006C0A8B"/>
    <w:rsid w:val="006C0B63"/>
    <w:rsid w:val="006C0BB1"/>
    <w:rsid w:val="006C0C0B"/>
    <w:rsid w:val="006C0CE9"/>
    <w:rsid w:val="006C0EF2"/>
    <w:rsid w:val="006C0F52"/>
    <w:rsid w:val="006C102C"/>
    <w:rsid w:val="006C1063"/>
    <w:rsid w:val="006C110D"/>
    <w:rsid w:val="006C115C"/>
    <w:rsid w:val="006C139B"/>
    <w:rsid w:val="006C14D4"/>
    <w:rsid w:val="006C14F9"/>
    <w:rsid w:val="006C1649"/>
    <w:rsid w:val="006C16A4"/>
    <w:rsid w:val="006C1732"/>
    <w:rsid w:val="006C1775"/>
    <w:rsid w:val="006C1851"/>
    <w:rsid w:val="006C186D"/>
    <w:rsid w:val="006C1AB9"/>
    <w:rsid w:val="006C1B32"/>
    <w:rsid w:val="006C2027"/>
    <w:rsid w:val="006C2202"/>
    <w:rsid w:val="006C223F"/>
    <w:rsid w:val="006C2425"/>
    <w:rsid w:val="006C24B0"/>
    <w:rsid w:val="006C24FD"/>
    <w:rsid w:val="006C254D"/>
    <w:rsid w:val="006C25D5"/>
    <w:rsid w:val="006C26D1"/>
    <w:rsid w:val="006C2746"/>
    <w:rsid w:val="006C2857"/>
    <w:rsid w:val="006C296B"/>
    <w:rsid w:val="006C29A5"/>
    <w:rsid w:val="006C29BE"/>
    <w:rsid w:val="006C2A10"/>
    <w:rsid w:val="006C2A6F"/>
    <w:rsid w:val="006C2B3E"/>
    <w:rsid w:val="006C2B77"/>
    <w:rsid w:val="006C2CC9"/>
    <w:rsid w:val="006C2D5E"/>
    <w:rsid w:val="006C2E19"/>
    <w:rsid w:val="006C2F35"/>
    <w:rsid w:val="006C30AB"/>
    <w:rsid w:val="006C31B8"/>
    <w:rsid w:val="006C3334"/>
    <w:rsid w:val="006C3358"/>
    <w:rsid w:val="006C37CA"/>
    <w:rsid w:val="006C3837"/>
    <w:rsid w:val="006C387A"/>
    <w:rsid w:val="006C391B"/>
    <w:rsid w:val="006C3947"/>
    <w:rsid w:val="006C39AA"/>
    <w:rsid w:val="006C3C1D"/>
    <w:rsid w:val="006C3C22"/>
    <w:rsid w:val="006C3CB1"/>
    <w:rsid w:val="006C4147"/>
    <w:rsid w:val="006C4276"/>
    <w:rsid w:val="006C42F9"/>
    <w:rsid w:val="006C4329"/>
    <w:rsid w:val="006C43DD"/>
    <w:rsid w:val="006C446A"/>
    <w:rsid w:val="006C44E2"/>
    <w:rsid w:val="006C44F1"/>
    <w:rsid w:val="006C45C6"/>
    <w:rsid w:val="006C45C7"/>
    <w:rsid w:val="006C469B"/>
    <w:rsid w:val="006C46FB"/>
    <w:rsid w:val="006C471D"/>
    <w:rsid w:val="006C47A7"/>
    <w:rsid w:val="006C4809"/>
    <w:rsid w:val="006C491D"/>
    <w:rsid w:val="006C4923"/>
    <w:rsid w:val="006C499A"/>
    <w:rsid w:val="006C49C7"/>
    <w:rsid w:val="006C49D1"/>
    <w:rsid w:val="006C4C52"/>
    <w:rsid w:val="006C4C8E"/>
    <w:rsid w:val="006C4DA4"/>
    <w:rsid w:val="006C4E17"/>
    <w:rsid w:val="006C4ED3"/>
    <w:rsid w:val="006C4F13"/>
    <w:rsid w:val="006C5160"/>
    <w:rsid w:val="006C51FA"/>
    <w:rsid w:val="006C5335"/>
    <w:rsid w:val="006C53D6"/>
    <w:rsid w:val="006C54A3"/>
    <w:rsid w:val="006C5598"/>
    <w:rsid w:val="006C5713"/>
    <w:rsid w:val="006C576B"/>
    <w:rsid w:val="006C5826"/>
    <w:rsid w:val="006C585C"/>
    <w:rsid w:val="006C5948"/>
    <w:rsid w:val="006C5A6E"/>
    <w:rsid w:val="006C5ACF"/>
    <w:rsid w:val="006C5CCD"/>
    <w:rsid w:val="006C5D1F"/>
    <w:rsid w:val="006C5E8E"/>
    <w:rsid w:val="006C5F6C"/>
    <w:rsid w:val="006C5FCD"/>
    <w:rsid w:val="006C601E"/>
    <w:rsid w:val="006C605E"/>
    <w:rsid w:val="006C60FA"/>
    <w:rsid w:val="006C62A9"/>
    <w:rsid w:val="006C634B"/>
    <w:rsid w:val="006C6488"/>
    <w:rsid w:val="006C64E5"/>
    <w:rsid w:val="006C6532"/>
    <w:rsid w:val="006C660D"/>
    <w:rsid w:val="006C6791"/>
    <w:rsid w:val="006C6ACC"/>
    <w:rsid w:val="006C6BD6"/>
    <w:rsid w:val="006C6BFB"/>
    <w:rsid w:val="006C6D91"/>
    <w:rsid w:val="006C7051"/>
    <w:rsid w:val="006C7067"/>
    <w:rsid w:val="006C7131"/>
    <w:rsid w:val="006C7176"/>
    <w:rsid w:val="006C7266"/>
    <w:rsid w:val="006C7388"/>
    <w:rsid w:val="006C73B0"/>
    <w:rsid w:val="006C73CA"/>
    <w:rsid w:val="006C7507"/>
    <w:rsid w:val="006C7518"/>
    <w:rsid w:val="006C7620"/>
    <w:rsid w:val="006C7681"/>
    <w:rsid w:val="006C772B"/>
    <w:rsid w:val="006C79CC"/>
    <w:rsid w:val="006C7A8E"/>
    <w:rsid w:val="006C7AF5"/>
    <w:rsid w:val="006C7B09"/>
    <w:rsid w:val="006C7B10"/>
    <w:rsid w:val="006C7B95"/>
    <w:rsid w:val="006C7C3A"/>
    <w:rsid w:val="006C7C5A"/>
    <w:rsid w:val="006C7C6C"/>
    <w:rsid w:val="006C7D11"/>
    <w:rsid w:val="006C7D31"/>
    <w:rsid w:val="006C7D8E"/>
    <w:rsid w:val="006C7ECA"/>
    <w:rsid w:val="006D01F5"/>
    <w:rsid w:val="006D02A0"/>
    <w:rsid w:val="006D02CC"/>
    <w:rsid w:val="006D0511"/>
    <w:rsid w:val="006D0568"/>
    <w:rsid w:val="006D0649"/>
    <w:rsid w:val="006D0751"/>
    <w:rsid w:val="006D0942"/>
    <w:rsid w:val="006D09B6"/>
    <w:rsid w:val="006D09BF"/>
    <w:rsid w:val="006D0B25"/>
    <w:rsid w:val="006D0BAD"/>
    <w:rsid w:val="006D0C43"/>
    <w:rsid w:val="006D0C56"/>
    <w:rsid w:val="006D0D1C"/>
    <w:rsid w:val="006D0FE3"/>
    <w:rsid w:val="006D0FF7"/>
    <w:rsid w:val="006D1065"/>
    <w:rsid w:val="006D119E"/>
    <w:rsid w:val="006D1381"/>
    <w:rsid w:val="006D1387"/>
    <w:rsid w:val="006D13ED"/>
    <w:rsid w:val="006D1494"/>
    <w:rsid w:val="006D153E"/>
    <w:rsid w:val="006D15CF"/>
    <w:rsid w:val="006D15FD"/>
    <w:rsid w:val="006D1689"/>
    <w:rsid w:val="006D19BC"/>
    <w:rsid w:val="006D1A66"/>
    <w:rsid w:val="006D1AB7"/>
    <w:rsid w:val="006D1B91"/>
    <w:rsid w:val="006D1BB5"/>
    <w:rsid w:val="006D1BB8"/>
    <w:rsid w:val="006D1BE6"/>
    <w:rsid w:val="006D1D6C"/>
    <w:rsid w:val="006D1DD9"/>
    <w:rsid w:val="006D1E3A"/>
    <w:rsid w:val="006D1E7E"/>
    <w:rsid w:val="006D1F4A"/>
    <w:rsid w:val="006D1F65"/>
    <w:rsid w:val="006D1FB4"/>
    <w:rsid w:val="006D20E9"/>
    <w:rsid w:val="006D212A"/>
    <w:rsid w:val="006D215D"/>
    <w:rsid w:val="006D227F"/>
    <w:rsid w:val="006D23FB"/>
    <w:rsid w:val="006D2449"/>
    <w:rsid w:val="006D245B"/>
    <w:rsid w:val="006D24CA"/>
    <w:rsid w:val="006D252A"/>
    <w:rsid w:val="006D25E9"/>
    <w:rsid w:val="006D26EA"/>
    <w:rsid w:val="006D26EC"/>
    <w:rsid w:val="006D27E3"/>
    <w:rsid w:val="006D298C"/>
    <w:rsid w:val="006D2A97"/>
    <w:rsid w:val="006D2AF7"/>
    <w:rsid w:val="006D2BE6"/>
    <w:rsid w:val="006D2C55"/>
    <w:rsid w:val="006D2C6A"/>
    <w:rsid w:val="006D2C8D"/>
    <w:rsid w:val="006D2D27"/>
    <w:rsid w:val="006D2D44"/>
    <w:rsid w:val="006D2DCD"/>
    <w:rsid w:val="006D2E41"/>
    <w:rsid w:val="006D3036"/>
    <w:rsid w:val="006D316F"/>
    <w:rsid w:val="006D3181"/>
    <w:rsid w:val="006D3202"/>
    <w:rsid w:val="006D3254"/>
    <w:rsid w:val="006D3271"/>
    <w:rsid w:val="006D3302"/>
    <w:rsid w:val="006D3392"/>
    <w:rsid w:val="006D3440"/>
    <w:rsid w:val="006D34EA"/>
    <w:rsid w:val="006D3676"/>
    <w:rsid w:val="006D36E0"/>
    <w:rsid w:val="006D36EA"/>
    <w:rsid w:val="006D36EC"/>
    <w:rsid w:val="006D374C"/>
    <w:rsid w:val="006D3919"/>
    <w:rsid w:val="006D3C18"/>
    <w:rsid w:val="006D3C26"/>
    <w:rsid w:val="006D3C64"/>
    <w:rsid w:val="006D3EDA"/>
    <w:rsid w:val="006D3F48"/>
    <w:rsid w:val="006D3FB7"/>
    <w:rsid w:val="006D4161"/>
    <w:rsid w:val="006D4255"/>
    <w:rsid w:val="006D4355"/>
    <w:rsid w:val="006D44F0"/>
    <w:rsid w:val="006D4558"/>
    <w:rsid w:val="006D4658"/>
    <w:rsid w:val="006D466F"/>
    <w:rsid w:val="006D4686"/>
    <w:rsid w:val="006D4699"/>
    <w:rsid w:val="006D46F0"/>
    <w:rsid w:val="006D46FC"/>
    <w:rsid w:val="006D4764"/>
    <w:rsid w:val="006D4911"/>
    <w:rsid w:val="006D4948"/>
    <w:rsid w:val="006D4975"/>
    <w:rsid w:val="006D4B18"/>
    <w:rsid w:val="006D4B6F"/>
    <w:rsid w:val="006D4B93"/>
    <w:rsid w:val="006D4BA9"/>
    <w:rsid w:val="006D4BE8"/>
    <w:rsid w:val="006D4BEE"/>
    <w:rsid w:val="006D4C7A"/>
    <w:rsid w:val="006D4D50"/>
    <w:rsid w:val="006D4DFA"/>
    <w:rsid w:val="006D4F6D"/>
    <w:rsid w:val="006D5002"/>
    <w:rsid w:val="006D5025"/>
    <w:rsid w:val="006D5059"/>
    <w:rsid w:val="006D50CD"/>
    <w:rsid w:val="006D5198"/>
    <w:rsid w:val="006D53A1"/>
    <w:rsid w:val="006D53B9"/>
    <w:rsid w:val="006D546F"/>
    <w:rsid w:val="006D55A4"/>
    <w:rsid w:val="006D5706"/>
    <w:rsid w:val="006D57C3"/>
    <w:rsid w:val="006D57C4"/>
    <w:rsid w:val="006D57DF"/>
    <w:rsid w:val="006D5891"/>
    <w:rsid w:val="006D589B"/>
    <w:rsid w:val="006D58A6"/>
    <w:rsid w:val="006D5A63"/>
    <w:rsid w:val="006D5ABC"/>
    <w:rsid w:val="006D5AEB"/>
    <w:rsid w:val="006D5BC7"/>
    <w:rsid w:val="006D5BE5"/>
    <w:rsid w:val="006D5C19"/>
    <w:rsid w:val="006D5C4F"/>
    <w:rsid w:val="006D5C52"/>
    <w:rsid w:val="006D5C96"/>
    <w:rsid w:val="006D5E3B"/>
    <w:rsid w:val="006D5E82"/>
    <w:rsid w:val="006D5E9F"/>
    <w:rsid w:val="006D5EF5"/>
    <w:rsid w:val="006D5F96"/>
    <w:rsid w:val="006D61B5"/>
    <w:rsid w:val="006D63EF"/>
    <w:rsid w:val="006D6433"/>
    <w:rsid w:val="006D6516"/>
    <w:rsid w:val="006D6525"/>
    <w:rsid w:val="006D65CD"/>
    <w:rsid w:val="006D663B"/>
    <w:rsid w:val="006D666E"/>
    <w:rsid w:val="006D679C"/>
    <w:rsid w:val="006D68AE"/>
    <w:rsid w:val="006D6912"/>
    <w:rsid w:val="006D6923"/>
    <w:rsid w:val="006D693B"/>
    <w:rsid w:val="006D6B35"/>
    <w:rsid w:val="006D6BA3"/>
    <w:rsid w:val="006D6BDE"/>
    <w:rsid w:val="006D6EA5"/>
    <w:rsid w:val="006D6F24"/>
    <w:rsid w:val="006D704E"/>
    <w:rsid w:val="006D7058"/>
    <w:rsid w:val="006D7115"/>
    <w:rsid w:val="006D724A"/>
    <w:rsid w:val="006D7328"/>
    <w:rsid w:val="006D74F2"/>
    <w:rsid w:val="006D75B7"/>
    <w:rsid w:val="006D76C1"/>
    <w:rsid w:val="006D7791"/>
    <w:rsid w:val="006D77C0"/>
    <w:rsid w:val="006D7851"/>
    <w:rsid w:val="006D797A"/>
    <w:rsid w:val="006D7ACD"/>
    <w:rsid w:val="006D7CE5"/>
    <w:rsid w:val="006D7CF1"/>
    <w:rsid w:val="006D7E11"/>
    <w:rsid w:val="006D7F54"/>
    <w:rsid w:val="006D7F7E"/>
    <w:rsid w:val="006E0092"/>
    <w:rsid w:val="006E00BE"/>
    <w:rsid w:val="006E0155"/>
    <w:rsid w:val="006E0247"/>
    <w:rsid w:val="006E02FE"/>
    <w:rsid w:val="006E03C3"/>
    <w:rsid w:val="006E0413"/>
    <w:rsid w:val="006E0474"/>
    <w:rsid w:val="006E04D7"/>
    <w:rsid w:val="006E0544"/>
    <w:rsid w:val="006E05BB"/>
    <w:rsid w:val="006E05F7"/>
    <w:rsid w:val="006E065C"/>
    <w:rsid w:val="006E066F"/>
    <w:rsid w:val="006E07BB"/>
    <w:rsid w:val="006E092B"/>
    <w:rsid w:val="006E0A02"/>
    <w:rsid w:val="006E0B94"/>
    <w:rsid w:val="006E0BDB"/>
    <w:rsid w:val="006E0C17"/>
    <w:rsid w:val="006E0C43"/>
    <w:rsid w:val="006E0C7B"/>
    <w:rsid w:val="006E0E6A"/>
    <w:rsid w:val="006E0E89"/>
    <w:rsid w:val="006E0F73"/>
    <w:rsid w:val="006E0F93"/>
    <w:rsid w:val="006E100E"/>
    <w:rsid w:val="006E1017"/>
    <w:rsid w:val="006E101A"/>
    <w:rsid w:val="006E10B2"/>
    <w:rsid w:val="006E10D5"/>
    <w:rsid w:val="006E1122"/>
    <w:rsid w:val="006E114E"/>
    <w:rsid w:val="006E1174"/>
    <w:rsid w:val="006E120F"/>
    <w:rsid w:val="006E1214"/>
    <w:rsid w:val="006E1247"/>
    <w:rsid w:val="006E1254"/>
    <w:rsid w:val="006E12F6"/>
    <w:rsid w:val="006E13D4"/>
    <w:rsid w:val="006E1461"/>
    <w:rsid w:val="006E14A6"/>
    <w:rsid w:val="006E170F"/>
    <w:rsid w:val="006E174E"/>
    <w:rsid w:val="006E189E"/>
    <w:rsid w:val="006E1A7C"/>
    <w:rsid w:val="006E1B60"/>
    <w:rsid w:val="006E1B71"/>
    <w:rsid w:val="006E1BE9"/>
    <w:rsid w:val="006E1DDB"/>
    <w:rsid w:val="006E1EFF"/>
    <w:rsid w:val="006E1FB9"/>
    <w:rsid w:val="006E2135"/>
    <w:rsid w:val="006E215E"/>
    <w:rsid w:val="006E21A9"/>
    <w:rsid w:val="006E21C9"/>
    <w:rsid w:val="006E2335"/>
    <w:rsid w:val="006E2462"/>
    <w:rsid w:val="006E249F"/>
    <w:rsid w:val="006E2594"/>
    <w:rsid w:val="006E269D"/>
    <w:rsid w:val="006E270A"/>
    <w:rsid w:val="006E2776"/>
    <w:rsid w:val="006E2792"/>
    <w:rsid w:val="006E281C"/>
    <w:rsid w:val="006E2844"/>
    <w:rsid w:val="006E2889"/>
    <w:rsid w:val="006E28D6"/>
    <w:rsid w:val="006E28F1"/>
    <w:rsid w:val="006E2A76"/>
    <w:rsid w:val="006E2AB4"/>
    <w:rsid w:val="006E2B4D"/>
    <w:rsid w:val="006E2C41"/>
    <w:rsid w:val="006E2CAB"/>
    <w:rsid w:val="006E2CC9"/>
    <w:rsid w:val="006E2D2D"/>
    <w:rsid w:val="006E2D56"/>
    <w:rsid w:val="006E2D5B"/>
    <w:rsid w:val="006E2DD9"/>
    <w:rsid w:val="006E2DFC"/>
    <w:rsid w:val="006E2E02"/>
    <w:rsid w:val="006E2E3F"/>
    <w:rsid w:val="006E2E42"/>
    <w:rsid w:val="006E2F61"/>
    <w:rsid w:val="006E2F98"/>
    <w:rsid w:val="006E3059"/>
    <w:rsid w:val="006E316D"/>
    <w:rsid w:val="006E325B"/>
    <w:rsid w:val="006E32AB"/>
    <w:rsid w:val="006E3385"/>
    <w:rsid w:val="006E33AB"/>
    <w:rsid w:val="006E33E0"/>
    <w:rsid w:val="006E3474"/>
    <w:rsid w:val="006E3487"/>
    <w:rsid w:val="006E350C"/>
    <w:rsid w:val="006E3537"/>
    <w:rsid w:val="006E3557"/>
    <w:rsid w:val="006E3583"/>
    <w:rsid w:val="006E367D"/>
    <w:rsid w:val="006E3879"/>
    <w:rsid w:val="006E387D"/>
    <w:rsid w:val="006E395D"/>
    <w:rsid w:val="006E3A7D"/>
    <w:rsid w:val="006E3ACD"/>
    <w:rsid w:val="006E3C14"/>
    <w:rsid w:val="006E3CAE"/>
    <w:rsid w:val="006E3E98"/>
    <w:rsid w:val="006E3F71"/>
    <w:rsid w:val="006E3FE0"/>
    <w:rsid w:val="006E4295"/>
    <w:rsid w:val="006E4360"/>
    <w:rsid w:val="006E439D"/>
    <w:rsid w:val="006E458D"/>
    <w:rsid w:val="006E45B6"/>
    <w:rsid w:val="006E47A8"/>
    <w:rsid w:val="006E4801"/>
    <w:rsid w:val="006E498A"/>
    <w:rsid w:val="006E4AC3"/>
    <w:rsid w:val="006E4B4A"/>
    <w:rsid w:val="006E4D3B"/>
    <w:rsid w:val="006E4DEB"/>
    <w:rsid w:val="006E4E07"/>
    <w:rsid w:val="006E4F7B"/>
    <w:rsid w:val="006E5027"/>
    <w:rsid w:val="006E5036"/>
    <w:rsid w:val="006E50BF"/>
    <w:rsid w:val="006E50C5"/>
    <w:rsid w:val="006E5137"/>
    <w:rsid w:val="006E5385"/>
    <w:rsid w:val="006E5433"/>
    <w:rsid w:val="006E54AA"/>
    <w:rsid w:val="006E54D6"/>
    <w:rsid w:val="006E54E6"/>
    <w:rsid w:val="006E55DB"/>
    <w:rsid w:val="006E5722"/>
    <w:rsid w:val="006E5723"/>
    <w:rsid w:val="006E572D"/>
    <w:rsid w:val="006E579A"/>
    <w:rsid w:val="006E580B"/>
    <w:rsid w:val="006E58C7"/>
    <w:rsid w:val="006E5B43"/>
    <w:rsid w:val="006E5BBC"/>
    <w:rsid w:val="006E5CEB"/>
    <w:rsid w:val="006E5E3D"/>
    <w:rsid w:val="006E5F83"/>
    <w:rsid w:val="006E5FDB"/>
    <w:rsid w:val="006E607B"/>
    <w:rsid w:val="006E61ED"/>
    <w:rsid w:val="006E6243"/>
    <w:rsid w:val="006E626A"/>
    <w:rsid w:val="006E62F6"/>
    <w:rsid w:val="006E640A"/>
    <w:rsid w:val="006E6488"/>
    <w:rsid w:val="006E64CD"/>
    <w:rsid w:val="006E6520"/>
    <w:rsid w:val="006E652E"/>
    <w:rsid w:val="006E6587"/>
    <w:rsid w:val="006E6617"/>
    <w:rsid w:val="006E6664"/>
    <w:rsid w:val="006E6666"/>
    <w:rsid w:val="006E66C1"/>
    <w:rsid w:val="006E66DE"/>
    <w:rsid w:val="006E67DD"/>
    <w:rsid w:val="006E6875"/>
    <w:rsid w:val="006E6A5F"/>
    <w:rsid w:val="006E6A6C"/>
    <w:rsid w:val="006E6AE2"/>
    <w:rsid w:val="006E6B45"/>
    <w:rsid w:val="006E6DE4"/>
    <w:rsid w:val="006E6E2C"/>
    <w:rsid w:val="006E6EFF"/>
    <w:rsid w:val="006E6F56"/>
    <w:rsid w:val="006E707D"/>
    <w:rsid w:val="006E70C0"/>
    <w:rsid w:val="006E70E7"/>
    <w:rsid w:val="006E7158"/>
    <w:rsid w:val="006E72E0"/>
    <w:rsid w:val="006E73FA"/>
    <w:rsid w:val="006E746B"/>
    <w:rsid w:val="006E74EB"/>
    <w:rsid w:val="006E751C"/>
    <w:rsid w:val="006E757E"/>
    <w:rsid w:val="006E75F9"/>
    <w:rsid w:val="006E7907"/>
    <w:rsid w:val="006E7960"/>
    <w:rsid w:val="006E79BD"/>
    <w:rsid w:val="006E7A91"/>
    <w:rsid w:val="006E7AA1"/>
    <w:rsid w:val="006E7AED"/>
    <w:rsid w:val="006E7AF2"/>
    <w:rsid w:val="006E7BD6"/>
    <w:rsid w:val="006E7C68"/>
    <w:rsid w:val="006E7CC8"/>
    <w:rsid w:val="006E7D2B"/>
    <w:rsid w:val="006E7D2F"/>
    <w:rsid w:val="006E7EA5"/>
    <w:rsid w:val="006E7F1E"/>
    <w:rsid w:val="006E7FD2"/>
    <w:rsid w:val="006E7FF3"/>
    <w:rsid w:val="006F0045"/>
    <w:rsid w:val="006F0131"/>
    <w:rsid w:val="006F0145"/>
    <w:rsid w:val="006F024B"/>
    <w:rsid w:val="006F0464"/>
    <w:rsid w:val="006F048B"/>
    <w:rsid w:val="006F0500"/>
    <w:rsid w:val="006F0634"/>
    <w:rsid w:val="006F075D"/>
    <w:rsid w:val="006F08F1"/>
    <w:rsid w:val="006F0916"/>
    <w:rsid w:val="006F0C45"/>
    <w:rsid w:val="006F0E8C"/>
    <w:rsid w:val="006F116D"/>
    <w:rsid w:val="006F1184"/>
    <w:rsid w:val="006F12FA"/>
    <w:rsid w:val="006F1342"/>
    <w:rsid w:val="006F161A"/>
    <w:rsid w:val="006F1692"/>
    <w:rsid w:val="006F1780"/>
    <w:rsid w:val="006F18C9"/>
    <w:rsid w:val="006F1969"/>
    <w:rsid w:val="006F19B6"/>
    <w:rsid w:val="006F19F5"/>
    <w:rsid w:val="006F1AD2"/>
    <w:rsid w:val="006F1BB6"/>
    <w:rsid w:val="006F1C17"/>
    <w:rsid w:val="006F1CB9"/>
    <w:rsid w:val="006F1D7A"/>
    <w:rsid w:val="006F1E3F"/>
    <w:rsid w:val="006F1F8B"/>
    <w:rsid w:val="006F1FCF"/>
    <w:rsid w:val="006F2066"/>
    <w:rsid w:val="006F20A7"/>
    <w:rsid w:val="006F20FE"/>
    <w:rsid w:val="006F2185"/>
    <w:rsid w:val="006F21B8"/>
    <w:rsid w:val="006F232A"/>
    <w:rsid w:val="006F2337"/>
    <w:rsid w:val="006F24BE"/>
    <w:rsid w:val="006F2502"/>
    <w:rsid w:val="006F2562"/>
    <w:rsid w:val="006F2563"/>
    <w:rsid w:val="006F2593"/>
    <w:rsid w:val="006F25B3"/>
    <w:rsid w:val="006F2688"/>
    <w:rsid w:val="006F275C"/>
    <w:rsid w:val="006F28A0"/>
    <w:rsid w:val="006F28E5"/>
    <w:rsid w:val="006F2A7D"/>
    <w:rsid w:val="006F2AA1"/>
    <w:rsid w:val="006F2AF7"/>
    <w:rsid w:val="006F2B23"/>
    <w:rsid w:val="006F2B8A"/>
    <w:rsid w:val="006F2BBB"/>
    <w:rsid w:val="006F2C2E"/>
    <w:rsid w:val="006F2C85"/>
    <w:rsid w:val="006F2CF7"/>
    <w:rsid w:val="006F2DF8"/>
    <w:rsid w:val="006F2E88"/>
    <w:rsid w:val="006F2ECD"/>
    <w:rsid w:val="006F30D8"/>
    <w:rsid w:val="006F3113"/>
    <w:rsid w:val="006F3124"/>
    <w:rsid w:val="006F3184"/>
    <w:rsid w:val="006F32C7"/>
    <w:rsid w:val="006F32D8"/>
    <w:rsid w:val="006F32E0"/>
    <w:rsid w:val="006F32F8"/>
    <w:rsid w:val="006F3301"/>
    <w:rsid w:val="006F3333"/>
    <w:rsid w:val="006F337B"/>
    <w:rsid w:val="006F3380"/>
    <w:rsid w:val="006F33A3"/>
    <w:rsid w:val="006F3504"/>
    <w:rsid w:val="006F350A"/>
    <w:rsid w:val="006F35E0"/>
    <w:rsid w:val="006F3637"/>
    <w:rsid w:val="006F3792"/>
    <w:rsid w:val="006F3820"/>
    <w:rsid w:val="006F39A3"/>
    <w:rsid w:val="006F3A0F"/>
    <w:rsid w:val="006F3A70"/>
    <w:rsid w:val="006F3BB0"/>
    <w:rsid w:val="006F3CA6"/>
    <w:rsid w:val="006F3CD2"/>
    <w:rsid w:val="006F3D42"/>
    <w:rsid w:val="006F41EC"/>
    <w:rsid w:val="006F4258"/>
    <w:rsid w:val="006F42A9"/>
    <w:rsid w:val="006F433F"/>
    <w:rsid w:val="006F435A"/>
    <w:rsid w:val="006F4487"/>
    <w:rsid w:val="006F45F1"/>
    <w:rsid w:val="006F460D"/>
    <w:rsid w:val="006F462C"/>
    <w:rsid w:val="006F466E"/>
    <w:rsid w:val="006F468F"/>
    <w:rsid w:val="006F477C"/>
    <w:rsid w:val="006F4853"/>
    <w:rsid w:val="006F4894"/>
    <w:rsid w:val="006F4B06"/>
    <w:rsid w:val="006F4B19"/>
    <w:rsid w:val="006F4B27"/>
    <w:rsid w:val="006F4C20"/>
    <w:rsid w:val="006F4C9D"/>
    <w:rsid w:val="006F4E3F"/>
    <w:rsid w:val="006F4E62"/>
    <w:rsid w:val="006F511A"/>
    <w:rsid w:val="006F5195"/>
    <w:rsid w:val="006F51DB"/>
    <w:rsid w:val="006F52E1"/>
    <w:rsid w:val="006F5339"/>
    <w:rsid w:val="006F5342"/>
    <w:rsid w:val="006F5363"/>
    <w:rsid w:val="006F53AD"/>
    <w:rsid w:val="006F53BC"/>
    <w:rsid w:val="006F5525"/>
    <w:rsid w:val="006F5579"/>
    <w:rsid w:val="006F5634"/>
    <w:rsid w:val="006F5728"/>
    <w:rsid w:val="006F578F"/>
    <w:rsid w:val="006F57A2"/>
    <w:rsid w:val="006F57D4"/>
    <w:rsid w:val="006F57D7"/>
    <w:rsid w:val="006F582C"/>
    <w:rsid w:val="006F585E"/>
    <w:rsid w:val="006F5894"/>
    <w:rsid w:val="006F598E"/>
    <w:rsid w:val="006F5B12"/>
    <w:rsid w:val="006F5B96"/>
    <w:rsid w:val="006F5D32"/>
    <w:rsid w:val="006F5D3A"/>
    <w:rsid w:val="006F5EBB"/>
    <w:rsid w:val="006F5F5E"/>
    <w:rsid w:val="006F5FCF"/>
    <w:rsid w:val="006F6019"/>
    <w:rsid w:val="006F60AE"/>
    <w:rsid w:val="006F6138"/>
    <w:rsid w:val="006F61C9"/>
    <w:rsid w:val="006F61FB"/>
    <w:rsid w:val="006F6286"/>
    <w:rsid w:val="006F633F"/>
    <w:rsid w:val="006F650E"/>
    <w:rsid w:val="006F6531"/>
    <w:rsid w:val="006F656D"/>
    <w:rsid w:val="006F6595"/>
    <w:rsid w:val="006F66B5"/>
    <w:rsid w:val="006F6757"/>
    <w:rsid w:val="006F6A3B"/>
    <w:rsid w:val="006F6AF4"/>
    <w:rsid w:val="006F6C1E"/>
    <w:rsid w:val="006F6C21"/>
    <w:rsid w:val="006F6C35"/>
    <w:rsid w:val="006F6E17"/>
    <w:rsid w:val="006F710D"/>
    <w:rsid w:val="006F7170"/>
    <w:rsid w:val="006F72A5"/>
    <w:rsid w:val="006F73C1"/>
    <w:rsid w:val="006F7400"/>
    <w:rsid w:val="006F749D"/>
    <w:rsid w:val="006F74F3"/>
    <w:rsid w:val="006F7542"/>
    <w:rsid w:val="006F75DF"/>
    <w:rsid w:val="006F7645"/>
    <w:rsid w:val="006F765E"/>
    <w:rsid w:val="006F768B"/>
    <w:rsid w:val="006F7A15"/>
    <w:rsid w:val="006F7A37"/>
    <w:rsid w:val="006F7ACF"/>
    <w:rsid w:val="006F7B01"/>
    <w:rsid w:val="006F7D0B"/>
    <w:rsid w:val="006F7D19"/>
    <w:rsid w:val="006F7D61"/>
    <w:rsid w:val="006F7F21"/>
    <w:rsid w:val="0070017B"/>
    <w:rsid w:val="007001B0"/>
    <w:rsid w:val="0070025A"/>
    <w:rsid w:val="00700587"/>
    <w:rsid w:val="007005D3"/>
    <w:rsid w:val="0070063D"/>
    <w:rsid w:val="00700777"/>
    <w:rsid w:val="007008C0"/>
    <w:rsid w:val="00700A0C"/>
    <w:rsid w:val="00700AF0"/>
    <w:rsid w:val="00700B02"/>
    <w:rsid w:val="00700B03"/>
    <w:rsid w:val="00700B0D"/>
    <w:rsid w:val="00700B22"/>
    <w:rsid w:val="00700BEF"/>
    <w:rsid w:val="00700CED"/>
    <w:rsid w:val="00700D77"/>
    <w:rsid w:val="00700DDE"/>
    <w:rsid w:val="00700E04"/>
    <w:rsid w:val="0070110A"/>
    <w:rsid w:val="00701314"/>
    <w:rsid w:val="0070152F"/>
    <w:rsid w:val="0070161C"/>
    <w:rsid w:val="007018F8"/>
    <w:rsid w:val="0070190A"/>
    <w:rsid w:val="0070194C"/>
    <w:rsid w:val="007019D5"/>
    <w:rsid w:val="00701A12"/>
    <w:rsid w:val="00701C44"/>
    <w:rsid w:val="00701C7C"/>
    <w:rsid w:val="00701D5E"/>
    <w:rsid w:val="00701F90"/>
    <w:rsid w:val="00701FD9"/>
    <w:rsid w:val="00702031"/>
    <w:rsid w:val="0070206F"/>
    <w:rsid w:val="00702147"/>
    <w:rsid w:val="0070219B"/>
    <w:rsid w:val="0070219E"/>
    <w:rsid w:val="00702261"/>
    <w:rsid w:val="007022EA"/>
    <w:rsid w:val="0070236B"/>
    <w:rsid w:val="0070241D"/>
    <w:rsid w:val="007024B7"/>
    <w:rsid w:val="007024F9"/>
    <w:rsid w:val="0070264F"/>
    <w:rsid w:val="007026DE"/>
    <w:rsid w:val="00702AA1"/>
    <w:rsid w:val="00702B11"/>
    <w:rsid w:val="00702D11"/>
    <w:rsid w:val="00702E3B"/>
    <w:rsid w:val="00702E59"/>
    <w:rsid w:val="0070308F"/>
    <w:rsid w:val="00703141"/>
    <w:rsid w:val="0070315F"/>
    <w:rsid w:val="007032B8"/>
    <w:rsid w:val="007035F9"/>
    <w:rsid w:val="00703644"/>
    <w:rsid w:val="007037A2"/>
    <w:rsid w:val="007037A5"/>
    <w:rsid w:val="00703841"/>
    <w:rsid w:val="007038B1"/>
    <w:rsid w:val="007038C8"/>
    <w:rsid w:val="00703901"/>
    <w:rsid w:val="00703936"/>
    <w:rsid w:val="00703947"/>
    <w:rsid w:val="00703988"/>
    <w:rsid w:val="00703A3C"/>
    <w:rsid w:val="00703A41"/>
    <w:rsid w:val="00703A93"/>
    <w:rsid w:val="00703AF4"/>
    <w:rsid w:val="00703B85"/>
    <w:rsid w:val="00703B9A"/>
    <w:rsid w:val="00703BA0"/>
    <w:rsid w:val="00703BE3"/>
    <w:rsid w:val="00703CEE"/>
    <w:rsid w:val="00703CFC"/>
    <w:rsid w:val="00703D0D"/>
    <w:rsid w:val="00703D15"/>
    <w:rsid w:val="00703E85"/>
    <w:rsid w:val="00704052"/>
    <w:rsid w:val="00704072"/>
    <w:rsid w:val="007040E0"/>
    <w:rsid w:val="007042ED"/>
    <w:rsid w:val="007042F2"/>
    <w:rsid w:val="007044A3"/>
    <w:rsid w:val="007045B0"/>
    <w:rsid w:val="00704629"/>
    <w:rsid w:val="0070466D"/>
    <w:rsid w:val="007046D0"/>
    <w:rsid w:val="0070499D"/>
    <w:rsid w:val="00704AD6"/>
    <w:rsid w:val="00704C7A"/>
    <w:rsid w:val="00704CA5"/>
    <w:rsid w:val="00704CE4"/>
    <w:rsid w:val="00704E72"/>
    <w:rsid w:val="00704E8F"/>
    <w:rsid w:val="00704F43"/>
    <w:rsid w:val="0070503C"/>
    <w:rsid w:val="007051C6"/>
    <w:rsid w:val="007052D8"/>
    <w:rsid w:val="007052FB"/>
    <w:rsid w:val="00705515"/>
    <w:rsid w:val="00705692"/>
    <w:rsid w:val="00705733"/>
    <w:rsid w:val="00705752"/>
    <w:rsid w:val="0070577A"/>
    <w:rsid w:val="00705894"/>
    <w:rsid w:val="007058C5"/>
    <w:rsid w:val="00705C53"/>
    <w:rsid w:val="00705D68"/>
    <w:rsid w:val="00705DA5"/>
    <w:rsid w:val="00705EC0"/>
    <w:rsid w:val="00705F60"/>
    <w:rsid w:val="007060CC"/>
    <w:rsid w:val="007060D2"/>
    <w:rsid w:val="00706181"/>
    <w:rsid w:val="00706182"/>
    <w:rsid w:val="0070619A"/>
    <w:rsid w:val="00706282"/>
    <w:rsid w:val="00706334"/>
    <w:rsid w:val="0070636E"/>
    <w:rsid w:val="00706474"/>
    <w:rsid w:val="007064A1"/>
    <w:rsid w:val="00706536"/>
    <w:rsid w:val="007065EB"/>
    <w:rsid w:val="0070669F"/>
    <w:rsid w:val="00706848"/>
    <w:rsid w:val="007068E5"/>
    <w:rsid w:val="00706932"/>
    <w:rsid w:val="00706A69"/>
    <w:rsid w:val="00706B31"/>
    <w:rsid w:val="00706D6D"/>
    <w:rsid w:val="00706DCE"/>
    <w:rsid w:val="00706DE7"/>
    <w:rsid w:val="00706E2B"/>
    <w:rsid w:val="00706E67"/>
    <w:rsid w:val="00706F83"/>
    <w:rsid w:val="0070720F"/>
    <w:rsid w:val="007073DE"/>
    <w:rsid w:val="00707500"/>
    <w:rsid w:val="007075C4"/>
    <w:rsid w:val="00707610"/>
    <w:rsid w:val="00707621"/>
    <w:rsid w:val="007078BD"/>
    <w:rsid w:val="0070793A"/>
    <w:rsid w:val="00707969"/>
    <w:rsid w:val="00707AAC"/>
    <w:rsid w:val="00707B83"/>
    <w:rsid w:val="00707BD5"/>
    <w:rsid w:val="00707C38"/>
    <w:rsid w:val="00707CB4"/>
    <w:rsid w:val="00707D25"/>
    <w:rsid w:val="00707D4A"/>
    <w:rsid w:val="00707E86"/>
    <w:rsid w:val="00710029"/>
    <w:rsid w:val="00710037"/>
    <w:rsid w:val="00710158"/>
    <w:rsid w:val="007101C7"/>
    <w:rsid w:val="00710206"/>
    <w:rsid w:val="00710208"/>
    <w:rsid w:val="0071024A"/>
    <w:rsid w:val="0071037D"/>
    <w:rsid w:val="007104B6"/>
    <w:rsid w:val="0071053E"/>
    <w:rsid w:val="007106B6"/>
    <w:rsid w:val="007106C9"/>
    <w:rsid w:val="00710716"/>
    <w:rsid w:val="007107F1"/>
    <w:rsid w:val="00710848"/>
    <w:rsid w:val="00710857"/>
    <w:rsid w:val="00710989"/>
    <w:rsid w:val="007109E6"/>
    <w:rsid w:val="00710B9D"/>
    <w:rsid w:val="00710BA2"/>
    <w:rsid w:val="00710C47"/>
    <w:rsid w:val="00710C8E"/>
    <w:rsid w:val="00710DB3"/>
    <w:rsid w:val="00710E2B"/>
    <w:rsid w:val="00710F9A"/>
    <w:rsid w:val="00710FA2"/>
    <w:rsid w:val="0071108B"/>
    <w:rsid w:val="007110AD"/>
    <w:rsid w:val="00711329"/>
    <w:rsid w:val="00711443"/>
    <w:rsid w:val="00711799"/>
    <w:rsid w:val="00711838"/>
    <w:rsid w:val="007118D8"/>
    <w:rsid w:val="00711990"/>
    <w:rsid w:val="007119E3"/>
    <w:rsid w:val="00711A03"/>
    <w:rsid w:val="00711DAB"/>
    <w:rsid w:val="00711E9C"/>
    <w:rsid w:val="0071207C"/>
    <w:rsid w:val="007120B3"/>
    <w:rsid w:val="00712259"/>
    <w:rsid w:val="00712290"/>
    <w:rsid w:val="007122A0"/>
    <w:rsid w:val="00712424"/>
    <w:rsid w:val="0071242D"/>
    <w:rsid w:val="007124ED"/>
    <w:rsid w:val="00712530"/>
    <w:rsid w:val="0071255F"/>
    <w:rsid w:val="0071267B"/>
    <w:rsid w:val="007126F8"/>
    <w:rsid w:val="00712729"/>
    <w:rsid w:val="00712777"/>
    <w:rsid w:val="007128F4"/>
    <w:rsid w:val="00712B7C"/>
    <w:rsid w:val="00712D25"/>
    <w:rsid w:val="00712D4D"/>
    <w:rsid w:val="00712E67"/>
    <w:rsid w:val="00712F2E"/>
    <w:rsid w:val="00712FF9"/>
    <w:rsid w:val="007130D0"/>
    <w:rsid w:val="00713123"/>
    <w:rsid w:val="007132BA"/>
    <w:rsid w:val="007132BC"/>
    <w:rsid w:val="00713322"/>
    <w:rsid w:val="0071338E"/>
    <w:rsid w:val="007134C5"/>
    <w:rsid w:val="0071360C"/>
    <w:rsid w:val="0071361F"/>
    <w:rsid w:val="007136C3"/>
    <w:rsid w:val="00713782"/>
    <w:rsid w:val="00713851"/>
    <w:rsid w:val="007138FA"/>
    <w:rsid w:val="00713A09"/>
    <w:rsid w:val="00713A0A"/>
    <w:rsid w:val="00713A1B"/>
    <w:rsid w:val="00713B63"/>
    <w:rsid w:val="00713BFF"/>
    <w:rsid w:val="00713C6D"/>
    <w:rsid w:val="00713D94"/>
    <w:rsid w:val="00713DC9"/>
    <w:rsid w:val="00713F82"/>
    <w:rsid w:val="007140E3"/>
    <w:rsid w:val="007141FC"/>
    <w:rsid w:val="00714266"/>
    <w:rsid w:val="00714309"/>
    <w:rsid w:val="007143BB"/>
    <w:rsid w:val="007143E3"/>
    <w:rsid w:val="007143E6"/>
    <w:rsid w:val="0071444F"/>
    <w:rsid w:val="00714725"/>
    <w:rsid w:val="00714748"/>
    <w:rsid w:val="007147BB"/>
    <w:rsid w:val="00714852"/>
    <w:rsid w:val="00714911"/>
    <w:rsid w:val="00714940"/>
    <w:rsid w:val="00714A09"/>
    <w:rsid w:val="00714A64"/>
    <w:rsid w:val="00714B34"/>
    <w:rsid w:val="00714B9E"/>
    <w:rsid w:val="00714BD1"/>
    <w:rsid w:val="00714BFD"/>
    <w:rsid w:val="00714D40"/>
    <w:rsid w:val="00714D74"/>
    <w:rsid w:val="00714D96"/>
    <w:rsid w:val="00714FC0"/>
    <w:rsid w:val="0071504A"/>
    <w:rsid w:val="0071508C"/>
    <w:rsid w:val="007150D2"/>
    <w:rsid w:val="00715153"/>
    <w:rsid w:val="00715321"/>
    <w:rsid w:val="0071553D"/>
    <w:rsid w:val="007155D0"/>
    <w:rsid w:val="007156B4"/>
    <w:rsid w:val="007156E2"/>
    <w:rsid w:val="007156EA"/>
    <w:rsid w:val="00715850"/>
    <w:rsid w:val="00715908"/>
    <w:rsid w:val="00715954"/>
    <w:rsid w:val="00715C19"/>
    <w:rsid w:val="00715D5E"/>
    <w:rsid w:val="00715D6D"/>
    <w:rsid w:val="00715DC1"/>
    <w:rsid w:val="00715EB0"/>
    <w:rsid w:val="00715ECA"/>
    <w:rsid w:val="00715F1E"/>
    <w:rsid w:val="007161C7"/>
    <w:rsid w:val="00716246"/>
    <w:rsid w:val="0071625B"/>
    <w:rsid w:val="007164B4"/>
    <w:rsid w:val="00716609"/>
    <w:rsid w:val="0071660A"/>
    <w:rsid w:val="007166C4"/>
    <w:rsid w:val="007166DE"/>
    <w:rsid w:val="0071672F"/>
    <w:rsid w:val="00716772"/>
    <w:rsid w:val="007167E0"/>
    <w:rsid w:val="0071683C"/>
    <w:rsid w:val="00716A5A"/>
    <w:rsid w:val="00716B88"/>
    <w:rsid w:val="00716B8D"/>
    <w:rsid w:val="00716C9B"/>
    <w:rsid w:val="00716DCC"/>
    <w:rsid w:val="00716F68"/>
    <w:rsid w:val="00717166"/>
    <w:rsid w:val="00717266"/>
    <w:rsid w:val="0071738D"/>
    <w:rsid w:val="007173CA"/>
    <w:rsid w:val="007173EA"/>
    <w:rsid w:val="0071748D"/>
    <w:rsid w:val="00717631"/>
    <w:rsid w:val="00717712"/>
    <w:rsid w:val="00717758"/>
    <w:rsid w:val="00717771"/>
    <w:rsid w:val="007177D0"/>
    <w:rsid w:val="00717854"/>
    <w:rsid w:val="007179D5"/>
    <w:rsid w:val="007179E6"/>
    <w:rsid w:val="00717A64"/>
    <w:rsid w:val="00717ADD"/>
    <w:rsid w:val="00717AE9"/>
    <w:rsid w:val="00717BFE"/>
    <w:rsid w:val="00717D9F"/>
    <w:rsid w:val="00717FE7"/>
    <w:rsid w:val="0072007C"/>
    <w:rsid w:val="007200AE"/>
    <w:rsid w:val="0072046D"/>
    <w:rsid w:val="007204C1"/>
    <w:rsid w:val="007204E7"/>
    <w:rsid w:val="00720566"/>
    <w:rsid w:val="007205DF"/>
    <w:rsid w:val="00720695"/>
    <w:rsid w:val="0072081C"/>
    <w:rsid w:val="00720877"/>
    <w:rsid w:val="007208CC"/>
    <w:rsid w:val="0072092E"/>
    <w:rsid w:val="00720BE9"/>
    <w:rsid w:val="00720C5F"/>
    <w:rsid w:val="00720C76"/>
    <w:rsid w:val="00720CDA"/>
    <w:rsid w:val="00720F05"/>
    <w:rsid w:val="00720F06"/>
    <w:rsid w:val="00720F3C"/>
    <w:rsid w:val="00720FA7"/>
    <w:rsid w:val="00721111"/>
    <w:rsid w:val="00721165"/>
    <w:rsid w:val="0072118E"/>
    <w:rsid w:val="007211E2"/>
    <w:rsid w:val="0072125D"/>
    <w:rsid w:val="007212B3"/>
    <w:rsid w:val="0072130A"/>
    <w:rsid w:val="0072130B"/>
    <w:rsid w:val="0072130D"/>
    <w:rsid w:val="0072137E"/>
    <w:rsid w:val="007213D2"/>
    <w:rsid w:val="00721452"/>
    <w:rsid w:val="007214B5"/>
    <w:rsid w:val="007215B7"/>
    <w:rsid w:val="007216A7"/>
    <w:rsid w:val="00721712"/>
    <w:rsid w:val="0072171D"/>
    <w:rsid w:val="0072173B"/>
    <w:rsid w:val="00721781"/>
    <w:rsid w:val="00721782"/>
    <w:rsid w:val="0072189C"/>
    <w:rsid w:val="00721D81"/>
    <w:rsid w:val="00721DE1"/>
    <w:rsid w:val="00721E3C"/>
    <w:rsid w:val="00721EE8"/>
    <w:rsid w:val="0072211C"/>
    <w:rsid w:val="0072217F"/>
    <w:rsid w:val="007221B1"/>
    <w:rsid w:val="0072238E"/>
    <w:rsid w:val="0072242F"/>
    <w:rsid w:val="00722443"/>
    <w:rsid w:val="007224DD"/>
    <w:rsid w:val="0072256B"/>
    <w:rsid w:val="007225A9"/>
    <w:rsid w:val="007226DE"/>
    <w:rsid w:val="007226FF"/>
    <w:rsid w:val="007227FD"/>
    <w:rsid w:val="007229DE"/>
    <w:rsid w:val="00722B60"/>
    <w:rsid w:val="00722C91"/>
    <w:rsid w:val="00722D38"/>
    <w:rsid w:val="00722D83"/>
    <w:rsid w:val="00722EC8"/>
    <w:rsid w:val="00722F10"/>
    <w:rsid w:val="00722F85"/>
    <w:rsid w:val="00722F96"/>
    <w:rsid w:val="00723023"/>
    <w:rsid w:val="00723071"/>
    <w:rsid w:val="00723113"/>
    <w:rsid w:val="0072316B"/>
    <w:rsid w:val="007231E0"/>
    <w:rsid w:val="0072320B"/>
    <w:rsid w:val="00723291"/>
    <w:rsid w:val="0072335D"/>
    <w:rsid w:val="007233E9"/>
    <w:rsid w:val="00723421"/>
    <w:rsid w:val="00723434"/>
    <w:rsid w:val="007234A3"/>
    <w:rsid w:val="0072350F"/>
    <w:rsid w:val="00723603"/>
    <w:rsid w:val="00723690"/>
    <w:rsid w:val="00723915"/>
    <w:rsid w:val="007239F0"/>
    <w:rsid w:val="00723AF0"/>
    <w:rsid w:val="00723BF4"/>
    <w:rsid w:val="00723C5B"/>
    <w:rsid w:val="00723DE9"/>
    <w:rsid w:val="00723F85"/>
    <w:rsid w:val="007240E7"/>
    <w:rsid w:val="0072415D"/>
    <w:rsid w:val="0072440C"/>
    <w:rsid w:val="00724452"/>
    <w:rsid w:val="007244A4"/>
    <w:rsid w:val="007246C9"/>
    <w:rsid w:val="007248AF"/>
    <w:rsid w:val="00724912"/>
    <w:rsid w:val="00724AB4"/>
    <w:rsid w:val="00724AE4"/>
    <w:rsid w:val="00724BFC"/>
    <w:rsid w:val="00724C9B"/>
    <w:rsid w:val="00724D2D"/>
    <w:rsid w:val="00724D92"/>
    <w:rsid w:val="00724D9C"/>
    <w:rsid w:val="00724DDA"/>
    <w:rsid w:val="00724F0D"/>
    <w:rsid w:val="00725199"/>
    <w:rsid w:val="00725286"/>
    <w:rsid w:val="007252C2"/>
    <w:rsid w:val="007253B9"/>
    <w:rsid w:val="0072540E"/>
    <w:rsid w:val="00725444"/>
    <w:rsid w:val="00725651"/>
    <w:rsid w:val="007256B1"/>
    <w:rsid w:val="007256C2"/>
    <w:rsid w:val="007256CF"/>
    <w:rsid w:val="0072578C"/>
    <w:rsid w:val="00725944"/>
    <w:rsid w:val="0072594E"/>
    <w:rsid w:val="00725992"/>
    <w:rsid w:val="00725AD8"/>
    <w:rsid w:val="00725AFA"/>
    <w:rsid w:val="00725B9F"/>
    <w:rsid w:val="00725C2E"/>
    <w:rsid w:val="00725D60"/>
    <w:rsid w:val="00725DC6"/>
    <w:rsid w:val="00725E96"/>
    <w:rsid w:val="00725EF7"/>
    <w:rsid w:val="00725F16"/>
    <w:rsid w:val="00725FD3"/>
    <w:rsid w:val="00725FF7"/>
    <w:rsid w:val="00726004"/>
    <w:rsid w:val="00726088"/>
    <w:rsid w:val="007260B5"/>
    <w:rsid w:val="007260F9"/>
    <w:rsid w:val="00726177"/>
    <w:rsid w:val="007263E4"/>
    <w:rsid w:val="007267E7"/>
    <w:rsid w:val="00726825"/>
    <w:rsid w:val="007269C8"/>
    <w:rsid w:val="00726A7C"/>
    <w:rsid w:val="00726B23"/>
    <w:rsid w:val="00726B49"/>
    <w:rsid w:val="00726C73"/>
    <w:rsid w:val="00726D75"/>
    <w:rsid w:val="00726D97"/>
    <w:rsid w:val="00726F25"/>
    <w:rsid w:val="0072727E"/>
    <w:rsid w:val="007272C1"/>
    <w:rsid w:val="00727301"/>
    <w:rsid w:val="0072749F"/>
    <w:rsid w:val="00727549"/>
    <w:rsid w:val="007277BF"/>
    <w:rsid w:val="0072784B"/>
    <w:rsid w:val="007278CA"/>
    <w:rsid w:val="007278FB"/>
    <w:rsid w:val="00727B1F"/>
    <w:rsid w:val="00727B25"/>
    <w:rsid w:val="00727B83"/>
    <w:rsid w:val="00727BEF"/>
    <w:rsid w:val="00727D3A"/>
    <w:rsid w:val="00727D58"/>
    <w:rsid w:val="00727D6E"/>
    <w:rsid w:val="00727D83"/>
    <w:rsid w:val="00727EA1"/>
    <w:rsid w:val="00727F35"/>
    <w:rsid w:val="00730043"/>
    <w:rsid w:val="0073018D"/>
    <w:rsid w:val="007301D5"/>
    <w:rsid w:val="0073047F"/>
    <w:rsid w:val="00730497"/>
    <w:rsid w:val="007304FB"/>
    <w:rsid w:val="00730509"/>
    <w:rsid w:val="007307EC"/>
    <w:rsid w:val="00730815"/>
    <w:rsid w:val="00730A3E"/>
    <w:rsid w:val="00730A7D"/>
    <w:rsid w:val="00730CB3"/>
    <w:rsid w:val="00730CD5"/>
    <w:rsid w:val="00730E0A"/>
    <w:rsid w:val="00730F11"/>
    <w:rsid w:val="00730F13"/>
    <w:rsid w:val="00731044"/>
    <w:rsid w:val="0073107B"/>
    <w:rsid w:val="00731136"/>
    <w:rsid w:val="00731177"/>
    <w:rsid w:val="00731210"/>
    <w:rsid w:val="007312BA"/>
    <w:rsid w:val="0073137C"/>
    <w:rsid w:val="00731414"/>
    <w:rsid w:val="0073149F"/>
    <w:rsid w:val="007314E8"/>
    <w:rsid w:val="007316B8"/>
    <w:rsid w:val="007316CB"/>
    <w:rsid w:val="0073177E"/>
    <w:rsid w:val="007317BD"/>
    <w:rsid w:val="0073184C"/>
    <w:rsid w:val="00731894"/>
    <w:rsid w:val="007318E7"/>
    <w:rsid w:val="00731A0F"/>
    <w:rsid w:val="00731AAE"/>
    <w:rsid w:val="00731CC1"/>
    <w:rsid w:val="00731CEE"/>
    <w:rsid w:val="00731D22"/>
    <w:rsid w:val="00731DB9"/>
    <w:rsid w:val="00731DDD"/>
    <w:rsid w:val="00731EDD"/>
    <w:rsid w:val="00731EF7"/>
    <w:rsid w:val="00731F40"/>
    <w:rsid w:val="007320E8"/>
    <w:rsid w:val="00732396"/>
    <w:rsid w:val="007323D8"/>
    <w:rsid w:val="007323F1"/>
    <w:rsid w:val="00732424"/>
    <w:rsid w:val="0073246D"/>
    <w:rsid w:val="007325B2"/>
    <w:rsid w:val="007325D3"/>
    <w:rsid w:val="00732611"/>
    <w:rsid w:val="00732986"/>
    <w:rsid w:val="00732AC6"/>
    <w:rsid w:val="00732C29"/>
    <w:rsid w:val="00732C9F"/>
    <w:rsid w:val="00732DF1"/>
    <w:rsid w:val="00732FA5"/>
    <w:rsid w:val="007330B8"/>
    <w:rsid w:val="007331EB"/>
    <w:rsid w:val="00733212"/>
    <w:rsid w:val="00733354"/>
    <w:rsid w:val="0073339E"/>
    <w:rsid w:val="0073346D"/>
    <w:rsid w:val="00733525"/>
    <w:rsid w:val="007335A5"/>
    <w:rsid w:val="007335EB"/>
    <w:rsid w:val="00733628"/>
    <w:rsid w:val="0073366C"/>
    <w:rsid w:val="00733A36"/>
    <w:rsid w:val="00733A89"/>
    <w:rsid w:val="00733ABC"/>
    <w:rsid w:val="00733AEB"/>
    <w:rsid w:val="00733B05"/>
    <w:rsid w:val="00733B32"/>
    <w:rsid w:val="00733BE0"/>
    <w:rsid w:val="00733D0A"/>
    <w:rsid w:val="00733D6E"/>
    <w:rsid w:val="00733E26"/>
    <w:rsid w:val="00733EE3"/>
    <w:rsid w:val="00734030"/>
    <w:rsid w:val="00734074"/>
    <w:rsid w:val="007341A5"/>
    <w:rsid w:val="0073425B"/>
    <w:rsid w:val="007344C9"/>
    <w:rsid w:val="00734527"/>
    <w:rsid w:val="00734589"/>
    <w:rsid w:val="007345A3"/>
    <w:rsid w:val="007345C2"/>
    <w:rsid w:val="0073473A"/>
    <w:rsid w:val="007347D9"/>
    <w:rsid w:val="00734864"/>
    <w:rsid w:val="0073486D"/>
    <w:rsid w:val="007348C9"/>
    <w:rsid w:val="00734903"/>
    <w:rsid w:val="0073498E"/>
    <w:rsid w:val="00734C05"/>
    <w:rsid w:val="00734F65"/>
    <w:rsid w:val="00735004"/>
    <w:rsid w:val="0073508B"/>
    <w:rsid w:val="007350E1"/>
    <w:rsid w:val="00735117"/>
    <w:rsid w:val="00735148"/>
    <w:rsid w:val="007351BA"/>
    <w:rsid w:val="00735212"/>
    <w:rsid w:val="0073530F"/>
    <w:rsid w:val="00735434"/>
    <w:rsid w:val="007354FA"/>
    <w:rsid w:val="00735526"/>
    <w:rsid w:val="00735641"/>
    <w:rsid w:val="00735737"/>
    <w:rsid w:val="00735915"/>
    <w:rsid w:val="00735A8E"/>
    <w:rsid w:val="00735BA8"/>
    <w:rsid w:val="00735CBA"/>
    <w:rsid w:val="00735D5C"/>
    <w:rsid w:val="00735EFD"/>
    <w:rsid w:val="00735F14"/>
    <w:rsid w:val="00735F71"/>
    <w:rsid w:val="007361C5"/>
    <w:rsid w:val="007363CB"/>
    <w:rsid w:val="007363D6"/>
    <w:rsid w:val="007363FB"/>
    <w:rsid w:val="00736401"/>
    <w:rsid w:val="0073640B"/>
    <w:rsid w:val="0073641E"/>
    <w:rsid w:val="0073644E"/>
    <w:rsid w:val="007364F2"/>
    <w:rsid w:val="00736546"/>
    <w:rsid w:val="007365F1"/>
    <w:rsid w:val="00736646"/>
    <w:rsid w:val="0073664A"/>
    <w:rsid w:val="00736679"/>
    <w:rsid w:val="007367AB"/>
    <w:rsid w:val="00736853"/>
    <w:rsid w:val="00736898"/>
    <w:rsid w:val="007368A9"/>
    <w:rsid w:val="007369B3"/>
    <w:rsid w:val="007369D3"/>
    <w:rsid w:val="00736B69"/>
    <w:rsid w:val="00736D2E"/>
    <w:rsid w:val="00736D33"/>
    <w:rsid w:val="00736E71"/>
    <w:rsid w:val="00736E8A"/>
    <w:rsid w:val="00736EDA"/>
    <w:rsid w:val="00736F2C"/>
    <w:rsid w:val="0073702B"/>
    <w:rsid w:val="007370CE"/>
    <w:rsid w:val="0073720C"/>
    <w:rsid w:val="0073723B"/>
    <w:rsid w:val="0073724B"/>
    <w:rsid w:val="00737281"/>
    <w:rsid w:val="00737345"/>
    <w:rsid w:val="00737502"/>
    <w:rsid w:val="00737518"/>
    <w:rsid w:val="007375FE"/>
    <w:rsid w:val="00737645"/>
    <w:rsid w:val="007376A6"/>
    <w:rsid w:val="00737790"/>
    <w:rsid w:val="0073788E"/>
    <w:rsid w:val="007378C3"/>
    <w:rsid w:val="00737954"/>
    <w:rsid w:val="007379AD"/>
    <w:rsid w:val="007379D5"/>
    <w:rsid w:val="00737BA7"/>
    <w:rsid w:val="00737BC4"/>
    <w:rsid w:val="00737C2F"/>
    <w:rsid w:val="00737CBC"/>
    <w:rsid w:val="00737E66"/>
    <w:rsid w:val="00737F00"/>
    <w:rsid w:val="00737F06"/>
    <w:rsid w:val="00737F4F"/>
    <w:rsid w:val="00737FC3"/>
    <w:rsid w:val="00740064"/>
    <w:rsid w:val="00740101"/>
    <w:rsid w:val="0074024A"/>
    <w:rsid w:val="007402CA"/>
    <w:rsid w:val="0074043A"/>
    <w:rsid w:val="0074047C"/>
    <w:rsid w:val="007404FF"/>
    <w:rsid w:val="0074066A"/>
    <w:rsid w:val="007406BB"/>
    <w:rsid w:val="007407A3"/>
    <w:rsid w:val="00740858"/>
    <w:rsid w:val="007408B1"/>
    <w:rsid w:val="00740914"/>
    <w:rsid w:val="007409CB"/>
    <w:rsid w:val="00740A0B"/>
    <w:rsid w:val="00740AB3"/>
    <w:rsid w:val="00740B0A"/>
    <w:rsid w:val="00740B40"/>
    <w:rsid w:val="00740BA5"/>
    <w:rsid w:val="00740BDE"/>
    <w:rsid w:val="00740BE7"/>
    <w:rsid w:val="00740BEB"/>
    <w:rsid w:val="00740C8A"/>
    <w:rsid w:val="00740F30"/>
    <w:rsid w:val="00740F48"/>
    <w:rsid w:val="00740F4E"/>
    <w:rsid w:val="00740F51"/>
    <w:rsid w:val="00740FE4"/>
    <w:rsid w:val="00741043"/>
    <w:rsid w:val="00741077"/>
    <w:rsid w:val="00741127"/>
    <w:rsid w:val="007411F0"/>
    <w:rsid w:val="00741234"/>
    <w:rsid w:val="0074126D"/>
    <w:rsid w:val="0074128C"/>
    <w:rsid w:val="0074129F"/>
    <w:rsid w:val="007412B4"/>
    <w:rsid w:val="007413B5"/>
    <w:rsid w:val="007415D8"/>
    <w:rsid w:val="00741695"/>
    <w:rsid w:val="0074177D"/>
    <w:rsid w:val="00741795"/>
    <w:rsid w:val="0074186F"/>
    <w:rsid w:val="007418A1"/>
    <w:rsid w:val="00741A63"/>
    <w:rsid w:val="00741ADC"/>
    <w:rsid w:val="00741B3F"/>
    <w:rsid w:val="00741B73"/>
    <w:rsid w:val="00741BB2"/>
    <w:rsid w:val="00741BC6"/>
    <w:rsid w:val="00741C2E"/>
    <w:rsid w:val="00741D00"/>
    <w:rsid w:val="00741D32"/>
    <w:rsid w:val="00741D89"/>
    <w:rsid w:val="00741E3D"/>
    <w:rsid w:val="00741EFC"/>
    <w:rsid w:val="00741F8D"/>
    <w:rsid w:val="00742017"/>
    <w:rsid w:val="0074203F"/>
    <w:rsid w:val="00742126"/>
    <w:rsid w:val="0074217A"/>
    <w:rsid w:val="00742198"/>
    <w:rsid w:val="007421F5"/>
    <w:rsid w:val="00742261"/>
    <w:rsid w:val="0074226E"/>
    <w:rsid w:val="00742288"/>
    <w:rsid w:val="00742295"/>
    <w:rsid w:val="00742352"/>
    <w:rsid w:val="0074236C"/>
    <w:rsid w:val="00742501"/>
    <w:rsid w:val="007425EA"/>
    <w:rsid w:val="00742622"/>
    <w:rsid w:val="007427BB"/>
    <w:rsid w:val="00742837"/>
    <w:rsid w:val="007429E3"/>
    <w:rsid w:val="00742AE9"/>
    <w:rsid w:val="00742DCF"/>
    <w:rsid w:val="00742F1E"/>
    <w:rsid w:val="00742FBA"/>
    <w:rsid w:val="0074300F"/>
    <w:rsid w:val="0074301E"/>
    <w:rsid w:val="00743073"/>
    <w:rsid w:val="007430BD"/>
    <w:rsid w:val="007430E2"/>
    <w:rsid w:val="00743104"/>
    <w:rsid w:val="00743107"/>
    <w:rsid w:val="00743138"/>
    <w:rsid w:val="007432E1"/>
    <w:rsid w:val="00743306"/>
    <w:rsid w:val="00743421"/>
    <w:rsid w:val="00743490"/>
    <w:rsid w:val="00743504"/>
    <w:rsid w:val="0074366D"/>
    <w:rsid w:val="0074377A"/>
    <w:rsid w:val="0074377C"/>
    <w:rsid w:val="00743794"/>
    <w:rsid w:val="007438FE"/>
    <w:rsid w:val="0074397F"/>
    <w:rsid w:val="00743B47"/>
    <w:rsid w:val="00743C79"/>
    <w:rsid w:val="00743C94"/>
    <w:rsid w:val="00743DA1"/>
    <w:rsid w:val="00743FD1"/>
    <w:rsid w:val="00744002"/>
    <w:rsid w:val="0074423F"/>
    <w:rsid w:val="0074426F"/>
    <w:rsid w:val="007442AC"/>
    <w:rsid w:val="007442DF"/>
    <w:rsid w:val="007443D3"/>
    <w:rsid w:val="00744479"/>
    <w:rsid w:val="00744585"/>
    <w:rsid w:val="007445CC"/>
    <w:rsid w:val="007446BA"/>
    <w:rsid w:val="00744712"/>
    <w:rsid w:val="00744768"/>
    <w:rsid w:val="007447DD"/>
    <w:rsid w:val="00744850"/>
    <w:rsid w:val="00744897"/>
    <w:rsid w:val="007448BB"/>
    <w:rsid w:val="00744B23"/>
    <w:rsid w:val="00744B69"/>
    <w:rsid w:val="00744C0B"/>
    <w:rsid w:val="00744D1B"/>
    <w:rsid w:val="00744DA0"/>
    <w:rsid w:val="00744DBD"/>
    <w:rsid w:val="00744EAC"/>
    <w:rsid w:val="0074504A"/>
    <w:rsid w:val="007450FB"/>
    <w:rsid w:val="007451BE"/>
    <w:rsid w:val="007451EE"/>
    <w:rsid w:val="007452C9"/>
    <w:rsid w:val="00745332"/>
    <w:rsid w:val="007454B8"/>
    <w:rsid w:val="007454DF"/>
    <w:rsid w:val="00745632"/>
    <w:rsid w:val="007456EE"/>
    <w:rsid w:val="00745957"/>
    <w:rsid w:val="007459B5"/>
    <w:rsid w:val="007459DB"/>
    <w:rsid w:val="00745A52"/>
    <w:rsid w:val="00745AFE"/>
    <w:rsid w:val="00745D3D"/>
    <w:rsid w:val="00745DB3"/>
    <w:rsid w:val="00745DD0"/>
    <w:rsid w:val="00745E20"/>
    <w:rsid w:val="0074601C"/>
    <w:rsid w:val="007461B1"/>
    <w:rsid w:val="007462F8"/>
    <w:rsid w:val="007464DB"/>
    <w:rsid w:val="0074656A"/>
    <w:rsid w:val="007465DB"/>
    <w:rsid w:val="00746624"/>
    <w:rsid w:val="0074674E"/>
    <w:rsid w:val="007468E7"/>
    <w:rsid w:val="007469D8"/>
    <w:rsid w:val="00746A49"/>
    <w:rsid w:val="00746ABA"/>
    <w:rsid w:val="00746BDE"/>
    <w:rsid w:val="00746C16"/>
    <w:rsid w:val="00746CD2"/>
    <w:rsid w:val="00746D65"/>
    <w:rsid w:val="00746D79"/>
    <w:rsid w:val="00746DF5"/>
    <w:rsid w:val="00746FEF"/>
    <w:rsid w:val="00747080"/>
    <w:rsid w:val="007470E5"/>
    <w:rsid w:val="007470EB"/>
    <w:rsid w:val="007472AC"/>
    <w:rsid w:val="007472C6"/>
    <w:rsid w:val="00747314"/>
    <w:rsid w:val="0074737E"/>
    <w:rsid w:val="0074742A"/>
    <w:rsid w:val="007474CB"/>
    <w:rsid w:val="0074757A"/>
    <w:rsid w:val="0074769D"/>
    <w:rsid w:val="007476D8"/>
    <w:rsid w:val="00747771"/>
    <w:rsid w:val="00747964"/>
    <w:rsid w:val="007479AB"/>
    <w:rsid w:val="00747A36"/>
    <w:rsid w:val="00747B52"/>
    <w:rsid w:val="00747BCA"/>
    <w:rsid w:val="00747BFD"/>
    <w:rsid w:val="00747CA4"/>
    <w:rsid w:val="00747CCB"/>
    <w:rsid w:val="00747DCC"/>
    <w:rsid w:val="00747E54"/>
    <w:rsid w:val="00747EE0"/>
    <w:rsid w:val="00747F60"/>
    <w:rsid w:val="00750051"/>
    <w:rsid w:val="00750206"/>
    <w:rsid w:val="007503B2"/>
    <w:rsid w:val="007503CD"/>
    <w:rsid w:val="007503D2"/>
    <w:rsid w:val="007503E2"/>
    <w:rsid w:val="007504EB"/>
    <w:rsid w:val="0075050F"/>
    <w:rsid w:val="00750538"/>
    <w:rsid w:val="00750544"/>
    <w:rsid w:val="00750652"/>
    <w:rsid w:val="00750751"/>
    <w:rsid w:val="00750804"/>
    <w:rsid w:val="0075090E"/>
    <w:rsid w:val="007509E7"/>
    <w:rsid w:val="00750A54"/>
    <w:rsid w:val="00750B2B"/>
    <w:rsid w:val="00750B99"/>
    <w:rsid w:val="00750BE8"/>
    <w:rsid w:val="00750C85"/>
    <w:rsid w:val="00750C87"/>
    <w:rsid w:val="00750D66"/>
    <w:rsid w:val="00750DE0"/>
    <w:rsid w:val="00750E3E"/>
    <w:rsid w:val="00750E76"/>
    <w:rsid w:val="007511FA"/>
    <w:rsid w:val="00751377"/>
    <w:rsid w:val="007516BE"/>
    <w:rsid w:val="0075189A"/>
    <w:rsid w:val="00751B0D"/>
    <w:rsid w:val="00751B11"/>
    <w:rsid w:val="00751C41"/>
    <w:rsid w:val="00751CF5"/>
    <w:rsid w:val="00751E96"/>
    <w:rsid w:val="00751EFA"/>
    <w:rsid w:val="00751F96"/>
    <w:rsid w:val="00752020"/>
    <w:rsid w:val="0075208F"/>
    <w:rsid w:val="007521B0"/>
    <w:rsid w:val="0075221A"/>
    <w:rsid w:val="00752259"/>
    <w:rsid w:val="00752271"/>
    <w:rsid w:val="00752357"/>
    <w:rsid w:val="00752468"/>
    <w:rsid w:val="007525B4"/>
    <w:rsid w:val="0075269F"/>
    <w:rsid w:val="00752921"/>
    <w:rsid w:val="00752A18"/>
    <w:rsid w:val="00752B6D"/>
    <w:rsid w:val="00752C7F"/>
    <w:rsid w:val="00752D20"/>
    <w:rsid w:val="00752DB9"/>
    <w:rsid w:val="00752DE7"/>
    <w:rsid w:val="007531E9"/>
    <w:rsid w:val="007531F3"/>
    <w:rsid w:val="007531FC"/>
    <w:rsid w:val="00753210"/>
    <w:rsid w:val="00753249"/>
    <w:rsid w:val="00753424"/>
    <w:rsid w:val="007534C5"/>
    <w:rsid w:val="00753587"/>
    <w:rsid w:val="007535EC"/>
    <w:rsid w:val="0075365E"/>
    <w:rsid w:val="0075377F"/>
    <w:rsid w:val="007538BF"/>
    <w:rsid w:val="007538CD"/>
    <w:rsid w:val="00753A96"/>
    <w:rsid w:val="00753AA0"/>
    <w:rsid w:val="00753B05"/>
    <w:rsid w:val="00753B4D"/>
    <w:rsid w:val="00753B82"/>
    <w:rsid w:val="00753DEB"/>
    <w:rsid w:val="00753E76"/>
    <w:rsid w:val="00753EE8"/>
    <w:rsid w:val="007541CD"/>
    <w:rsid w:val="007541E4"/>
    <w:rsid w:val="007543AA"/>
    <w:rsid w:val="0075442A"/>
    <w:rsid w:val="00754452"/>
    <w:rsid w:val="007544E0"/>
    <w:rsid w:val="007545C0"/>
    <w:rsid w:val="007546B2"/>
    <w:rsid w:val="00754710"/>
    <w:rsid w:val="0075473B"/>
    <w:rsid w:val="007547B9"/>
    <w:rsid w:val="007547D6"/>
    <w:rsid w:val="007547F1"/>
    <w:rsid w:val="00754879"/>
    <w:rsid w:val="00754892"/>
    <w:rsid w:val="007548D6"/>
    <w:rsid w:val="007548E1"/>
    <w:rsid w:val="007549AA"/>
    <w:rsid w:val="00754BEF"/>
    <w:rsid w:val="00754C17"/>
    <w:rsid w:val="00754C32"/>
    <w:rsid w:val="00754CD8"/>
    <w:rsid w:val="00754D30"/>
    <w:rsid w:val="00754DDB"/>
    <w:rsid w:val="00754DF1"/>
    <w:rsid w:val="00754F1F"/>
    <w:rsid w:val="0075504E"/>
    <w:rsid w:val="00755199"/>
    <w:rsid w:val="0075525D"/>
    <w:rsid w:val="00755457"/>
    <w:rsid w:val="0075570C"/>
    <w:rsid w:val="0075575E"/>
    <w:rsid w:val="007557A8"/>
    <w:rsid w:val="007557D0"/>
    <w:rsid w:val="00755823"/>
    <w:rsid w:val="0075585A"/>
    <w:rsid w:val="00755928"/>
    <w:rsid w:val="00755A46"/>
    <w:rsid w:val="00755A4F"/>
    <w:rsid w:val="00755B09"/>
    <w:rsid w:val="00755B11"/>
    <w:rsid w:val="00755B18"/>
    <w:rsid w:val="00755B1D"/>
    <w:rsid w:val="00755B98"/>
    <w:rsid w:val="00755D93"/>
    <w:rsid w:val="00755D97"/>
    <w:rsid w:val="00755DA3"/>
    <w:rsid w:val="00755DA5"/>
    <w:rsid w:val="00755DFE"/>
    <w:rsid w:val="00755E55"/>
    <w:rsid w:val="00755E58"/>
    <w:rsid w:val="0075607D"/>
    <w:rsid w:val="007561CC"/>
    <w:rsid w:val="007561D9"/>
    <w:rsid w:val="00756221"/>
    <w:rsid w:val="007565D1"/>
    <w:rsid w:val="0075661F"/>
    <w:rsid w:val="00756823"/>
    <w:rsid w:val="00756965"/>
    <w:rsid w:val="00756CEF"/>
    <w:rsid w:val="00756D52"/>
    <w:rsid w:val="00756DAF"/>
    <w:rsid w:val="00756ECE"/>
    <w:rsid w:val="00756EF3"/>
    <w:rsid w:val="00756F88"/>
    <w:rsid w:val="0075704D"/>
    <w:rsid w:val="007570E8"/>
    <w:rsid w:val="00757165"/>
    <w:rsid w:val="00757490"/>
    <w:rsid w:val="007574DC"/>
    <w:rsid w:val="007574F2"/>
    <w:rsid w:val="007576D8"/>
    <w:rsid w:val="007576ED"/>
    <w:rsid w:val="00757711"/>
    <w:rsid w:val="0075775C"/>
    <w:rsid w:val="007577D7"/>
    <w:rsid w:val="007577FE"/>
    <w:rsid w:val="0075781C"/>
    <w:rsid w:val="007578A5"/>
    <w:rsid w:val="00757A82"/>
    <w:rsid w:val="00757BB9"/>
    <w:rsid w:val="00757BFB"/>
    <w:rsid w:val="00757C04"/>
    <w:rsid w:val="00757CDD"/>
    <w:rsid w:val="00757DA7"/>
    <w:rsid w:val="00757E59"/>
    <w:rsid w:val="00757EE8"/>
    <w:rsid w:val="00757EFE"/>
    <w:rsid w:val="00757F2B"/>
    <w:rsid w:val="00757F55"/>
    <w:rsid w:val="00757FB4"/>
    <w:rsid w:val="00760294"/>
    <w:rsid w:val="007603E4"/>
    <w:rsid w:val="0076044C"/>
    <w:rsid w:val="0076044F"/>
    <w:rsid w:val="007607F7"/>
    <w:rsid w:val="007608E8"/>
    <w:rsid w:val="00760924"/>
    <w:rsid w:val="0076098A"/>
    <w:rsid w:val="007609E7"/>
    <w:rsid w:val="00760A3A"/>
    <w:rsid w:val="00760BDE"/>
    <w:rsid w:val="00760E17"/>
    <w:rsid w:val="00760E95"/>
    <w:rsid w:val="00760F25"/>
    <w:rsid w:val="007610EB"/>
    <w:rsid w:val="00761378"/>
    <w:rsid w:val="00761454"/>
    <w:rsid w:val="007614C9"/>
    <w:rsid w:val="00761538"/>
    <w:rsid w:val="007617F3"/>
    <w:rsid w:val="00761996"/>
    <w:rsid w:val="00761A41"/>
    <w:rsid w:val="00761A77"/>
    <w:rsid w:val="00761AB8"/>
    <w:rsid w:val="00761AF5"/>
    <w:rsid w:val="00761B18"/>
    <w:rsid w:val="00761B47"/>
    <w:rsid w:val="00761B5D"/>
    <w:rsid w:val="00761C07"/>
    <w:rsid w:val="00761E6D"/>
    <w:rsid w:val="00761F32"/>
    <w:rsid w:val="00762000"/>
    <w:rsid w:val="0076200D"/>
    <w:rsid w:val="0076232B"/>
    <w:rsid w:val="00762373"/>
    <w:rsid w:val="007624AE"/>
    <w:rsid w:val="00762523"/>
    <w:rsid w:val="0076259C"/>
    <w:rsid w:val="00762818"/>
    <w:rsid w:val="0076296B"/>
    <w:rsid w:val="00762AB0"/>
    <w:rsid w:val="00762AF6"/>
    <w:rsid w:val="00762B57"/>
    <w:rsid w:val="00762B98"/>
    <w:rsid w:val="00762BC9"/>
    <w:rsid w:val="00762BD2"/>
    <w:rsid w:val="00762BF6"/>
    <w:rsid w:val="00762C35"/>
    <w:rsid w:val="00762C57"/>
    <w:rsid w:val="00762C5D"/>
    <w:rsid w:val="00762D29"/>
    <w:rsid w:val="00762D36"/>
    <w:rsid w:val="00762EA6"/>
    <w:rsid w:val="00762F29"/>
    <w:rsid w:val="00762F45"/>
    <w:rsid w:val="00762F8E"/>
    <w:rsid w:val="0076300C"/>
    <w:rsid w:val="00763033"/>
    <w:rsid w:val="00763036"/>
    <w:rsid w:val="007631C1"/>
    <w:rsid w:val="007631CF"/>
    <w:rsid w:val="007632A0"/>
    <w:rsid w:val="007632C3"/>
    <w:rsid w:val="00763324"/>
    <w:rsid w:val="007633DA"/>
    <w:rsid w:val="007633F1"/>
    <w:rsid w:val="007634FB"/>
    <w:rsid w:val="0076353A"/>
    <w:rsid w:val="00763548"/>
    <w:rsid w:val="00763623"/>
    <w:rsid w:val="00763675"/>
    <w:rsid w:val="00763692"/>
    <w:rsid w:val="007636AF"/>
    <w:rsid w:val="00763722"/>
    <w:rsid w:val="0076381E"/>
    <w:rsid w:val="00763887"/>
    <w:rsid w:val="00763941"/>
    <w:rsid w:val="00763943"/>
    <w:rsid w:val="007639F3"/>
    <w:rsid w:val="00763AAB"/>
    <w:rsid w:val="00763B3D"/>
    <w:rsid w:val="00763BA9"/>
    <w:rsid w:val="00763C10"/>
    <w:rsid w:val="00763C73"/>
    <w:rsid w:val="00763C91"/>
    <w:rsid w:val="00763C96"/>
    <w:rsid w:val="00763E79"/>
    <w:rsid w:val="00763EC0"/>
    <w:rsid w:val="00763EE7"/>
    <w:rsid w:val="00764025"/>
    <w:rsid w:val="00764054"/>
    <w:rsid w:val="0076425B"/>
    <w:rsid w:val="0076425F"/>
    <w:rsid w:val="00764430"/>
    <w:rsid w:val="007644ED"/>
    <w:rsid w:val="00764515"/>
    <w:rsid w:val="007646AA"/>
    <w:rsid w:val="007647D8"/>
    <w:rsid w:val="0076484E"/>
    <w:rsid w:val="0076485B"/>
    <w:rsid w:val="007649E3"/>
    <w:rsid w:val="00764A67"/>
    <w:rsid w:val="00764A9D"/>
    <w:rsid w:val="00764C69"/>
    <w:rsid w:val="00764C8C"/>
    <w:rsid w:val="00764CDF"/>
    <w:rsid w:val="00764CF3"/>
    <w:rsid w:val="00764DDF"/>
    <w:rsid w:val="00765055"/>
    <w:rsid w:val="00765119"/>
    <w:rsid w:val="007652E2"/>
    <w:rsid w:val="007653EE"/>
    <w:rsid w:val="00765543"/>
    <w:rsid w:val="0076555D"/>
    <w:rsid w:val="0076555E"/>
    <w:rsid w:val="007655AF"/>
    <w:rsid w:val="0076572B"/>
    <w:rsid w:val="00765811"/>
    <w:rsid w:val="00765817"/>
    <w:rsid w:val="007658F1"/>
    <w:rsid w:val="00765A64"/>
    <w:rsid w:val="00765A9A"/>
    <w:rsid w:val="00765AD4"/>
    <w:rsid w:val="00765B55"/>
    <w:rsid w:val="00765B7D"/>
    <w:rsid w:val="00765BF0"/>
    <w:rsid w:val="00765D22"/>
    <w:rsid w:val="00765D47"/>
    <w:rsid w:val="00765D9B"/>
    <w:rsid w:val="00765DEF"/>
    <w:rsid w:val="00765EFE"/>
    <w:rsid w:val="00765FBE"/>
    <w:rsid w:val="00766080"/>
    <w:rsid w:val="00766187"/>
    <w:rsid w:val="00766366"/>
    <w:rsid w:val="00766396"/>
    <w:rsid w:val="007663A3"/>
    <w:rsid w:val="00766633"/>
    <w:rsid w:val="00766660"/>
    <w:rsid w:val="007666F4"/>
    <w:rsid w:val="007668E4"/>
    <w:rsid w:val="007669D6"/>
    <w:rsid w:val="00766A1B"/>
    <w:rsid w:val="00766B86"/>
    <w:rsid w:val="00766CDF"/>
    <w:rsid w:val="007671E6"/>
    <w:rsid w:val="007671FC"/>
    <w:rsid w:val="007671FF"/>
    <w:rsid w:val="0076733F"/>
    <w:rsid w:val="007675A5"/>
    <w:rsid w:val="007675A9"/>
    <w:rsid w:val="007675E5"/>
    <w:rsid w:val="007675F7"/>
    <w:rsid w:val="007676CD"/>
    <w:rsid w:val="007676E4"/>
    <w:rsid w:val="0076771E"/>
    <w:rsid w:val="00767837"/>
    <w:rsid w:val="00767858"/>
    <w:rsid w:val="0076792F"/>
    <w:rsid w:val="007679BD"/>
    <w:rsid w:val="00767B44"/>
    <w:rsid w:val="00767C43"/>
    <w:rsid w:val="00767CFE"/>
    <w:rsid w:val="00767D6F"/>
    <w:rsid w:val="00767D89"/>
    <w:rsid w:val="00767EDF"/>
    <w:rsid w:val="00767F73"/>
    <w:rsid w:val="0077003A"/>
    <w:rsid w:val="007700E3"/>
    <w:rsid w:val="007702E0"/>
    <w:rsid w:val="007703C8"/>
    <w:rsid w:val="007706DD"/>
    <w:rsid w:val="00770715"/>
    <w:rsid w:val="00770897"/>
    <w:rsid w:val="00770921"/>
    <w:rsid w:val="0077097D"/>
    <w:rsid w:val="007709A5"/>
    <w:rsid w:val="007709B2"/>
    <w:rsid w:val="00770A9C"/>
    <w:rsid w:val="00770AAA"/>
    <w:rsid w:val="00770B5B"/>
    <w:rsid w:val="00770B94"/>
    <w:rsid w:val="00770C03"/>
    <w:rsid w:val="00770CCC"/>
    <w:rsid w:val="00770D95"/>
    <w:rsid w:val="00770E28"/>
    <w:rsid w:val="00770E78"/>
    <w:rsid w:val="00770ECA"/>
    <w:rsid w:val="00770F2B"/>
    <w:rsid w:val="00770F4C"/>
    <w:rsid w:val="007711E3"/>
    <w:rsid w:val="0077123C"/>
    <w:rsid w:val="007713E6"/>
    <w:rsid w:val="00771429"/>
    <w:rsid w:val="007714A5"/>
    <w:rsid w:val="0077150D"/>
    <w:rsid w:val="00771511"/>
    <w:rsid w:val="007715CA"/>
    <w:rsid w:val="007716BF"/>
    <w:rsid w:val="007716CD"/>
    <w:rsid w:val="007717E7"/>
    <w:rsid w:val="00771846"/>
    <w:rsid w:val="00771863"/>
    <w:rsid w:val="00771899"/>
    <w:rsid w:val="007718A6"/>
    <w:rsid w:val="00771A4C"/>
    <w:rsid w:val="00771B57"/>
    <w:rsid w:val="00771C34"/>
    <w:rsid w:val="00771C88"/>
    <w:rsid w:val="00771CF8"/>
    <w:rsid w:val="00771DEA"/>
    <w:rsid w:val="00771F11"/>
    <w:rsid w:val="00771FA5"/>
    <w:rsid w:val="0077208F"/>
    <w:rsid w:val="007721AC"/>
    <w:rsid w:val="007721EF"/>
    <w:rsid w:val="0077222C"/>
    <w:rsid w:val="0077223D"/>
    <w:rsid w:val="00772277"/>
    <w:rsid w:val="0077239B"/>
    <w:rsid w:val="007723B7"/>
    <w:rsid w:val="00772605"/>
    <w:rsid w:val="0077270D"/>
    <w:rsid w:val="0077272F"/>
    <w:rsid w:val="00772761"/>
    <w:rsid w:val="007727DC"/>
    <w:rsid w:val="007727F4"/>
    <w:rsid w:val="00772958"/>
    <w:rsid w:val="007729E9"/>
    <w:rsid w:val="00772ACA"/>
    <w:rsid w:val="00772B47"/>
    <w:rsid w:val="00772CF4"/>
    <w:rsid w:val="00772D0A"/>
    <w:rsid w:val="00772E54"/>
    <w:rsid w:val="00772E6C"/>
    <w:rsid w:val="00772E97"/>
    <w:rsid w:val="00772EB0"/>
    <w:rsid w:val="00772F0C"/>
    <w:rsid w:val="00772F45"/>
    <w:rsid w:val="007730E5"/>
    <w:rsid w:val="007730EC"/>
    <w:rsid w:val="007730FC"/>
    <w:rsid w:val="00773117"/>
    <w:rsid w:val="00773231"/>
    <w:rsid w:val="00773331"/>
    <w:rsid w:val="00773334"/>
    <w:rsid w:val="00773409"/>
    <w:rsid w:val="007736CF"/>
    <w:rsid w:val="0077398F"/>
    <w:rsid w:val="007739BF"/>
    <w:rsid w:val="00773AA5"/>
    <w:rsid w:val="00773AE6"/>
    <w:rsid w:val="00773B09"/>
    <w:rsid w:val="00773C20"/>
    <w:rsid w:val="00773CF5"/>
    <w:rsid w:val="00773D0D"/>
    <w:rsid w:val="00773D7C"/>
    <w:rsid w:val="00773DE0"/>
    <w:rsid w:val="00773E48"/>
    <w:rsid w:val="00773E67"/>
    <w:rsid w:val="00773F02"/>
    <w:rsid w:val="007740C0"/>
    <w:rsid w:val="00774131"/>
    <w:rsid w:val="00774214"/>
    <w:rsid w:val="00774393"/>
    <w:rsid w:val="007743C0"/>
    <w:rsid w:val="00774656"/>
    <w:rsid w:val="007746F5"/>
    <w:rsid w:val="007747A3"/>
    <w:rsid w:val="007747AE"/>
    <w:rsid w:val="00774846"/>
    <w:rsid w:val="00774887"/>
    <w:rsid w:val="00774974"/>
    <w:rsid w:val="0077499E"/>
    <w:rsid w:val="007749DB"/>
    <w:rsid w:val="007749E2"/>
    <w:rsid w:val="007749E6"/>
    <w:rsid w:val="007749F3"/>
    <w:rsid w:val="00774AFE"/>
    <w:rsid w:val="00774BF5"/>
    <w:rsid w:val="00774C15"/>
    <w:rsid w:val="00774C5D"/>
    <w:rsid w:val="00774D3D"/>
    <w:rsid w:val="00774D44"/>
    <w:rsid w:val="00774DF1"/>
    <w:rsid w:val="00774F51"/>
    <w:rsid w:val="00775194"/>
    <w:rsid w:val="007751B5"/>
    <w:rsid w:val="007751E7"/>
    <w:rsid w:val="007751F1"/>
    <w:rsid w:val="00775207"/>
    <w:rsid w:val="00775308"/>
    <w:rsid w:val="0077532D"/>
    <w:rsid w:val="007754F2"/>
    <w:rsid w:val="007755CF"/>
    <w:rsid w:val="007756EE"/>
    <w:rsid w:val="007758BF"/>
    <w:rsid w:val="007759CB"/>
    <w:rsid w:val="00775A22"/>
    <w:rsid w:val="00775A25"/>
    <w:rsid w:val="00775BB3"/>
    <w:rsid w:val="00775BB4"/>
    <w:rsid w:val="00775C16"/>
    <w:rsid w:val="00775C4C"/>
    <w:rsid w:val="00775E69"/>
    <w:rsid w:val="00775E7E"/>
    <w:rsid w:val="00775EA5"/>
    <w:rsid w:val="00775EC4"/>
    <w:rsid w:val="00775EE6"/>
    <w:rsid w:val="00776033"/>
    <w:rsid w:val="007760C3"/>
    <w:rsid w:val="00776190"/>
    <w:rsid w:val="007761C8"/>
    <w:rsid w:val="007761DD"/>
    <w:rsid w:val="00776254"/>
    <w:rsid w:val="0077640E"/>
    <w:rsid w:val="00776478"/>
    <w:rsid w:val="007764C2"/>
    <w:rsid w:val="007764EA"/>
    <w:rsid w:val="007766A1"/>
    <w:rsid w:val="0077670E"/>
    <w:rsid w:val="0077673D"/>
    <w:rsid w:val="00776748"/>
    <w:rsid w:val="00776774"/>
    <w:rsid w:val="00776777"/>
    <w:rsid w:val="007768BA"/>
    <w:rsid w:val="007768BD"/>
    <w:rsid w:val="00776957"/>
    <w:rsid w:val="00776964"/>
    <w:rsid w:val="0077696F"/>
    <w:rsid w:val="00776A08"/>
    <w:rsid w:val="00776A21"/>
    <w:rsid w:val="00776A35"/>
    <w:rsid w:val="00776A4C"/>
    <w:rsid w:val="00776A70"/>
    <w:rsid w:val="00776AD5"/>
    <w:rsid w:val="00776B54"/>
    <w:rsid w:val="00776BD7"/>
    <w:rsid w:val="00776C1E"/>
    <w:rsid w:val="00776D60"/>
    <w:rsid w:val="00776E43"/>
    <w:rsid w:val="0077709C"/>
    <w:rsid w:val="00777159"/>
    <w:rsid w:val="007772C0"/>
    <w:rsid w:val="0077732C"/>
    <w:rsid w:val="0077739B"/>
    <w:rsid w:val="007773A6"/>
    <w:rsid w:val="00777410"/>
    <w:rsid w:val="007774A5"/>
    <w:rsid w:val="00777575"/>
    <w:rsid w:val="007775A4"/>
    <w:rsid w:val="007775A7"/>
    <w:rsid w:val="00777611"/>
    <w:rsid w:val="00777628"/>
    <w:rsid w:val="0077764E"/>
    <w:rsid w:val="007776F1"/>
    <w:rsid w:val="00777836"/>
    <w:rsid w:val="00777891"/>
    <w:rsid w:val="00777901"/>
    <w:rsid w:val="00777939"/>
    <w:rsid w:val="00777B4D"/>
    <w:rsid w:val="00777BC5"/>
    <w:rsid w:val="00777C61"/>
    <w:rsid w:val="00777C71"/>
    <w:rsid w:val="00777C85"/>
    <w:rsid w:val="00777CF4"/>
    <w:rsid w:val="00777D8F"/>
    <w:rsid w:val="00777DA8"/>
    <w:rsid w:val="00777DBC"/>
    <w:rsid w:val="00777DD7"/>
    <w:rsid w:val="00777DF2"/>
    <w:rsid w:val="00777EBB"/>
    <w:rsid w:val="00777ED8"/>
    <w:rsid w:val="00780090"/>
    <w:rsid w:val="0078013C"/>
    <w:rsid w:val="0078018B"/>
    <w:rsid w:val="007801DB"/>
    <w:rsid w:val="0078033B"/>
    <w:rsid w:val="00780388"/>
    <w:rsid w:val="00780405"/>
    <w:rsid w:val="007804FE"/>
    <w:rsid w:val="00780500"/>
    <w:rsid w:val="00780577"/>
    <w:rsid w:val="007805E4"/>
    <w:rsid w:val="00780604"/>
    <w:rsid w:val="0078064B"/>
    <w:rsid w:val="00780958"/>
    <w:rsid w:val="00780A01"/>
    <w:rsid w:val="00780AA2"/>
    <w:rsid w:val="00780AED"/>
    <w:rsid w:val="00780B09"/>
    <w:rsid w:val="00780D02"/>
    <w:rsid w:val="00780D5D"/>
    <w:rsid w:val="00780D66"/>
    <w:rsid w:val="00780DB6"/>
    <w:rsid w:val="00780E08"/>
    <w:rsid w:val="00780E0A"/>
    <w:rsid w:val="00780E56"/>
    <w:rsid w:val="00780EFE"/>
    <w:rsid w:val="00780F0F"/>
    <w:rsid w:val="00781244"/>
    <w:rsid w:val="00781278"/>
    <w:rsid w:val="0078133E"/>
    <w:rsid w:val="007813C8"/>
    <w:rsid w:val="00781557"/>
    <w:rsid w:val="0078162A"/>
    <w:rsid w:val="0078178A"/>
    <w:rsid w:val="007817D1"/>
    <w:rsid w:val="007817F0"/>
    <w:rsid w:val="00781926"/>
    <w:rsid w:val="00781946"/>
    <w:rsid w:val="00781958"/>
    <w:rsid w:val="007819E3"/>
    <w:rsid w:val="007819FD"/>
    <w:rsid w:val="00781A1B"/>
    <w:rsid w:val="00781A36"/>
    <w:rsid w:val="00781B2A"/>
    <w:rsid w:val="00781B6C"/>
    <w:rsid w:val="00781BAC"/>
    <w:rsid w:val="00781C27"/>
    <w:rsid w:val="00781D1D"/>
    <w:rsid w:val="00781D30"/>
    <w:rsid w:val="00781D5A"/>
    <w:rsid w:val="00781DF0"/>
    <w:rsid w:val="00781E47"/>
    <w:rsid w:val="00781F8E"/>
    <w:rsid w:val="007820E6"/>
    <w:rsid w:val="007822F4"/>
    <w:rsid w:val="00782354"/>
    <w:rsid w:val="0078237D"/>
    <w:rsid w:val="00782414"/>
    <w:rsid w:val="00782546"/>
    <w:rsid w:val="007825A2"/>
    <w:rsid w:val="007826C3"/>
    <w:rsid w:val="007826D0"/>
    <w:rsid w:val="00782750"/>
    <w:rsid w:val="0078281E"/>
    <w:rsid w:val="00782922"/>
    <w:rsid w:val="007829BF"/>
    <w:rsid w:val="00782A05"/>
    <w:rsid w:val="00782AA7"/>
    <w:rsid w:val="00782BD3"/>
    <w:rsid w:val="00782C54"/>
    <w:rsid w:val="00782D6C"/>
    <w:rsid w:val="00782E9E"/>
    <w:rsid w:val="00782EAD"/>
    <w:rsid w:val="00782F42"/>
    <w:rsid w:val="00782FAA"/>
    <w:rsid w:val="00782FC8"/>
    <w:rsid w:val="00782FF0"/>
    <w:rsid w:val="00783015"/>
    <w:rsid w:val="0078308F"/>
    <w:rsid w:val="0078314B"/>
    <w:rsid w:val="007831C6"/>
    <w:rsid w:val="00783210"/>
    <w:rsid w:val="0078337B"/>
    <w:rsid w:val="007833DB"/>
    <w:rsid w:val="007834DA"/>
    <w:rsid w:val="0078351B"/>
    <w:rsid w:val="0078352F"/>
    <w:rsid w:val="00783716"/>
    <w:rsid w:val="007837E0"/>
    <w:rsid w:val="00783804"/>
    <w:rsid w:val="00783856"/>
    <w:rsid w:val="007838CF"/>
    <w:rsid w:val="00783913"/>
    <w:rsid w:val="0078393E"/>
    <w:rsid w:val="0078396F"/>
    <w:rsid w:val="00783A2C"/>
    <w:rsid w:val="00783AAA"/>
    <w:rsid w:val="00783B92"/>
    <w:rsid w:val="00783BF8"/>
    <w:rsid w:val="00783C19"/>
    <w:rsid w:val="00783D83"/>
    <w:rsid w:val="00783E49"/>
    <w:rsid w:val="00783F23"/>
    <w:rsid w:val="00783F2B"/>
    <w:rsid w:val="00783F42"/>
    <w:rsid w:val="00783F58"/>
    <w:rsid w:val="00783F86"/>
    <w:rsid w:val="007841A3"/>
    <w:rsid w:val="0078420B"/>
    <w:rsid w:val="0078425F"/>
    <w:rsid w:val="00784345"/>
    <w:rsid w:val="0078434A"/>
    <w:rsid w:val="007843A6"/>
    <w:rsid w:val="007843C1"/>
    <w:rsid w:val="007843E3"/>
    <w:rsid w:val="0078450D"/>
    <w:rsid w:val="0078454B"/>
    <w:rsid w:val="0078456D"/>
    <w:rsid w:val="007845C4"/>
    <w:rsid w:val="007845D1"/>
    <w:rsid w:val="00784625"/>
    <w:rsid w:val="0078467F"/>
    <w:rsid w:val="00784837"/>
    <w:rsid w:val="0078485E"/>
    <w:rsid w:val="0078487F"/>
    <w:rsid w:val="00784B71"/>
    <w:rsid w:val="00784BA4"/>
    <w:rsid w:val="00784C07"/>
    <w:rsid w:val="00784C73"/>
    <w:rsid w:val="00784DA1"/>
    <w:rsid w:val="00784F43"/>
    <w:rsid w:val="00785078"/>
    <w:rsid w:val="0078508B"/>
    <w:rsid w:val="007851E5"/>
    <w:rsid w:val="007852E6"/>
    <w:rsid w:val="007853D8"/>
    <w:rsid w:val="00785459"/>
    <w:rsid w:val="0078556B"/>
    <w:rsid w:val="007855A1"/>
    <w:rsid w:val="007855B6"/>
    <w:rsid w:val="007856CD"/>
    <w:rsid w:val="007856D4"/>
    <w:rsid w:val="0078573E"/>
    <w:rsid w:val="00785800"/>
    <w:rsid w:val="00785815"/>
    <w:rsid w:val="00785910"/>
    <w:rsid w:val="00785A44"/>
    <w:rsid w:val="00785A9F"/>
    <w:rsid w:val="00785ACB"/>
    <w:rsid w:val="00785BB2"/>
    <w:rsid w:val="00785CDA"/>
    <w:rsid w:val="00785D70"/>
    <w:rsid w:val="00785E6B"/>
    <w:rsid w:val="00785F6F"/>
    <w:rsid w:val="0078605C"/>
    <w:rsid w:val="00786109"/>
    <w:rsid w:val="00786142"/>
    <w:rsid w:val="007863BE"/>
    <w:rsid w:val="007863EE"/>
    <w:rsid w:val="007864D8"/>
    <w:rsid w:val="007866F7"/>
    <w:rsid w:val="00786851"/>
    <w:rsid w:val="0078692B"/>
    <w:rsid w:val="00786A97"/>
    <w:rsid w:val="00786AA9"/>
    <w:rsid w:val="00786AEF"/>
    <w:rsid w:val="00786AF5"/>
    <w:rsid w:val="00786B50"/>
    <w:rsid w:val="00786CAE"/>
    <w:rsid w:val="00786D5A"/>
    <w:rsid w:val="00786DB1"/>
    <w:rsid w:val="00786E47"/>
    <w:rsid w:val="00786F23"/>
    <w:rsid w:val="00786F8D"/>
    <w:rsid w:val="00786FB5"/>
    <w:rsid w:val="00786FF9"/>
    <w:rsid w:val="0078701E"/>
    <w:rsid w:val="007870F7"/>
    <w:rsid w:val="007872CC"/>
    <w:rsid w:val="0078749D"/>
    <w:rsid w:val="007874B8"/>
    <w:rsid w:val="007876DB"/>
    <w:rsid w:val="00787702"/>
    <w:rsid w:val="0078776A"/>
    <w:rsid w:val="00787770"/>
    <w:rsid w:val="0078787F"/>
    <w:rsid w:val="00787885"/>
    <w:rsid w:val="007878CD"/>
    <w:rsid w:val="007879B2"/>
    <w:rsid w:val="00787A4E"/>
    <w:rsid w:val="00787BE2"/>
    <w:rsid w:val="00787C27"/>
    <w:rsid w:val="00787DBB"/>
    <w:rsid w:val="00787DDF"/>
    <w:rsid w:val="00787DFE"/>
    <w:rsid w:val="00787E0B"/>
    <w:rsid w:val="00787E1E"/>
    <w:rsid w:val="00787E8C"/>
    <w:rsid w:val="00787EF8"/>
    <w:rsid w:val="00790039"/>
    <w:rsid w:val="00790043"/>
    <w:rsid w:val="00790089"/>
    <w:rsid w:val="007901D1"/>
    <w:rsid w:val="0079022E"/>
    <w:rsid w:val="007905CF"/>
    <w:rsid w:val="00790617"/>
    <w:rsid w:val="0079068C"/>
    <w:rsid w:val="007906B0"/>
    <w:rsid w:val="00790850"/>
    <w:rsid w:val="00790873"/>
    <w:rsid w:val="00790912"/>
    <w:rsid w:val="00790B57"/>
    <w:rsid w:val="00790CF5"/>
    <w:rsid w:val="00790DF4"/>
    <w:rsid w:val="00790E59"/>
    <w:rsid w:val="00790EAF"/>
    <w:rsid w:val="007910C7"/>
    <w:rsid w:val="0079115D"/>
    <w:rsid w:val="007911CF"/>
    <w:rsid w:val="00791280"/>
    <w:rsid w:val="007913B7"/>
    <w:rsid w:val="00791438"/>
    <w:rsid w:val="0079161E"/>
    <w:rsid w:val="007918C9"/>
    <w:rsid w:val="00791A8F"/>
    <w:rsid w:val="00791AFE"/>
    <w:rsid w:val="00791C04"/>
    <w:rsid w:val="00791E61"/>
    <w:rsid w:val="00791E7F"/>
    <w:rsid w:val="00791EDD"/>
    <w:rsid w:val="00791F51"/>
    <w:rsid w:val="00791F90"/>
    <w:rsid w:val="00792211"/>
    <w:rsid w:val="00792270"/>
    <w:rsid w:val="007922AD"/>
    <w:rsid w:val="007923D3"/>
    <w:rsid w:val="0079245E"/>
    <w:rsid w:val="007925A7"/>
    <w:rsid w:val="00792612"/>
    <w:rsid w:val="00792813"/>
    <w:rsid w:val="007928DD"/>
    <w:rsid w:val="007928EF"/>
    <w:rsid w:val="00792958"/>
    <w:rsid w:val="00792AFC"/>
    <w:rsid w:val="00792D05"/>
    <w:rsid w:val="00792DE8"/>
    <w:rsid w:val="00792E68"/>
    <w:rsid w:val="00792E8F"/>
    <w:rsid w:val="00792F86"/>
    <w:rsid w:val="00792FEB"/>
    <w:rsid w:val="00792FF0"/>
    <w:rsid w:val="007930CA"/>
    <w:rsid w:val="00793188"/>
    <w:rsid w:val="00793193"/>
    <w:rsid w:val="007931A1"/>
    <w:rsid w:val="00793204"/>
    <w:rsid w:val="00793299"/>
    <w:rsid w:val="007932A2"/>
    <w:rsid w:val="007932C4"/>
    <w:rsid w:val="007932EF"/>
    <w:rsid w:val="00793458"/>
    <w:rsid w:val="00793463"/>
    <w:rsid w:val="0079347B"/>
    <w:rsid w:val="00793482"/>
    <w:rsid w:val="007935B6"/>
    <w:rsid w:val="0079373F"/>
    <w:rsid w:val="007937BB"/>
    <w:rsid w:val="007937E1"/>
    <w:rsid w:val="0079380A"/>
    <w:rsid w:val="0079387A"/>
    <w:rsid w:val="00793886"/>
    <w:rsid w:val="007938DC"/>
    <w:rsid w:val="0079392C"/>
    <w:rsid w:val="007939B6"/>
    <w:rsid w:val="00793A01"/>
    <w:rsid w:val="00793A5F"/>
    <w:rsid w:val="00793B5E"/>
    <w:rsid w:val="00793B7D"/>
    <w:rsid w:val="00793BC0"/>
    <w:rsid w:val="00793CE1"/>
    <w:rsid w:val="00793D3D"/>
    <w:rsid w:val="00793D67"/>
    <w:rsid w:val="00793D7A"/>
    <w:rsid w:val="00793D92"/>
    <w:rsid w:val="00793DB6"/>
    <w:rsid w:val="00794233"/>
    <w:rsid w:val="00794344"/>
    <w:rsid w:val="0079437C"/>
    <w:rsid w:val="007943D6"/>
    <w:rsid w:val="00794477"/>
    <w:rsid w:val="00794585"/>
    <w:rsid w:val="00794621"/>
    <w:rsid w:val="00794895"/>
    <w:rsid w:val="007948EB"/>
    <w:rsid w:val="00794923"/>
    <w:rsid w:val="0079497D"/>
    <w:rsid w:val="00794A16"/>
    <w:rsid w:val="00794A6E"/>
    <w:rsid w:val="00794CA1"/>
    <w:rsid w:val="00794D00"/>
    <w:rsid w:val="00794DA5"/>
    <w:rsid w:val="00794DF9"/>
    <w:rsid w:val="00794E43"/>
    <w:rsid w:val="00794EAA"/>
    <w:rsid w:val="00794FEC"/>
    <w:rsid w:val="0079508C"/>
    <w:rsid w:val="00795169"/>
    <w:rsid w:val="007952C9"/>
    <w:rsid w:val="007953E6"/>
    <w:rsid w:val="007954AB"/>
    <w:rsid w:val="007955D7"/>
    <w:rsid w:val="007955F4"/>
    <w:rsid w:val="00795628"/>
    <w:rsid w:val="00795795"/>
    <w:rsid w:val="007957A0"/>
    <w:rsid w:val="007957E3"/>
    <w:rsid w:val="00795B49"/>
    <w:rsid w:val="00795C5D"/>
    <w:rsid w:val="00795C6C"/>
    <w:rsid w:val="00795C7A"/>
    <w:rsid w:val="00795DFD"/>
    <w:rsid w:val="00795E3D"/>
    <w:rsid w:val="00795E58"/>
    <w:rsid w:val="00795FDB"/>
    <w:rsid w:val="00796389"/>
    <w:rsid w:val="00796433"/>
    <w:rsid w:val="007964F8"/>
    <w:rsid w:val="00796775"/>
    <w:rsid w:val="0079680A"/>
    <w:rsid w:val="0079685E"/>
    <w:rsid w:val="007968C8"/>
    <w:rsid w:val="00796A46"/>
    <w:rsid w:val="00796B6D"/>
    <w:rsid w:val="00796C20"/>
    <w:rsid w:val="00796CB9"/>
    <w:rsid w:val="00796F83"/>
    <w:rsid w:val="00796F98"/>
    <w:rsid w:val="00797183"/>
    <w:rsid w:val="007972A2"/>
    <w:rsid w:val="00797303"/>
    <w:rsid w:val="00797342"/>
    <w:rsid w:val="00797415"/>
    <w:rsid w:val="0079769F"/>
    <w:rsid w:val="007977EB"/>
    <w:rsid w:val="007978A0"/>
    <w:rsid w:val="007978E4"/>
    <w:rsid w:val="00797912"/>
    <w:rsid w:val="007979BB"/>
    <w:rsid w:val="00797A30"/>
    <w:rsid w:val="00797A7F"/>
    <w:rsid w:val="00797BAE"/>
    <w:rsid w:val="00797BC7"/>
    <w:rsid w:val="00797DC1"/>
    <w:rsid w:val="00797E09"/>
    <w:rsid w:val="00797FC5"/>
    <w:rsid w:val="0079F831"/>
    <w:rsid w:val="007A0060"/>
    <w:rsid w:val="007A00CC"/>
    <w:rsid w:val="007A00D9"/>
    <w:rsid w:val="007A01E4"/>
    <w:rsid w:val="007A0314"/>
    <w:rsid w:val="007A035E"/>
    <w:rsid w:val="007A0425"/>
    <w:rsid w:val="007A0483"/>
    <w:rsid w:val="007A04E0"/>
    <w:rsid w:val="007A0599"/>
    <w:rsid w:val="007A0689"/>
    <w:rsid w:val="007A085F"/>
    <w:rsid w:val="007A099F"/>
    <w:rsid w:val="007A0BA1"/>
    <w:rsid w:val="007A0BFF"/>
    <w:rsid w:val="007A0C76"/>
    <w:rsid w:val="007A0E47"/>
    <w:rsid w:val="007A0EC4"/>
    <w:rsid w:val="007A0F66"/>
    <w:rsid w:val="007A107A"/>
    <w:rsid w:val="007A10A3"/>
    <w:rsid w:val="007A1390"/>
    <w:rsid w:val="007A13FB"/>
    <w:rsid w:val="007A1438"/>
    <w:rsid w:val="007A1536"/>
    <w:rsid w:val="007A15B5"/>
    <w:rsid w:val="007A1712"/>
    <w:rsid w:val="007A171A"/>
    <w:rsid w:val="007A177A"/>
    <w:rsid w:val="007A1795"/>
    <w:rsid w:val="007A17FC"/>
    <w:rsid w:val="007A17FD"/>
    <w:rsid w:val="007A186C"/>
    <w:rsid w:val="007A1A79"/>
    <w:rsid w:val="007A1B12"/>
    <w:rsid w:val="007A1C65"/>
    <w:rsid w:val="007A1CC8"/>
    <w:rsid w:val="007A1CF6"/>
    <w:rsid w:val="007A1D45"/>
    <w:rsid w:val="007A1E5C"/>
    <w:rsid w:val="007A1E64"/>
    <w:rsid w:val="007A1E71"/>
    <w:rsid w:val="007A1E79"/>
    <w:rsid w:val="007A1FAB"/>
    <w:rsid w:val="007A1FE3"/>
    <w:rsid w:val="007A1FED"/>
    <w:rsid w:val="007A2126"/>
    <w:rsid w:val="007A2161"/>
    <w:rsid w:val="007A2212"/>
    <w:rsid w:val="007A22C4"/>
    <w:rsid w:val="007A22D6"/>
    <w:rsid w:val="007A237F"/>
    <w:rsid w:val="007A2412"/>
    <w:rsid w:val="007A24ED"/>
    <w:rsid w:val="007A2577"/>
    <w:rsid w:val="007A2581"/>
    <w:rsid w:val="007A25A1"/>
    <w:rsid w:val="007A264E"/>
    <w:rsid w:val="007A274B"/>
    <w:rsid w:val="007A2784"/>
    <w:rsid w:val="007A27D9"/>
    <w:rsid w:val="007A27E3"/>
    <w:rsid w:val="007A2848"/>
    <w:rsid w:val="007A2B07"/>
    <w:rsid w:val="007A2D60"/>
    <w:rsid w:val="007A2DF4"/>
    <w:rsid w:val="007A2DFE"/>
    <w:rsid w:val="007A2E03"/>
    <w:rsid w:val="007A2E42"/>
    <w:rsid w:val="007A2EB0"/>
    <w:rsid w:val="007A2F0C"/>
    <w:rsid w:val="007A310A"/>
    <w:rsid w:val="007A3113"/>
    <w:rsid w:val="007A31E0"/>
    <w:rsid w:val="007A321A"/>
    <w:rsid w:val="007A32CF"/>
    <w:rsid w:val="007A33AD"/>
    <w:rsid w:val="007A33EF"/>
    <w:rsid w:val="007A34C3"/>
    <w:rsid w:val="007A352A"/>
    <w:rsid w:val="007A3585"/>
    <w:rsid w:val="007A3854"/>
    <w:rsid w:val="007A3A24"/>
    <w:rsid w:val="007A3A57"/>
    <w:rsid w:val="007A3ECD"/>
    <w:rsid w:val="007A402D"/>
    <w:rsid w:val="007A40E7"/>
    <w:rsid w:val="007A41AF"/>
    <w:rsid w:val="007A41F9"/>
    <w:rsid w:val="007A422C"/>
    <w:rsid w:val="007A42B3"/>
    <w:rsid w:val="007A44F6"/>
    <w:rsid w:val="007A456D"/>
    <w:rsid w:val="007A4617"/>
    <w:rsid w:val="007A46A1"/>
    <w:rsid w:val="007A479C"/>
    <w:rsid w:val="007A47C0"/>
    <w:rsid w:val="007A4801"/>
    <w:rsid w:val="007A4833"/>
    <w:rsid w:val="007A4A06"/>
    <w:rsid w:val="007A4CF0"/>
    <w:rsid w:val="007A4D1D"/>
    <w:rsid w:val="007A4D2F"/>
    <w:rsid w:val="007A4D35"/>
    <w:rsid w:val="007A4DF3"/>
    <w:rsid w:val="007A4E4C"/>
    <w:rsid w:val="007A50CC"/>
    <w:rsid w:val="007A5127"/>
    <w:rsid w:val="007A51D5"/>
    <w:rsid w:val="007A5212"/>
    <w:rsid w:val="007A526A"/>
    <w:rsid w:val="007A533B"/>
    <w:rsid w:val="007A53D8"/>
    <w:rsid w:val="007A53E5"/>
    <w:rsid w:val="007A5420"/>
    <w:rsid w:val="007A547E"/>
    <w:rsid w:val="007A54E6"/>
    <w:rsid w:val="007A56A9"/>
    <w:rsid w:val="007A56EA"/>
    <w:rsid w:val="007A5783"/>
    <w:rsid w:val="007A593A"/>
    <w:rsid w:val="007A599F"/>
    <w:rsid w:val="007A5BA3"/>
    <w:rsid w:val="007A5CC2"/>
    <w:rsid w:val="007A5D3A"/>
    <w:rsid w:val="007A5DAE"/>
    <w:rsid w:val="007A5DD4"/>
    <w:rsid w:val="007A5E56"/>
    <w:rsid w:val="007A5E6E"/>
    <w:rsid w:val="007A5F06"/>
    <w:rsid w:val="007A5FA4"/>
    <w:rsid w:val="007A5FF2"/>
    <w:rsid w:val="007A6011"/>
    <w:rsid w:val="007A6108"/>
    <w:rsid w:val="007A6185"/>
    <w:rsid w:val="007A6261"/>
    <w:rsid w:val="007A63F3"/>
    <w:rsid w:val="007A6499"/>
    <w:rsid w:val="007A665A"/>
    <w:rsid w:val="007A6793"/>
    <w:rsid w:val="007A68E1"/>
    <w:rsid w:val="007A69BC"/>
    <w:rsid w:val="007A6C1E"/>
    <w:rsid w:val="007A6C85"/>
    <w:rsid w:val="007A6C8A"/>
    <w:rsid w:val="007A6D46"/>
    <w:rsid w:val="007A6D4C"/>
    <w:rsid w:val="007A6E97"/>
    <w:rsid w:val="007A6F44"/>
    <w:rsid w:val="007A6F45"/>
    <w:rsid w:val="007A6F86"/>
    <w:rsid w:val="007A727C"/>
    <w:rsid w:val="007A7299"/>
    <w:rsid w:val="007A72A2"/>
    <w:rsid w:val="007A72A5"/>
    <w:rsid w:val="007A7382"/>
    <w:rsid w:val="007A73C1"/>
    <w:rsid w:val="007A746C"/>
    <w:rsid w:val="007A74D4"/>
    <w:rsid w:val="007A74D8"/>
    <w:rsid w:val="007A7502"/>
    <w:rsid w:val="007A763B"/>
    <w:rsid w:val="007A7643"/>
    <w:rsid w:val="007A77BE"/>
    <w:rsid w:val="007A78A2"/>
    <w:rsid w:val="007A78E4"/>
    <w:rsid w:val="007A793C"/>
    <w:rsid w:val="007A79FA"/>
    <w:rsid w:val="007A7A1C"/>
    <w:rsid w:val="007A7AED"/>
    <w:rsid w:val="007A7B02"/>
    <w:rsid w:val="007A7B15"/>
    <w:rsid w:val="007A7B48"/>
    <w:rsid w:val="007A7BE4"/>
    <w:rsid w:val="007A7CED"/>
    <w:rsid w:val="007A7D6C"/>
    <w:rsid w:val="007A7D85"/>
    <w:rsid w:val="007A7EA3"/>
    <w:rsid w:val="007A7F9E"/>
    <w:rsid w:val="007A7FE9"/>
    <w:rsid w:val="007B001E"/>
    <w:rsid w:val="007B00DA"/>
    <w:rsid w:val="007B028D"/>
    <w:rsid w:val="007B0313"/>
    <w:rsid w:val="007B035F"/>
    <w:rsid w:val="007B0581"/>
    <w:rsid w:val="007B063B"/>
    <w:rsid w:val="007B07D4"/>
    <w:rsid w:val="007B07EB"/>
    <w:rsid w:val="007B0804"/>
    <w:rsid w:val="007B08CA"/>
    <w:rsid w:val="007B09C7"/>
    <w:rsid w:val="007B0A82"/>
    <w:rsid w:val="007B0AF7"/>
    <w:rsid w:val="007B0B5D"/>
    <w:rsid w:val="007B0DAF"/>
    <w:rsid w:val="007B0E2C"/>
    <w:rsid w:val="007B1117"/>
    <w:rsid w:val="007B1127"/>
    <w:rsid w:val="007B131A"/>
    <w:rsid w:val="007B13A6"/>
    <w:rsid w:val="007B14CA"/>
    <w:rsid w:val="007B160C"/>
    <w:rsid w:val="007B1664"/>
    <w:rsid w:val="007B16AD"/>
    <w:rsid w:val="007B1744"/>
    <w:rsid w:val="007B1746"/>
    <w:rsid w:val="007B177E"/>
    <w:rsid w:val="007B17CA"/>
    <w:rsid w:val="007B17EE"/>
    <w:rsid w:val="007B1925"/>
    <w:rsid w:val="007B1944"/>
    <w:rsid w:val="007B19DC"/>
    <w:rsid w:val="007B1ACB"/>
    <w:rsid w:val="007B1C6E"/>
    <w:rsid w:val="007B1E99"/>
    <w:rsid w:val="007B2092"/>
    <w:rsid w:val="007B20B2"/>
    <w:rsid w:val="007B20D3"/>
    <w:rsid w:val="007B20F8"/>
    <w:rsid w:val="007B2165"/>
    <w:rsid w:val="007B21DF"/>
    <w:rsid w:val="007B21FA"/>
    <w:rsid w:val="007B22E4"/>
    <w:rsid w:val="007B22EA"/>
    <w:rsid w:val="007B231A"/>
    <w:rsid w:val="007B2342"/>
    <w:rsid w:val="007B23AE"/>
    <w:rsid w:val="007B23BC"/>
    <w:rsid w:val="007B2442"/>
    <w:rsid w:val="007B2502"/>
    <w:rsid w:val="007B25FE"/>
    <w:rsid w:val="007B263C"/>
    <w:rsid w:val="007B265D"/>
    <w:rsid w:val="007B266C"/>
    <w:rsid w:val="007B2694"/>
    <w:rsid w:val="007B270D"/>
    <w:rsid w:val="007B2782"/>
    <w:rsid w:val="007B287A"/>
    <w:rsid w:val="007B28E4"/>
    <w:rsid w:val="007B2919"/>
    <w:rsid w:val="007B291E"/>
    <w:rsid w:val="007B2992"/>
    <w:rsid w:val="007B2A3E"/>
    <w:rsid w:val="007B2A90"/>
    <w:rsid w:val="007B2ABA"/>
    <w:rsid w:val="007B2AC9"/>
    <w:rsid w:val="007B2AE5"/>
    <w:rsid w:val="007B2B4A"/>
    <w:rsid w:val="007B2BE8"/>
    <w:rsid w:val="007B2C73"/>
    <w:rsid w:val="007B2E03"/>
    <w:rsid w:val="007B2E5C"/>
    <w:rsid w:val="007B2E66"/>
    <w:rsid w:val="007B2F9E"/>
    <w:rsid w:val="007B2FA5"/>
    <w:rsid w:val="007B3202"/>
    <w:rsid w:val="007B3228"/>
    <w:rsid w:val="007B32F6"/>
    <w:rsid w:val="007B3478"/>
    <w:rsid w:val="007B349C"/>
    <w:rsid w:val="007B3664"/>
    <w:rsid w:val="007B370A"/>
    <w:rsid w:val="007B3784"/>
    <w:rsid w:val="007B37A9"/>
    <w:rsid w:val="007B37D0"/>
    <w:rsid w:val="007B3874"/>
    <w:rsid w:val="007B3954"/>
    <w:rsid w:val="007B3A9C"/>
    <w:rsid w:val="007B3AD6"/>
    <w:rsid w:val="007B3DC4"/>
    <w:rsid w:val="007B3E2C"/>
    <w:rsid w:val="007B3EF0"/>
    <w:rsid w:val="007B3F42"/>
    <w:rsid w:val="007B3F57"/>
    <w:rsid w:val="007B41CF"/>
    <w:rsid w:val="007B422F"/>
    <w:rsid w:val="007B42C4"/>
    <w:rsid w:val="007B43D6"/>
    <w:rsid w:val="007B4456"/>
    <w:rsid w:val="007B447C"/>
    <w:rsid w:val="007B4487"/>
    <w:rsid w:val="007B4759"/>
    <w:rsid w:val="007B47CC"/>
    <w:rsid w:val="007B47F0"/>
    <w:rsid w:val="007B486A"/>
    <w:rsid w:val="007B4A23"/>
    <w:rsid w:val="007B4ABF"/>
    <w:rsid w:val="007B4B54"/>
    <w:rsid w:val="007B4B5A"/>
    <w:rsid w:val="007B4C14"/>
    <w:rsid w:val="007B4C3C"/>
    <w:rsid w:val="007B4E0D"/>
    <w:rsid w:val="007B507A"/>
    <w:rsid w:val="007B50D9"/>
    <w:rsid w:val="007B50DC"/>
    <w:rsid w:val="007B514C"/>
    <w:rsid w:val="007B51F9"/>
    <w:rsid w:val="007B5337"/>
    <w:rsid w:val="007B5509"/>
    <w:rsid w:val="007B5579"/>
    <w:rsid w:val="007B566C"/>
    <w:rsid w:val="007B5749"/>
    <w:rsid w:val="007B57C1"/>
    <w:rsid w:val="007B58B7"/>
    <w:rsid w:val="007B5A79"/>
    <w:rsid w:val="007B5B9B"/>
    <w:rsid w:val="007B5CD5"/>
    <w:rsid w:val="007B5E59"/>
    <w:rsid w:val="007B5E5D"/>
    <w:rsid w:val="007B5F2D"/>
    <w:rsid w:val="007B5F8D"/>
    <w:rsid w:val="007B6029"/>
    <w:rsid w:val="007B613C"/>
    <w:rsid w:val="007B6160"/>
    <w:rsid w:val="007B61FC"/>
    <w:rsid w:val="007B6218"/>
    <w:rsid w:val="007B62DC"/>
    <w:rsid w:val="007B6463"/>
    <w:rsid w:val="007B658B"/>
    <w:rsid w:val="007B6649"/>
    <w:rsid w:val="007B6810"/>
    <w:rsid w:val="007B694B"/>
    <w:rsid w:val="007B69E0"/>
    <w:rsid w:val="007B6C16"/>
    <w:rsid w:val="007B6C3C"/>
    <w:rsid w:val="007B6CC1"/>
    <w:rsid w:val="007B6D70"/>
    <w:rsid w:val="007B6DD4"/>
    <w:rsid w:val="007B6E4D"/>
    <w:rsid w:val="007B6F43"/>
    <w:rsid w:val="007B70D5"/>
    <w:rsid w:val="007B71A4"/>
    <w:rsid w:val="007B725D"/>
    <w:rsid w:val="007B72E8"/>
    <w:rsid w:val="007B735A"/>
    <w:rsid w:val="007B7424"/>
    <w:rsid w:val="007B7470"/>
    <w:rsid w:val="007B74AE"/>
    <w:rsid w:val="007B7613"/>
    <w:rsid w:val="007B78F7"/>
    <w:rsid w:val="007B7901"/>
    <w:rsid w:val="007B7981"/>
    <w:rsid w:val="007B7B3F"/>
    <w:rsid w:val="007B7B6E"/>
    <w:rsid w:val="007B7C39"/>
    <w:rsid w:val="007B7D0E"/>
    <w:rsid w:val="007B7D27"/>
    <w:rsid w:val="007B7DDF"/>
    <w:rsid w:val="007B7E44"/>
    <w:rsid w:val="007B7EA7"/>
    <w:rsid w:val="007B7F30"/>
    <w:rsid w:val="007B7F80"/>
    <w:rsid w:val="007B7FB9"/>
    <w:rsid w:val="007C00B6"/>
    <w:rsid w:val="007C014B"/>
    <w:rsid w:val="007C01F4"/>
    <w:rsid w:val="007C0406"/>
    <w:rsid w:val="007C044B"/>
    <w:rsid w:val="007C04A6"/>
    <w:rsid w:val="007C052D"/>
    <w:rsid w:val="007C059D"/>
    <w:rsid w:val="007C0616"/>
    <w:rsid w:val="007C0720"/>
    <w:rsid w:val="007C07FC"/>
    <w:rsid w:val="007C0813"/>
    <w:rsid w:val="007C097C"/>
    <w:rsid w:val="007C09E9"/>
    <w:rsid w:val="007C0A25"/>
    <w:rsid w:val="007C0A9E"/>
    <w:rsid w:val="007C0ADA"/>
    <w:rsid w:val="007C0AE6"/>
    <w:rsid w:val="007C0B8F"/>
    <w:rsid w:val="007C0BF2"/>
    <w:rsid w:val="007C0BFE"/>
    <w:rsid w:val="007C0C10"/>
    <w:rsid w:val="007C0C8E"/>
    <w:rsid w:val="007C0CAD"/>
    <w:rsid w:val="007C0DF2"/>
    <w:rsid w:val="007C0E68"/>
    <w:rsid w:val="007C0E8C"/>
    <w:rsid w:val="007C0FD5"/>
    <w:rsid w:val="007C0FF7"/>
    <w:rsid w:val="007C1006"/>
    <w:rsid w:val="007C1018"/>
    <w:rsid w:val="007C113E"/>
    <w:rsid w:val="007C11A4"/>
    <w:rsid w:val="007C12C6"/>
    <w:rsid w:val="007C147E"/>
    <w:rsid w:val="007C1555"/>
    <w:rsid w:val="007C1586"/>
    <w:rsid w:val="007C15B0"/>
    <w:rsid w:val="007C15D8"/>
    <w:rsid w:val="007C17B8"/>
    <w:rsid w:val="007C17E6"/>
    <w:rsid w:val="007C181C"/>
    <w:rsid w:val="007C1922"/>
    <w:rsid w:val="007C195A"/>
    <w:rsid w:val="007C1B1D"/>
    <w:rsid w:val="007C1B2E"/>
    <w:rsid w:val="007C1C11"/>
    <w:rsid w:val="007C1C62"/>
    <w:rsid w:val="007C1D6E"/>
    <w:rsid w:val="007C1DE4"/>
    <w:rsid w:val="007C1ED0"/>
    <w:rsid w:val="007C1F20"/>
    <w:rsid w:val="007C1FAB"/>
    <w:rsid w:val="007C1FB1"/>
    <w:rsid w:val="007C1FCF"/>
    <w:rsid w:val="007C227C"/>
    <w:rsid w:val="007C271C"/>
    <w:rsid w:val="007C2750"/>
    <w:rsid w:val="007C277E"/>
    <w:rsid w:val="007C27AE"/>
    <w:rsid w:val="007C2881"/>
    <w:rsid w:val="007C2930"/>
    <w:rsid w:val="007C2A41"/>
    <w:rsid w:val="007C2A50"/>
    <w:rsid w:val="007C2A7A"/>
    <w:rsid w:val="007C2A87"/>
    <w:rsid w:val="007C2C4F"/>
    <w:rsid w:val="007C2E56"/>
    <w:rsid w:val="007C2EBC"/>
    <w:rsid w:val="007C2F50"/>
    <w:rsid w:val="007C3148"/>
    <w:rsid w:val="007C31EC"/>
    <w:rsid w:val="007C3252"/>
    <w:rsid w:val="007C3255"/>
    <w:rsid w:val="007C33E0"/>
    <w:rsid w:val="007C3478"/>
    <w:rsid w:val="007C34E3"/>
    <w:rsid w:val="007C355E"/>
    <w:rsid w:val="007C3628"/>
    <w:rsid w:val="007C368C"/>
    <w:rsid w:val="007C3757"/>
    <w:rsid w:val="007C37BE"/>
    <w:rsid w:val="007C3855"/>
    <w:rsid w:val="007C3871"/>
    <w:rsid w:val="007C38C2"/>
    <w:rsid w:val="007C3B4A"/>
    <w:rsid w:val="007C3BE0"/>
    <w:rsid w:val="007C3C5F"/>
    <w:rsid w:val="007C3F36"/>
    <w:rsid w:val="007C3FA6"/>
    <w:rsid w:val="007C408A"/>
    <w:rsid w:val="007C41C7"/>
    <w:rsid w:val="007C430A"/>
    <w:rsid w:val="007C4333"/>
    <w:rsid w:val="007C4358"/>
    <w:rsid w:val="007C43F3"/>
    <w:rsid w:val="007C440D"/>
    <w:rsid w:val="007C444F"/>
    <w:rsid w:val="007C4533"/>
    <w:rsid w:val="007C45F5"/>
    <w:rsid w:val="007C467F"/>
    <w:rsid w:val="007C472C"/>
    <w:rsid w:val="007C47B1"/>
    <w:rsid w:val="007C47FE"/>
    <w:rsid w:val="007C4856"/>
    <w:rsid w:val="007C4865"/>
    <w:rsid w:val="007C499F"/>
    <w:rsid w:val="007C49D1"/>
    <w:rsid w:val="007C4A8D"/>
    <w:rsid w:val="007C4AD7"/>
    <w:rsid w:val="007C4B4D"/>
    <w:rsid w:val="007C4B9B"/>
    <w:rsid w:val="007C4BB2"/>
    <w:rsid w:val="007C4C87"/>
    <w:rsid w:val="007C4DC6"/>
    <w:rsid w:val="007C4DEA"/>
    <w:rsid w:val="007C4E42"/>
    <w:rsid w:val="007C4ECF"/>
    <w:rsid w:val="007C5026"/>
    <w:rsid w:val="007C50DF"/>
    <w:rsid w:val="007C51E8"/>
    <w:rsid w:val="007C53D8"/>
    <w:rsid w:val="007C545D"/>
    <w:rsid w:val="007C547F"/>
    <w:rsid w:val="007C54A2"/>
    <w:rsid w:val="007C550A"/>
    <w:rsid w:val="007C552A"/>
    <w:rsid w:val="007C5560"/>
    <w:rsid w:val="007C5621"/>
    <w:rsid w:val="007C5647"/>
    <w:rsid w:val="007C5656"/>
    <w:rsid w:val="007C56A4"/>
    <w:rsid w:val="007C57DC"/>
    <w:rsid w:val="007C5985"/>
    <w:rsid w:val="007C59DC"/>
    <w:rsid w:val="007C5A29"/>
    <w:rsid w:val="007C5B39"/>
    <w:rsid w:val="007C5BCC"/>
    <w:rsid w:val="007C5CA5"/>
    <w:rsid w:val="007C5CC7"/>
    <w:rsid w:val="007C5D2D"/>
    <w:rsid w:val="007C5DBD"/>
    <w:rsid w:val="007C5DE8"/>
    <w:rsid w:val="007C5FC9"/>
    <w:rsid w:val="007C5FE4"/>
    <w:rsid w:val="007C621B"/>
    <w:rsid w:val="007C6232"/>
    <w:rsid w:val="007C6536"/>
    <w:rsid w:val="007C67CD"/>
    <w:rsid w:val="007C67DF"/>
    <w:rsid w:val="007C689A"/>
    <w:rsid w:val="007C6B25"/>
    <w:rsid w:val="007C6B6B"/>
    <w:rsid w:val="007C6B92"/>
    <w:rsid w:val="007C6C9B"/>
    <w:rsid w:val="007C6CAC"/>
    <w:rsid w:val="007C6D58"/>
    <w:rsid w:val="007C6F76"/>
    <w:rsid w:val="007C6FF3"/>
    <w:rsid w:val="007C7074"/>
    <w:rsid w:val="007C7137"/>
    <w:rsid w:val="007C7207"/>
    <w:rsid w:val="007C7238"/>
    <w:rsid w:val="007C728E"/>
    <w:rsid w:val="007C72C9"/>
    <w:rsid w:val="007C735C"/>
    <w:rsid w:val="007C73F4"/>
    <w:rsid w:val="007C751B"/>
    <w:rsid w:val="007C75A6"/>
    <w:rsid w:val="007C7624"/>
    <w:rsid w:val="007C7763"/>
    <w:rsid w:val="007C78A2"/>
    <w:rsid w:val="007C78AC"/>
    <w:rsid w:val="007C78E5"/>
    <w:rsid w:val="007C794D"/>
    <w:rsid w:val="007C797C"/>
    <w:rsid w:val="007C7A18"/>
    <w:rsid w:val="007C7AFC"/>
    <w:rsid w:val="007C7BA9"/>
    <w:rsid w:val="007C7C3F"/>
    <w:rsid w:val="007C7CCA"/>
    <w:rsid w:val="007C7D7B"/>
    <w:rsid w:val="007C7DB0"/>
    <w:rsid w:val="007C7E8E"/>
    <w:rsid w:val="007D002A"/>
    <w:rsid w:val="007D0066"/>
    <w:rsid w:val="007D00E9"/>
    <w:rsid w:val="007D018D"/>
    <w:rsid w:val="007D0236"/>
    <w:rsid w:val="007D02AF"/>
    <w:rsid w:val="007D02F6"/>
    <w:rsid w:val="007D0321"/>
    <w:rsid w:val="007D0376"/>
    <w:rsid w:val="007D03D0"/>
    <w:rsid w:val="007D0607"/>
    <w:rsid w:val="007D070E"/>
    <w:rsid w:val="007D07EB"/>
    <w:rsid w:val="007D080D"/>
    <w:rsid w:val="007D0940"/>
    <w:rsid w:val="007D0992"/>
    <w:rsid w:val="007D09E3"/>
    <w:rsid w:val="007D09F3"/>
    <w:rsid w:val="007D0A18"/>
    <w:rsid w:val="007D0AAA"/>
    <w:rsid w:val="007D0AFD"/>
    <w:rsid w:val="007D0C2A"/>
    <w:rsid w:val="007D0C71"/>
    <w:rsid w:val="007D0D2E"/>
    <w:rsid w:val="007D0EA4"/>
    <w:rsid w:val="007D106D"/>
    <w:rsid w:val="007D1088"/>
    <w:rsid w:val="007D116D"/>
    <w:rsid w:val="007D1176"/>
    <w:rsid w:val="007D121E"/>
    <w:rsid w:val="007D1229"/>
    <w:rsid w:val="007D12C3"/>
    <w:rsid w:val="007D12FE"/>
    <w:rsid w:val="007D1362"/>
    <w:rsid w:val="007D13E6"/>
    <w:rsid w:val="007D14D1"/>
    <w:rsid w:val="007D15FF"/>
    <w:rsid w:val="007D1604"/>
    <w:rsid w:val="007D1637"/>
    <w:rsid w:val="007D1728"/>
    <w:rsid w:val="007D17F7"/>
    <w:rsid w:val="007D1870"/>
    <w:rsid w:val="007D188C"/>
    <w:rsid w:val="007D18E1"/>
    <w:rsid w:val="007D1A0D"/>
    <w:rsid w:val="007D1A35"/>
    <w:rsid w:val="007D1AB8"/>
    <w:rsid w:val="007D1ACE"/>
    <w:rsid w:val="007D1B62"/>
    <w:rsid w:val="007D1CE0"/>
    <w:rsid w:val="007D1E31"/>
    <w:rsid w:val="007D1E4A"/>
    <w:rsid w:val="007D2007"/>
    <w:rsid w:val="007D2184"/>
    <w:rsid w:val="007D2197"/>
    <w:rsid w:val="007D224C"/>
    <w:rsid w:val="007D22B9"/>
    <w:rsid w:val="007D233D"/>
    <w:rsid w:val="007D2597"/>
    <w:rsid w:val="007D2689"/>
    <w:rsid w:val="007D26C8"/>
    <w:rsid w:val="007D28C2"/>
    <w:rsid w:val="007D294A"/>
    <w:rsid w:val="007D299F"/>
    <w:rsid w:val="007D2A2C"/>
    <w:rsid w:val="007D2A46"/>
    <w:rsid w:val="007D2A4C"/>
    <w:rsid w:val="007D2A58"/>
    <w:rsid w:val="007D2B02"/>
    <w:rsid w:val="007D2CC6"/>
    <w:rsid w:val="007D2DCA"/>
    <w:rsid w:val="007D2ED7"/>
    <w:rsid w:val="007D2EDB"/>
    <w:rsid w:val="007D2FA9"/>
    <w:rsid w:val="007D3066"/>
    <w:rsid w:val="007D30F9"/>
    <w:rsid w:val="007D3298"/>
    <w:rsid w:val="007D32D9"/>
    <w:rsid w:val="007D32F1"/>
    <w:rsid w:val="007D3345"/>
    <w:rsid w:val="007D345E"/>
    <w:rsid w:val="007D35C4"/>
    <w:rsid w:val="007D35E9"/>
    <w:rsid w:val="007D35F6"/>
    <w:rsid w:val="007D3668"/>
    <w:rsid w:val="007D38C7"/>
    <w:rsid w:val="007D3924"/>
    <w:rsid w:val="007D3A70"/>
    <w:rsid w:val="007D3C25"/>
    <w:rsid w:val="007D3F83"/>
    <w:rsid w:val="007D3FFC"/>
    <w:rsid w:val="007D3FFD"/>
    <w:rsid w:val="007D4145"/>
    <w:rsid w:val="007D431C"/>
    <w:rsid w:val="007D4440"/>
    <w:rsid w:val="007D4504"/>
    <w:rsid w:val="007D4654"/>
    <w:rsid w:val="007D4666"/>
    <w:rsid w:val="007D4698"/>
    <w:rsid w:val="007D46B7"/>
    <w:rsid w:val="007D4709"/>
    <w:rsid w:val="007D4A4C"/>
    <w:rsid w:val="007D4A66"/>
    <w:rsid w:val="007D4C88"/>
    <w:rsid w:val="007D4C94"/>
    <w:rsid w:val="007D4CAF"/>
    <w:rsid w:val="007D4DC5"/>
    <w:rsid w:val="007D4E01"/>
    <w:rsid w:val="007D4E53"/>
    <w:rsid w:val="007D4EAE"/>
    <w:rsid w:val="007D4EB4"/>
    <w:rsid w:val="007D4EFD"/>
    <w:rsid w:val="007D4FC4"/>
    <w:rsid w:val="007D5027"/>
    <w:rsid w:val="007D516E"/>
    <w:rsid w:val="007D5237"/>
    <w:rsid w:val="007D5295"/>
    <w:rsid w:val="007D530A"/>
    <w:rsid w:val="007D538F"/>
    <w:rsid w:val="007D53CB"/>
    <w:rsid w:val="007D54ED"/>
    <w:rsid w:val="007D554F"/>
    <w:rsid w:val="007D56BC"/>
    <w:rsid w:val="007D583F"/>
    <w:rsid w:val="007D5889"/>
    <w:rsid w:val="007D59FB"/>
    <w:rsid w:val="007D5AFA"/>
    <w:rsid w:val="007D5C56"/>
    <w:rsid w:val="007D5E0B"/>
    <w:rsid w:val="007D5E7D"/>
    <w:rsid w:val="007D60E7"/>
    <w:rsid w:val="007D619B"/>
    <w:rsid w:val="007D61EA"/>
    <w:rsid w:val="007D624C"/>
    <w:rsid w:val="007D63F4"/>
    <w:rsid w:val="007D6433"/>
    <w:rsid w:val="007D64D1"/>
    <w:rsid w:val="007D6535"/>
    <w:rsid w:val="007D6540"/>
    <w:rsid w:val="007D655B"/>
    <w:rsid w:val="007D65A7"/>
    <w:rsid w:val="007D66D0"/>
    <w:rsid w:val="007D672E"/>
    <w:rsid w:val="007D678F"/>
    <w:rsid w:val="007D68FB"/>
    <w:rsid w:val="007D696A"/>
    <w:rsid w:val="007D6A43"/>
    <w:rsid w:val="007D6AEA"/>
    <w:rsid w:val="007D6CBA"/>
    <w:rsid w:val="007D6DD5"/>
    <w:rsid w:val="007D6E71"/>
    <w:rsid w:val="007D6F6A"/>
    <w:rsid w:val="007D6FA5"/>
    <w:rsid w:val="007D6FC9"/>
    <w:rsid w:val="007D6FE0"/>
    <w:rsid w:val="007D6FE7"/>
    <w:rsid w:val="007D7155"/>
    <w:rsid w:val="007D71C0"/>
    <w:rsid w:val="007D723F"/>
    <w:rsid w:val="007D74A9"/>
    <w:rsid w:val="007D74B0"/>
    <w:rsid w:val="007D7677"/>
    <w:rsid w:val="007D76D3"/>
    <w:rsid w:val="007D78C3"/>
    <w:rsid w:val="007D7908"/>
    <w:rsid w:val="007D79BE"/>
    <w:rsid w:val="007D7B1D"/>
    <w:rsid w:val="007D7E0A"/>
    <w:rsid w:val="007D7E23"/>
    <w:rsid w:val="007D7F84"/>
    <w:rsid w:val="007D7FAD"/>
    <w:rsid w:val="007E000A"/>
    <w:rsid w:val="007E00C8"/>
    <w:rsid w:val="007E01D8"/>
    <w:rsid w:val="007E0260"/>
    <w:rsid w:val="007E034E"/>
    <w:rsid w:val="007E044A"/>
    <w:rsid w:val="007E05B0"/>
    <w:rsid w:val="007E060D"/>
    <w:rsid w:val="007E06D0"/>
    <w:rsid w:val="007E0723"/>
    <w:rsid w:val="007E073A"/>
    <w:rsid w:val="007E07C8"/>
    <w:rsid w:val="007E0810"/>
    <w:rsid w:val="007E0861"/>
    <w:rsid w:val="007E0867"/>
    <w:rsid w:val="007E0869"/>
    <w:rsid w:val="007E08F2"/>
    <w:rsid w:val="007E08FC"/>
    <w:rsid w:val="007E0949"/>
    <w:rsid w:val="007E0964"/>
    <w:rsid w:val="007E09C3"/>
    <w:rsid w:val="007E0AD8"/>
    <w:rsid w:val="007E0B3E"/>
    <w:rsid w:val="007E0CBA"/>
    <w:rsid w:val="007E0D18"/>
    <w:rsid w:val="007E0D1E"/>
    <w:rsid w:val="007E112C"/>
    <w:rsid w:val="007E145B"/>
    <w:rsid w:val="007E14F9"/>
    <w:rsid w:val="007E152E"/>
    <w:rsid w:val="007E17C0"/>
    <w:rsid w:val="007E183F"/>
    <w:rsid w:val="007E1A2E"/>
    <w:rsid w:val="007E1A46"/>
    <w:rsid w:val="007E1A73"/>
    <w:rsid w:val="007E1B08"/>
    <w:rsid w:val="007E1B56"/>
    <w:rsid w:val="007E1C9A"/>
    <w:rsid w:val="007E1FC7"/>
    <w:rsid w:val="007E1FE3"/>
    <w:rsid w:val="007E1FEF"/>
    <w:rsid w:val="007E203D"/>
    <w:rsid w:val="007E2165"/>
    <w:rsid w:val="007E217A"/>
    <w:rsid w:val="007E2193"/>
    <w:rsid w:val="007E22B0"/>
    <w:rsid w:val="007E22FA"/>
    <w:rsid w:val="007E23C9"/>
    <w:rsid w:val="007E24B3"/>
    <w:rsid w:val="007E2564"/>
    <w:rsid w:val="007E2679"/>
    <w:rsid w:val="007E26A3"/>
    <w:rsid w:val="007E26D8"/>
    <w:rsid w:val="007E276B"/>
    <w:rsid w:val="007E28AF"/>
    <w:rsid w:val="007E29E9"/>
    <w:rsid w:val="007E2A41"/>
    <w:rsid w:val="007E2BAF"/>
    <w:rsid w:val="007E2BC6"/>
    <w:rsid w:val="007E2C7B"/>
    <w:rsid w:val="007E2CA6"/>
    <w:rsid w:val="007E2D6B"/>
    <w:rsid w:val="007E321D"/>
    <w:rsid w:val="007E3300"/>
    <w:rsid w:val="007E3802"/>
    <w:rsid w:val="007E38EA"/>
    <w:rsid w:val="007E397A"/>
    <w:rsid w:val="007E3AB6"/>
    <w:rsid w:val="007E3B4D"/>
    <w:rsid w:val="007E3BF1"/>
    <w:rsid w:val="007E3C77"/>
    <w:rsid w:val="007E3CDA"/>
    <w:rsid w:val="007E3D1F"/>
    <w:rsid w:val="007E3DAB"/>
    <w:rsid w:val="007E3E6D"/>
    <w:rsid w:val="007E3F8C"/>
    <w:rsid w:val="007E3FAA"/>
    <w:rsid w:val="007E3FDC"/>
    <w:rsid w:val="007E40C8"/>
    <w:rsid w:val="007E4104"/>
    <w:rsid w:val="007E41AE"/>
    <w:rsid w:val="007E4221"/>
    <w:rsid w:val="007E4417"/>
    <w:rsid w:val="007E4574"/>
    <w:rsid w:val="007E464F"/>
    <w:rsid w:val="007E47D3"/>
    <w:rsid w:val="007E47F5"/>
    <w:rsid w:val="007E48D3"/>
    <w:rsid w:val="007E48F7"/>
    <w:rsid w:val="007E4947"/>
    <w:rsid w:val="007E4B6C"/>
    <w:rsid w:val="007E4C9A"/>
    <w:rsid w:val="007E4D67"/>
    <w:rsid w:val="007E4E41"/>
    <w:rsid w:val="007E4E4C"/>
    <w:rsid w:val="007E4EBA"/>
    <w:rsid w:val="007E4FA5"/>
    <w:rsid w:val="007E505F"/>
    <w:rsid w:val="007E51ED"/>
    <w:rsid w:val="007E530B"/>
    <w:rsid w:val="007E556C"/>
    <w:rsid w:val="007E55B2"/>
    <w:rsid w:val="007E55CB"/>
    <w:rsid w:val="007E5833"/>
    <w:rsid w:val="007E59DE"/>
    <w:rsid w:val="007E5A12"/>
    <w:rsid w:val="007E5A40"/>
    <w:rsid w:val="007E5AE7"/>
    <w:rsid w:val="007E5C5E"/>
    <w:rsid w:val="007E5CFF"/>
    <w:rsid w:val="007E5D82"/>
    <w:rsid w:val="007E5DA4"/>
    <w:rsid w:val="007E5DF1"/>
    <w:rsid w:val="007E5EB0"/>
    <w:rsid w:val="007E5EFB"/>
    <w:rsid w:val="007E5FB5"/>
    <w:rsid w:val="007E5FE6"/>
    <w:rsid w:val="007E5FF9"/>
    <w:rsid w:val="007E6090"/>
    <w:rsid w:val="007E60C5"/>
    <w:rsid w:val="007E6106"/>
    <w:rsid w:val="007E61A3"/>
    <w:rsid w:val="007E628B"/>
    <w:rsid w:val="007E62F5"/>
    <w:rsid w:val="007E6322"/>
    <w:rsid w:val="007E6346"/>
    <w:rsid w:val="007E640F"/>
    <w:rsid w:val="007E6470"/>
    <w:rsid w:val="007E6516"/>
    <w:rsid w:val="007E6621"/>
    <w:rsid w:val="007E662E"/>
    <w:rsid w:val="007E6696"/>
    <w:rsid w:val="007E66CA"/>
    <w:rsid w:val="007E6898"/>
    <w:rsid w:val="007E695F"/>
    <w:rsid w:val="007E69D0"/>
    <w:rsid w:val="007E6B57"/>
    <w:rsid w:val="007E6B81"/>
    <w:rsid w:val="007E6C4C"/>
    <w:rsid w:val="007E6C5B"/>
    <w:rsid w:val="007E6CC8"/>
    <w:rsid w:val="007E6D70"/>
    <w:rsid w:val="007E6F6F"/>
    <w:rsid w:val="007E7036"/>
    <w:rsid w:val="007E7259"/>
    <w:rsid w:val="007E72FD"/>
    <w:rsid w:val="007E7823"/>
    <w:rsid w:val="007E7902"/>
    <w:rsid w:val="007E7A3D"/>
    <w:rsid w:val="007E7A74"/>
    <w:rsid w:val="007E7AE4"/>
    <w:rsid w:val="007E7B34"/>
    <w:rsid w:val="007E7BD2"/>
    <w:rsid w:val="007E7CE8"/>
    <w:rsid w:val="007E7D9F"/>
    <w:rsid w:val="007E7EFB"/>
    <w:rsid w:val="007E7F18"/>
    <w:rsid w:val="007E7F9C"/>
    <w:rsid w:val="007E7FC1"/>
    <w:rsid w:val="007F0091"/>
    <w:rsid w:val="007F009D"/>
    <w:rsid w:val="007F00C2"/>
    <w:rsid w:val="007F00CB"/>
    <w:rsid w:val="007F0185"/>
    <w:rsid w:val="007F0446"/>
    <w:rsid w:val="007F0479"/>
    <w:rsid w:val="007F0494"/>
    <w:rsid w:val="007F054D"/>
    <w:rsid w:val="007F0924"/>
    <w:rsid w:val="007F0B5B"/>
    <w:rsid w:val="007F0C30"/>
    <w:rsid w:val="007F0C98"/>
    <w:rsid w:val="007F0CF3"/>
    <w:rsid w:val="007F0D1B"/>
    <w:rsid w:val="007F0F31"/>
    <w:rsid w:val="007F0FBB"/>
    <w:rsid w:val="007F1183"/>
    <w:rsid w:val="007F1199"/>
    <w:rsid w:val="007F11C5"/>
    <w:rsid w:val="007F11E4"/>
    <w:rsid w:val="007F11FF"/>
    <w:rsid w:val="007F12B2"/>
    <w:rsid w:val="007F1425"/>
    <w:rsid w:val="007F1684"/>
    <w:rsid w:val="007F16E6"/>
    <w:rsid w:val="007F18CB"/>
    <w:rsid w:val="007F18F1"/>
    <w:rsid w:val="007F1930"/>
    <w:rsid w:val="007F195E"/>
    <w:rsid w:val="007F197D"/>
    <w:rsid w:val="007F19F7"/>
    <w:rsid w:val="007F1B25"/>
    <w:rsid w:val="007F1BCB"/>
    <w:rsid w:val="007F1D0F"/>
    <w:rsid w:val="007F1E30"/>
    <w:rsid w:val="007F1EBB"/>
    <w:rsid w:val="007F210E"/>
    <w:rsid w:val="007F21AF"/>
    <w:rsid w:val="007F2360"/>
    <w:rsid w:val="007F23DF"/>
    <w:rsid w:val="007F240A"/>
    <w:rsid w:val="007F280E"/>
    <w:rsid w:val="007F28EB"/>
    <w:rsid w:val="007F2911"/>
    <w:rsid w:val="007F2ACC"/>
    <w:rsid w:val="007F2B8B"/>
    <w:rsid w:val="007F2E06"/>
    <w:rsid w:val="007F2E61"/>
    <w:rsid w:val="007F2EB6"/>
    <w:rsid w:val="007F2F21"/>
    <w:rsid w:val="007F2F5C"/>
    <w:rsid w:val="007F2F78"/>
    <w:rsid w:val="007F2FB0"/>
    <w:rsid w:val="007F30F7"/>
    <w:rsid w:val="007F31B4"/>
    <w:rsid w:val="007F3249"/>
    <w:rsid w:val="007F3266"/>
    <w:rsid w:val="007F3388"/>
    <w:rsid w:val="007F3427"/>
    <w:rsid w:val="007F34CA"/>
    <w:rsid w:val="007F3662"/>
    <w:rsid w:val="007F36C2"/>
    <w:rsid w:val="007F3719"/>
    <w:rsid w:val="007F3731"/>
    <w:rsid w:val="007F3749"/>
    <w:rsid w:val="007F3760"/>
    <w:rsid w:val="007F3787"/>
    <w:rsid w:val="007F37C0"/>
    <w:rsid w:val="007F3822"/>
    <w:rsid w:val="007F3879"/>
    <w:rsid w:val="007F38D1"/>
    <w:rsid w:val="007F392C"/>
    <w:rsid w:val="007F3973"/>
    <w:rsid w:val="007F398F"/>
    <w:rsid w:val="007F3A98"/>
    <w:rsid w:val="007F3AA5"/>
    <w:rsid w:val="007F3B43"/>
    <w:rsid w:val="007F3C49"/>
    <w:rsid w:val="007F3C54"/>
    <w:rsid w:val="007F3CB8"/>
    <w:rsid w:val="007F3CDA"/>
    <w:rsid w:val="007F3E4B"/>
    <w:rsid w:val="007F3EC1"/>
    <w:rsid w:val="007F4005"/>
    <w:rsid w:val="007F4025"/>
    <w:rsid w:val="007F4290"/>
    <w:rsid w:val="007F4292"/>
    <w:rsid w:val="007F42CB"/>
    <w:rsid w:val="007F4370"/>
    <w:rsid w:val="007F43F4"/>
    <w:rsid w:val="007F447D"/>
    <w:rsid w:val="007F44F8"/>
    <w:rsid w:val="007F45EB"/>
    <w:rsid w:val="007F4608"/>
    <w:rsid w:val="007F4777"/>
    <w:rsid w:val="007F49F5"/>
    <w:rsid w:val="007F4A7E"/>
    <w:rsid w:val="007F4AF6"/>
    <w:rsid w:val="007F4B13"/>
    <w:rsid w:val="007F4B9B"/>
    <w:rsid w:val="007F4BF0"/>
    <w:rsid w:val="007F4D09"/>
    <w:rsid w:val="007F4DE5"/>
    <w:rsid w:val="007F4F29"/>
    <w:rsid w:val="007F4F70"/>
    <w:rsid w:val="007F4FEF"/>
    <w:rsid w:val="007F5058"/>
    <w:rsid w:val="007F50AD"/>
    <w:rsid w:val="007F5144"/>
    <w:rsid w:val="007F52E5"/>
    <w:rsid w:val="007F5317"/>
    <w:rsid w:val="007F5335"/>
    <w:rsid w:val="007F536F"/>
    <w:rsid w:val="007F551D"/>
    <w:rsid w:val="007F55E5"/>
    <w:rsid w:val="007F572D"/>
    <w:rsid w:val="007F5845"/>
    <w:rsid w:val="007F587B"/>
    <w:rsid w:val="007F597D"/>
    <w:rsid w:val="007F59C9"/>
    <w:rsid w:val="007F59FC"/>
    <w:rsid w:val="007F5A26"/>
    <w:rsid w:val="007F5A6D"/>
    <w:rsid w:val="007F5A6F"/>
    <w:rsid w:val="007F6015"/>
    <w:rsid w:val="007F608E"/>
    <w:rsid w:val="007F60EC"/>
    <w:rsid w:val="007F6122"/>
    <w:rsid w:val="007F6201"/>
    <w:rsid w:val="007F62E9"/>
    <w:rsid w:val="007F6302"/>
    <w:rsid w:val="007F641E"/>
    <w:rsid w:val="007F6472"/>
    <w:rsid w:val="007F6496"/>
    <w:rsid w:val="007F64A3"/>
    <w:rsid w:val="007F657D"/>
    <w:rsid w:val="007F66C5"/>
    <w:rsid w:val="007F66D7"/>
    <w:rsid w:val="007F677E"/>
    <w:rsid w:val="007F6788"/>
    <w:rsid w:val="007F69C2"/>
    <w:rsid w:val="007F6AA9"/>
    <w:rsid w:val="007F6B63"/>
    <w:rsid w:val="007F6B68"/>
    <w:rsid w:val="007F6BEE"/>
    <w:rsid w:val="007F6CEE"/>
    <w:rsid w:val="007F6D32"/>
    <w:rsid w:val="007F6E00"/>
    <w:rsid w:val="007F6FF4"/>
    <w:rsid w:val="007F705C"/>
    <w:rsid w:val="007F70C9"/>
    <w:rsid w:val="007F72D0"/>
    <w:rsid w:val="007F748C"/>
    <w:rsid w:val="007F74DD"/>
    <w:rsid w:val="007F7528"/>
    <w:rsid w:val="007F75E7"/>
    <w:rsid w:val="007F766D"/>
    <w:rsid w:val="007F77C5"/>
    <w:rsid w:val="007F77DD"/>
    <w:rsid w:val="007F79D9"/>
    <w:rsid w:val="007F7A04"/>
    <w:rsid w:val="007F7A6E"/>
    <w:rsid w:val="007F7A7A"/>
    <w:rsid w:val="007F7B57"/>
    <w:rsid w:val="007F7BF2"/>
    <w:rsid w:val="007F7C4B"/>
    <w:rsid w:val="007F7CCF"/>
    <w:rsid w:val="007F7D00"/>
    <w:rsid w:val="007F7D0A"/>
    <w:rsid w:val="007F7F27"/>
    <w:rsid w:val="0080003D"/>
    <w:rsid w:val="0080007E"/>
    <w:rsid w:val="008001C2"/>
    <w:rsid w:val="008001C3"/>
    <w:rsid w:val="00800248"/>
    <w:rsid w:val="0080034F"/>
    <w:rsid w:val="00800357"/>
    <w:rsid w:val="00800375"/>
    <w:rsid w:val="008003ED"/>
    <w:rsid w:val="00800409"/>
    <w:rsid w:val="00800497"/>
    <w:rsid w:val="008004B0"/>
    <w:rsid w:val="0080070A"/>
    <w:rsid w:val="0080074B"/>
    <w:rsid w:val="0080077E"/>
    <w:rsid w:val="00800816"/>
    <w:rsid w:val="0080091F"/>
    <w:rsid w:val="00800954"/>
    <w:rsid w:val="00800ACF"/>
    <w:rsid w:val="00800B1D"/>
    <w:rsid w:val="00800B62"/>
    <w:rsid w:val="00800C36"/>
    <w:rsid w:val="00800D4E"/>
    <w:rsid w:val="00800D4F"/>
    <w:rsid w:val="00800E40"/>
    <w:rsid w:val="00800FFA"/>
    <w:rsid w:val="00801123"/>
    <w:rsid w:val="0080130D"/>
    <w:rsid w:val="00801398"/>
    <w:rsid w:val="008013B6"/>
    <w:rsid w:val="00801404"/>
    <w:rsid w:val="00801489"/>
    <w:rsid w:val="008014AC"/>
    <w:rsid w:val="008014FB"/>
    <w:rsid w:val="0080150E"/>
    <w:rsid w:val="00801520"/>
    <w:rsid w:val="0080156C"/>
    <w:rsid w:val="008015CF"/>
    <w:rsid w:val="00801690"/>
    <w:rsid w:val="0080187B"/>
    <w:rsid w:val="0080190A"/>
    <w:rsid w:val="008019DD"/>
    <w:rsid w:val="00801A19"/>
    <w:rsid w:val="00801B0E"/>
    <w:rsid w:val="00801B82"/>
    <w:rsid w:val="00801BAC"/>
    <w:rsid w:val="00801BBD"/>
    <w:rsid w:val="00801C8F"/>
    <w:rsid w:val="00801CFF"/>
    <w:rsid w:val="00801DEF"/>
    <w:rsid w:val="00801E45"/>
    <w:rsid w:val="00801E58"/>
    <w:rsid w:val="00801E6E"/>
    <w:rsid w:val="00801F3C"/>
    <w:rsid w:val="008020E4"/>
    <w:rsid w:val="00802107"/>
    <w:rsid w:val="00802126"/>
    <w:rsid w:val="00802238"/>
    <w:rsid w:val="00802251"/>
    <w:rsid w:val="00802292"/>
    <w:rsid w:val="0080233D"/>
    <w:rsid w:val="00802410"/>
    <w:rsid w:val="00802446"/>
    <w:rsid w:val="0080250A"/>
    <w:rsid w:val="00802705"/>
    <w:rsid w:val="0080277E"/>
    <w:rsid w:val="00802802"/>
    <w:rsid w:val="00802991"/>
    <w:rsid w:val="00802A24"/>
    <w:rsid w:val="00802C19"/>
    <w:rsid w:val="00802C4B"/>
    <w:rsid w:val="00802C71"/>
    <w:rsid w:val="00802E9B"/>
    <w:rsid w:val="00802F50"/>
    <w:rsid w:val="008031EA"/>
    <w:rsid w:val="00803218"/>
    <w:rsid w:val="0080323B"/>
    <w:rsid w:val="008032EA"/>
    <w:rsid w:val="00803315"/>
    <w:rsid w:val="0080336C"/>
    <w:rsid w:val="0080337D"/>
    <w:rsid w:val="008033EE"/>
    <w:rsid w:val="0080360A"/>
    <w:rsid w:val="00803694"/>
    <w:rsid w:val="008036AA"/>
    <w:rsid w:val="008036EA"/>
    <w:rsid w:val="0080371D"/>
    <w:rsid w:val="008037B8"/>
    <w:rsid w:val="008038EB"/>
    <w:rsid w:val="00803940"/>
    <w:rsid w:val="00803984"/>
    <w:rsid w:val="00803A44"/>
    <w:rsid w:val="00803B49"/>
    <w:rsid w:val="00803BD2"/>
    <w:rsid w:val="00803C03"/>
    <w:rsid w:val="00803CA2"/>
    <w:rsid w:val="00803CAE"/>
    <w:rsid w:val="00803D10"/>
    <w:rsid w:val="00803D33"/>
    <w:rsid w:val="00803D5B"/>
    <w:rsid w:val="00803DFE"/>
    <w:rsid w:val="00803E53"/>
    <w:rsid w:val="00803E67"/>
    <w:rsid w:val="00803EA3"/>
    <w:rsid w:val="00804174"/>
    <w:rsid w:val="0080423A"/>
    <w:rsid w:val="00804486"/>
    <w:rsid w:val="008044AF"/>
    <w:rsid w:val="008046D1"/>
    <w:rsid w:val="00804993"/>
    <w:rsid w:val="008049DA"/>
    <w:rsid w:val="008049E7"/>
    <w:rsid w:val="00804ACD"/>
    <w:rsid w:val="00804BA8"/>
    <w:rsid w:val="00804BEA"/>
    <w:rsid w:val="00804BFF"/>
    <w:rsid w:val="00804C4A"/>
    <w:rsid w:val="00804E94"/>
    <w:rsid w:val="008050C7"/>
    <w:rsid w:val="008054C9"/>
    <w:rsid w:val="00805515"/>
    <w:rsid w:val="00805597"/>
    <w:rsid w:val="008055CD"/>
    <w:rsid w:val="008055D5"/>
    <w:rsid w:val="0080564B"/>
    <w:rsid w:val="008056B0"/>
    <w:rsid w:val="00805762"/>
    <w:rsid w:val="00805839"/>
    <w:rsid w:val="00805861"/>
    <w:rsid w:val="008058B4"/>
    <w:rsid w:val="00805994"/>
    <w:rsid w:val="008059F1"/>
    <w:rsid w:val="00805AFA"/>
    <w:rsid w:val="00805C7C"/>
    <w:rsid w:val="00805CC0"/>
    <w:rsid w:val="00805E05"/>
    <w:rsid w:val="00805FF8"/>
    <w:rsid w:val="008060A3"/>
    <w:rsid w:val="0080619D"/>
    <w:rsid w:val="008061F5"/>
    <w:rsid w:val="00806209"/>
    <w:rsid w:val="0080622C"/>
    <w:rsid w:val="00806303"/>
    <w:rsid w:val="00806373"/>
    <w:rsid w:val="00806409"/>
    <w:rsid w:val="00806652"/>
    <w:rsid w:val="008066FF"/>
    <w:rsid w:val="00806885"/>
    <w:rsid w:val="008068E7"/>
    <w:rsid w:val="008069ED"/>
    <w:rsid w:val="00806A96"/>
    <w:rsid w:val="00806BAB"/>
    <w:rsid w:val="00806E38"/>
    <w:rsid w:val="00807029"/>
    <w:rsid w:val="008070BC"/>
    <w:rsid w:val="00807123"/>
    <w:rsid w:val="008071AA"/>
    <w:rsid w:val="008074B3"/>
    <w:rsid w:val="0080756C"/>
    <w:rsid w:val="0080759D"/>
    <w:rsid w:val="00807668"/>
    <w:rsid w:val="00807690"/>
    <w:rsid w:val="008076BF"/>
    <w:rsid w:val="00807703"/>
    <w:rsid w:val="00807742"/>
    <w:rsid w:val="00807814"/>
    <w:rsid w:val="00807952"/>
    <w:rsid w:val="008079D2"/>
    <w:rsid w:val="00807A46"/>
    <w:rsid w:val="00807B70"/>
    <w:rsid w:val="00807B95"/>
    <w:rsid w:val="00807BA2"/>
    <w:rsid w:val="00807C58"/>
    <w:rsid w:val="00807D27"/>
    <w:rsid w:val="00807D94"/>
    <w:rsid w:val="00807DCC"/>
    <w:rsid w:val="00807ED6"/>
    <w:rsid w:val="00807F57"/>
    <w:rsid w:val="0081011D"/>
    <w:rsid w:val="008101EE"/>
    <w:rsid w:val="0081022B"/>
    <w:rsid w:val="0081024E"/>
    <w:rsid w:val="008106A5"/>
    <w:rsid w:val="008107CD"/>
    <w:rsid w:val="0081086D"/>
    <w:rsid w:val="008108D9"/>
    <w:rsid w:val="008108EA"/>
    <w:rsid w:val="0081093A"/>
    <w:rsid w:val="0081096B"/>
    <w:rsid w:val="00810A41"/>
    <w:rsid w:val="00810ACD"/>
    <w:rsid w:val="00810C9A"/>
    <w:rsid w:val="00810E30"/>
    <w:rsid w:val="00810F7F"/>
    <w:rsid w:val="00811125"/>
    <w:rsid w:val="0081122E"/>
    <w:rsid w:val="00811462"/>
    <w:rsid w:val="008114A8"/>
    <w:rsid w:val="008114E2"/>
    <w:rsid w:val="0081154D"/>
    <w:rsid w:val="008115EB"/>
    <w:rsid w:val="0081160D"/>
    <w:rsid w:val="00811731"/>
    <w:rsid w:val="0081178E"/>
    <w:rsid w:val="008119D4"/>
    <w:rsid w:val="00811A88"/>
    <w:rsid w:val="00811B97"/>
    <w:rsid w:val="00811CC2"/>
    <w:rsid w:val="00811DC4"/>
    <w:rsid w:val="00811E1B"/>
    <w:rsid w:val="00811EBD"/>
    <w:rsid w:val="00812001"/>
    <w:rsid w:val="0081212B"/>
    <w:rsid w:val="00812197"/>
    <w:rsid w:val="008121DF"/>
    <w:rsid w:val="00812312"/>
    <w:rsid w:val="00812351"/>
    <w:rsid w:val="00812431"/>
    <w:rsid w:val="00812440"/>
    <w:rsid w:val="00812511"/>
    <w:rsid w:val="0081263E"/>
    <w:rsid w:val="008126D6"/>
    <w:rsid w:val="0081279A"/>
    <w:rsid w:val="008128E6"/>
    <w:rsid w:val="00812982"/>
    <w:rsid w:val="008129F5"/>
    <w:rsid w:val="00812AF4"/>
    <w:rsid w:val="00812B2A"/>
    <w:rsid w:val="00812BC2"/>
    <w:rsid w:val="00812E5F"/>
    <w:rsid w:val="00812EBE"/>
    <w:rsid w:val="00812EEE"/>
    <w:rsid w:val="00812FC0"/>
    <w:rsid w:val="0081301E"/>
    <w:rsid w:val="008132D8"/>
    <w:rsid w:val="0081339D"/>
    <w:rsid w:val="008133B7"/>
    <w:rsid w:val="008134E9"/>
    <w:rsid w:val="00813512"/>
    <w:rsid w:val="008135D1"/>
    <w:rsid w:val="008136A3"/>
    <w:rsid w:val="0081387F"/>
    <w:rsid w:val="008138E5"/>
    <w:rsid w:val="00813AA0"/>
    <w:rsid w:val="00813BA3"/>
    <w:rsid w:val="00813BB7"/>
    <w:rsid w:val="00813C08"/>
    <w:rsid w:val="00813D87"/>
    <w:rsid w:val="00813E80"/>
    <w:rsid w:val="00813ED7"/>
    <w:rsid w:val="00813F49"/>
    <w:rsid w:val="00814032"/>
    <w:rsid w:val="00814063"/>
    <w:rsid w:val="00814087"/>
    <w:rsid w:val="008140B1"/>
    <w:rsid w:val="0081420C"/>
    <w:rsid w:val="008142D5"/>
    <w:rsid w:val="008143A8"/>
    <w:rsid w:val="00814427"/>
    <w:rsid w:val="0081442B"/>
    <w:rsid w:val="0081455B"/>
    <w:rsid w:val="00814693"/>
    <w:rsid w:val="00814906"/>
    <w:rsid w:val="00814A2B"/>
    <w:rsid w:val="00814C65"/>
    <w:rsid w:val="00814EA5"/>
    <w:rsid w:val="00814EF8"/>
    <w:rsid w:val="00814FCE"/>
    <w:rsid w:val="00814FF3"/>
    <w:rsid w:val="00815161"/>
    <w:rsid w:val="0081521D"/>
    <w:rsid w:val="00815239"/>
    <w:rsid w:val="0081525E"/>
    <w:rsid w:val="008152E3"/>
    <w:rsid w:val="008153E4"/>
    <w:rsid w:val="00815400"/>
    <w:rsid w:val="008155EB"/>
    <w:rsid w:val="0081577D"/>
    <w:rsid w:val="0081589E"/>
    <w:rsid w:val="00815926"/>
    <w:rsid w:val="008159FC"/>
    <w:rsid w:val="00815A0C"/>
    <w:rsid w:val="00815A24"/>
    <w:rsid w:val="00815C5E"/>
    <w:rsid w:val="00815D0C"/>
    <w:rsid w:val="00815D2D"/>
    <w:rsid w:val="00815D5D"/>
    <w:rsid w:val="00815DA0"/>
    <w:rsid w:val="00815EB6"/>
    <w:rsid w:val="00815EBF"/>
    <w:rsid w:val="00815F79"/>
    <w:rsid w:val="00816061"/>
    <w:rsid w:val="008160AA"/>
    <w:rsid w:val="008160EA"/>
    <w:rsid w:val="0081622B"/>
    <w:rsid w:val="0081622F"/>
    <w:rsid w:val="00816294"/>
    <w:rsid w:val="008164C1"/>
    <w:rsid w:val="00816520"/>
    <w:rsid w:val="008165C6"/>
    <w:rsid w:val="00816642"/>
    <w:rsid w:val="0081679E"/>
    <w:rsid w:val="008168C6"/>
    <w:rsid w:val="0081691C"/>
    <w:rsid w:val="008169E3"/>
    <w:rsid w:val="00816A38"/>
    <w:rsid w:val="00816B44"/>
    <w:rsid w:val="00816C03"/>
    <w:rsid w:val="00816CC1"/>
    <w:rsid w:val="00816D92"/>
    <w:rsid w:val="00816DA4"/>
    <w:rsid w:val="00816EBE"/>
    <w:rsid w:val="00816EE4"/>
    <w:rsid w:val="00816F22"/>
    <w:rsid w:val="00816F83"/>
    <w:rsid w:val="00816FE4"/>
    <w:rsid w:val="008170C8"/>
    <w:rsid w:val="008171BC"/>
    <w:rsid w:val="008171FB"/>
    <w:rsid w:val="00817240"/>
    <w:rsid w:val="008172F3"/>
    <w:rsid w:val="008173B5"/>
    <w:rsid w:val="008173ED"/>
    <w:rsid w:val="008174A6"/>
    <w:rsid w:val="0081752C"/>
    <w:rsid w:val="0081752E"/>
    <w:rsid w:val="00817548"/>
    <w:rsid w:val="00817573"/>
    <w:rsid w:val="00817652"/>
    <w:rsid w:val="008176A2"/>
    <w:rsid w:val="00817793"/>
    <w:rsid w:val="008177BF"/>
    <w:rsid w:val="008178A9"/>
    <w:rsid w:val="0081794A"/>
    <w:rsid w:val="00817A4D"/>
    <w:rsid w:val="00817C25"/>
    <w:rsid w:val="00817D45"/>
    <w:rsid w:val="00817E2A"/>
    <w:rsid w:val="00817EFD"/>
    <w:rsid w:val="00820003"/>
    <w:rsid w:val="00820071"/>
    <w:rsid w:val="00820078"/>
    <w:rsid w:val="008200FC"/>
    <w:rsid w:val="00820119"/>
    <w:rsid w:val="00820129"/>
    <w:rsid w:val="00820197"/>
    <w:rsid w:val="008201E8"/>
    <w:rsid w:val="0082020A"/>
    <w:rsid w:val="00820250"/>
    <w:rsid w:val="008202D8"/>
    <w:rsid w:val="0082030B"/>
    <w:rsid w:val="00820389"/>
    <w:rsid w:val="00820513"/>
    <w:rsid w:val="00820570"/>
    <w:rsid w:val="00820580"/>
    <w:rsid w:val="008205AC"/>
    <w:rsid w:val="008205B8"/>
    <w:rsid w:val="008205CF"/>
    <w:rsid w:val="008206F3"/>
    <w:rsid w:val="008206FE"/>
    <w:rsid w:val="00820735"/>
    <w:rsid w:val="0082074B"/>
    <w:rsid w:val="0082080D"/>
    <w:rsid w:val="00820937"/>
    <w:rsid w:val="008209E4"/>
    <w:rsid w:val="00820BD3"/>
    <w:rsid w:val="00820CA3"/>
    <w:rsid w:val="00820D08"/>
    <w:rsid w:val="00820D42"/>
    <w:rsid w:val="00820DAD"/>
    <w:rsid w:val="00820E25"/>
    <w:rsid w:val="00820E51"/>
    <w:rsid w:val="0082112B"/>
    <w:rsid w:val="0082119D"/>
    <w:rsid w:val="0082136B"/>
    <w:rsid w:val="008213AE"/>
    <w:rsid w:val="0082140E"/>
    <w:rsid w:val="0082144A"/>
    <w:rsid w:val="008214CD"/>
    <w:rsid w:val="00821592"/>
    <w:rsid w:val="00821593"/>
    <w:rsid w:val="00821773"/>
    <w:rsid w:val="008217E9"/>
    <w:rsid w:val="008218FD"/>
    <w:rsid w:val="00821962"/>
    <w:rsid w:val="008219A8"/>
    <w:rsid w:val="00821AD0"/>
    <w:rsid w:val="00821B32"/>
    <w:rsid w:val="00821B7B"/>
    <w:rsid w:val="00821BF1"/>
    <w:rsid w:val="00821C78"/>
    <w:rsid w:val="00821F56"/>
    <w:rsid w:val="0082203A"/>
    <w:rsid w:val="008220FF"/>
    <w:rsid w:val="0082210D"/>
    <w:rsid w:val="00822137"/>
    <w:rsid w:val="008223ED"/>
    <w:rsid w:val="00822473"/>
    <w:rsid w:val="0082254F"/>
    <w:rsid w:val="00822722"/>
    <w:rsid w:val="0082274B"/>
    <w:rsid w:val="0082286E"/>
    <w:rsid w:val="00822A35"/>
    <w:rsid w:val="00822A38"/>
    <w:rsid w:val="00822A8E"/>
    <w:rsid w:val="00822BA5"/>
    <w:rsid w:val="00822D8D"/>
    <w:rsid w:val="00822D93"/>
    <w:rsid w:val="00822E40"/>
    <w:rsid w:val="00822F58"/>
    <w:rsid w:val="00822F73"/>
    <w:rsid w:val="00822FC3"/>
    <w:rsid w:val="008230BB"/>
    <w:rsid w:val="008230F5"/>
    <w:rsid w:val="008232A8"/>
    <w:rsid w:val="008232EB"/>
    <w:rsid w:val="0082338E"/>
    <w:rsid w:val="0082343E"/>
    <w:rsid w:val="00823478"/>
    <w:rsid w:val="0082349D"/>
    <w:rsid w:val="008234C1"/>
    <w:rsid w:val="008234F0"/>
    <w:rsid w:val="00823615"/>
    <w:rsid w:val="008236C8"/>
    <w:rsid w:val="008236E1"/>
    <w:rsid w:val="0082373F"/>
    <w:rsid w:val="00823B5C"/>
    <w:rsid w:val="00823BD0"/>
    <w:rsid w:val="00823CBF"/>
    <w:rsid w:val="00823D70"/>
    <w:rsid w:val="00823E06"/>
    <w:rsid w:val="0082402A"/>
    <w:rsid w:val="008240F8"/>
    <w:rsid w:val="008241DA"/>
    <w:rsid w:val="008243E7"/>
    <w:rsid w:val="00824425"/>
    <w:rsid w:val="0082458F"/>
    <w:rsid w:val="0082460D"/>
    <w:rsid w:val="00824647"/>
    <w:rsid w:val="008248E9"/>
    <w:rsid w:val="00824911"/>
    <w:rsid w:val="008249DD"/>
    <w:rsid w:val="00824A6C"/>
    <w:rsid w:val="00824ABC"/>
    <w:rsid w:val="00824BE0"/>
    <w:rsid w:val="00824CAD"/>
    <w:rsid w:val="00824CED"/>
    <w:rsid w:val="008251C2"/>
    <w:rsid w:val="008252C0"/>
    <w:rsid w:val="008252DA"/>
    <w:rsid w:val="008253E6"/>
    <w:rsid w:val="00825432"/>
    <w:rsid w:val="00825497"/>
    <w:rsid w:val="008254DC"/>
    <w:rsid w:val="00825587"/>
    <w:rsid w:val="00825628"/>
    <w:rsid w:val="0082568B"/>
    <w:rsid w:val="008256FF"/>
    <w:rsid w:val="00825777"/>
    <w:rsid w:val="008257DC"/>
    <w:rsid w:val="008257FA"/>
    <w:rsid w:val="008258E9"/>
    <w:rsid w:val="00825A62"/>
    <w:rsid w:val="00825B77"/>
    <w:rsid w:val="00825BFF"/>
    <w:rsid w:val="00825C45"/>
    <w:rsid w:val="00825C76"/>
    <w:rsid w:val="00825DB4"/>
    <w:rsid w:val="00825DB9"/>
    <w:rsid w:val="00825DEB"/>
    <w:rsid w:val="00825E84"/>
    <w:rsid w:val="00825EA8"/>
    <w:rsid w:val="00825EAD"/>
    <w:rsid w:val="00825F23"/>
    <w:rsid w:val="00826092"/>
    <w:rsid w:val="008260EF"/>
    <w:rsid w:val="00826273"/>
    <w:rsid w:val="008262B1"/>
    <w:rsid w:val="008263D7"/>
    <w:rsid w:val="008263FB"/>
    <w:rsid w:val="0082642D"/>
    <w:rsid w:val="0082669E"/>
    <w:rsid w:val="0082681A"/>
    <w:rsid w:val="00826822"/>
    <w:rsid w:val="00826967"/>
    <w:rsid w:val="00826A57"/>
    <w:rsid w:val="00826A86"/>
    <w:rsid w:val="00826AD7"/>
    <w:rsid w:val="00826B0A"/>
    <w:rsid w:val="00826B4B"/>
    <w:rsid w:val="00826FE9"/>
    <w:rsid w:val="008270DB"/>
    <w:rsid w:val="00827119"/>
    <w:rsid w:val="00827185"/>
    <w:rsid w:val="008272DE"/>
    <w:rsid w:val="0082767E"/>
    <w:rsid w:val="008276CC"/>
    <w:rsid w:val="00827783"/>
    <w:rsid w:val="00827875"/>
    <w:rsid w:val="008279FE"/>
    <w:rsid w:val="00827A68"/>
    <w:rsid w:val="00827B20"/>
    <w:rsid w:val="00827BB3"/>
    <w:rsid w:val="00827BCB"/>
    <w:rsid w:val="00827BFE"/>
    <w:rsid w:val="00827D98"/>
    <w:rsid w:val="00827E25"/>
    <w:rsid w:val="00827EF1"/>
    <w:rsid w:val="008300C8"/>
    <w:rsid w:val="0083017B"/>
    <w:rsid w:val="00830373"/>
    <w:rsid w:val="008303CA"/>
    <w:rsid w:val="008303CD"/>
    <w:rsid w:val="00830429"/>
    <w:rsid w:val="008304C5"/>
    <w:rsid w:val="008304C8"/>
    <w:rsid w:val="008305B0"/>
    <w:rsid w:val="008305F9"/>
    <w:rsid w:val="0083065B"/>
    <w:rsid w:val="008306AD"/>
    <w:rsid w:val="008307E0"/>
    <w:rsid w:val="008308F3"/>
    <w:rsid w:val="008309AB"/>
    <w:rsid w:val="008309DC"/>
    <w:rsid w:val="00830B67"/>
    <w:rsid w:val="00830E4C"/>
    <w:rsid w:val="00830F68"/>
    <w:rsid w:val="00830FDE"/>
    <w:rsid w:val="008310CC"/>
    <w:rsid w:val="00831110"/>
    <w:rsid w:val="00831141"/>
    <w:rsid w:val="00831203"/>
    <w:rsid w:val="008312A5"/>
    <w:rsid w:val="008312D5"/>
    <w:rsid w:val="00831344"/>
    <w:rsid w:val="008315D8"/>
    <w:rsid w:val="00831839"/>
    <w:rsid w:val="00831907"/>
    <w:rsid w:val="00831915"/>
    <w:rsid w:val="0083193F"/>
    <w:rsid w:val="008319EE"/>
    <w:rsid w:val="00831AC9"/>
    <w:rsid w:val="00831B68"/>
    <w:rsid w:val="00831B85"/>
    <w:rsid w:val="00831B89"/>
    <w:rsid w:val="00831BA9"/>
    <w:rsid w:val="00831BAE"/>
    <w:rsid w:val="00831BBF"/>
    <w:rsid w:val="00831BF0"/>
    <w:rsid w:val="00831C9F"/>
    <w:rsid w:val="00831CD9"/>
    <w:rsid w:val="00831CE5"/>
    <w:rsid w:val="00831D5D"/>
    <w:rsid w:val="00831E63"/>
    <w:rsid w:val="00831E85"/>
    <w:rsid w:val="00832163"/>
    <w:rsid w:val="00832255"/>
    <w:rsid w:val="008322AB"/>
    <w:rsid w:val="0083246A"/>
    <w:rsid w:val="00832521"/>
    <w:rsid w:val="00832761"/>
    <w:rsid w:val="008327C5"/>
    <w:rsid w:val="00832843"/>
    <w:rsid w:val="0083288B"/>
    <w:rsid w:val="00832A00"/>
    <w:rsid w:val="00832B5E"/>
    <w:rsid w:val="00832B86"/>
    <w:rsid w:val="00832B8D"/>
    <w:rsid w:val="00832C6C"/>
    <w:rsid w:val="00832C9C"/>
    <w:rsid w:val="00832CC2"/>
    <w:rsid w:val="00832CD3"/>
    <w:rsid w:val="00832CEF"/>
    <w:rsid w:val="00832DBE"/>
    <w:rsid w:val="00832EB9"/>
    <w:rsid w:val="00832F55"/>
    <w:rsid w:val="00832FC5"/>
    <w:rsid w:val="00832FE4"/>
    <w:rsid w:val="00833254"/>
    <w:rsid w:val="00833322"/>
    <w:rsid w:val="00833332"/>
    <w:rsid w:val="0083371E"/>
    <w:rsid w:val="0083376C"/>
    <w:rsid w:val="008338CF"/>
    <w:rsid w:val="008339CA"/>
    <w:rsid w:val="008339CB"/>
    <w:rsid w:val="00833BEF"/>
    <w:rsid w:val="00833CBF"/>
    <w:rsid w:val="00833D8D"/>
    <w:rsid w:val="00833D98"/>
    <w:rsid w:val="00833DE0"/>
    <w:rsid w:val="00833F2B"/>
    <w:rsid w:val="00833F36"/>
    <w:rsid w:val="00833FBA"/>
    <w:rsid w:val="00834007"/>
    <w:rsid w:val="00834030"/>
    <w:rsid w:val="008341F5"/>
    <w:rsid w:val="00834261"/>
    <w:rsid w:val="00834452"/>
    <w:rsid w:val="008345C0"/>
    <w:rsid w:val="008345C5"/>
    <w:rsid w:val="0083460C"/>
    <w:rsid w:val="00834694"/>
    <w:rsid w:val="00834714"/>
    <w:rsid w:val="00834731"/>
    <w:rsid w:val="0083474E"/>
    <w:rsid w:val="008347DF"/>
    <w:rsid w:val="008347FC"/>
    <w:rsid w:val="0083490F"/>
    <w:rsid w:val="00834936"/>
    <w:rsid w:val="00834981"/>
    <w:rsid w:val="00834982"/>
    <w:rsid w:val="00834CA8"/>
    <w:rsid w:val="00834CB0"/>
    <w:rsid w:val="00834CE0"/>
    <w:rsid w:val="00834CE3"/>
    <w:rsid w:val="00834DFC"/>
    <w:rsid w:val="00835010"/>
    <w:rsid w:val="008354C8"/>
    <w:rsid w:val="008355C3"/>
    <w:rsid w:val="00835611"/>
    <w:rsid w:val="00835626"/>
    <w:rsid w:val="00835746"/>
    <w:rsid w:val="00835793"/>
    <w:rsid w:val="0083579D"/>
    <w:rsid w:val="008357CE"/>
    <w:rsid w:val="008357F7"/>
    <w:rsid w:val="00835880"/>
    <w:rsid w:val="00835A0F"/>
    <w:rsid w:val="00835A69"/>
    <w:rsid w:val="00835B80"/>
    <w:rsid w:val="00835D27"/>
    <w:rsid w:val="00835D44"/>
    <w:rsid w:val="00835D4B"/>
    <w:rsid w:val="00835F43"/>
    <w:rsid w:val="008360A6"/>
    <w:rsid w:val="008360AE"/>
    <w:rsid w:val="008360BE"/>
    <w:rsid w:val="008362CB"/>
    <w:rsid w:val="00836300"/>
    <w:rsid w:val="00836344"/>
    <w:rsid w:val="00836347"/>
    <w:rsid w:val="0083642D"/>
    <w:rsid w:val="008364BF"/>
    <w:rsid w:val="00836524"/>
    <w:rsid w:val="00836574"/>
    <w:rsid w:val="0083660C"/>
    <w:rsid w:val="008366E3"/>
    <w:rsid w:val="008367CA"/>
    <w:rsid w:val="008368C2"/>
    <w:rsid w:val="008369E2"/>
    <w:rsid w:val="00836B89"/>
    <w:rsid w:val="00836CD6"/>
    <w:rsid w:val="00836EB2"/>
    <w:rsid w:val="00836EB5"/>
    <w:rsid w:val="00836ED8"/>
    <w:rsid w:val="00837028"/>
    <w:rsid w:val="0083705C"/>
    <w:rsid w:val="0083713E"/>
    <w:rsid w:val="008371C2"/>
    <w:rsid w:val="008372B4"/>
    <w:rsid w:val="0083731C"/>
    <w:rsid w:val="00837320"/>
    <w:rsid w:val="008374A7"/>
    <w:rsid w:val="008374AE"/>
    <w:rsid w:val="00837747"/>
    <w:rsid w:val="008378BC"/>
    <w:rsid w:val="00837A36"/>
    <w:rsid w:val="00837A47"/>
    <w:rsid w:val="00837A6E"/>
    <w:rsid w:val="00837A79"/>
    <w:rsid w:val="00837C75"/>
    <w:rsid w:val="00837D44"/>
    <w:rsid w:val="00837D57"/>
    <w:rsid w:val="00837FA3"/>
    <w:rsid w:val="008400B4"/>
    <w:rsid w:val="00840188"/>
    <w:rsid w:val="008401F6"/>
    <w:rsid w:val="00840215"/>
    <w:rsid w:val="0084023B"/>
    <w:rsid w:val="00840261"/>
    <w:rsid w:val="008402FC"/>
    <w:rsid w:val="00840486"/>
    <w:rsid w:val="008404B2"/>
    <w:rsid w:val="00840665"/>
    <w:rsid w:val="008406CC"/>
    <w:rsid w:val="008407CF"/>
    <w:rsid w:val="008408BC"/>
    <w:rsid w:val="008408BD"/>
    <w:rsid w:val="008408C8"/>
    <w:rsid w:val="0084097F"/>
    <w:rsid w:val="00840ACB"/>
    <w:rsid w:val="00840DA8"/>
    <w:rsid w:val="00840DFA"/>
    <w:rsid w:val="00840E09"/>
    <w:rsid w:val="00840F0E"/>
    <w:rsid w:val="00841051"/>
    <w:rsid w:val="0084115E"/>
    <w:rsid w:val="0084118A"/>
    <w:rsid w:val="008411C1"/>
    <w:rsid w:val="00841260"/>
    <w:rsid w:val="00841292"/>
    <w:rsid w:val="00841412"/>
    <w:rsid w:val="0084145A"/>
    <w:rsid w:val="0084151B"/>
    <w:rsid w:val="008415DC"/>
    <w:rsid w:val="008415F5"/>
    <w:rsid w:val="0084194A"/>
    <w:rsid w:val="00841AAD"/>
    <w:rsid w:val="00841B0C"/>
    <w:rsid w:val="00841B10"/>
    <w:rsid w:val="00841BD5"/>
    <w:rsid w:val="00841C31"/>
    <w:rsid w:val="00841D39"/>
    <w:rsid w:val="00841D5C"/>
    <w:rsid w:val="00841DA9"/>
    <w:rsid w:val="00841E29"/>
    <w:rsid w:val="00841EC5"/>
    <w:rsid w:val="00841EEE"/>
    <w:rsid w:val="00841F1A"/>
    <w:rsid w:val="00841F22"/>
    <w:rsid w:val="00841F86"/>
    <w:rsid w:val="00841FDA"/>
    <w:rsid w:val="0084207E"/>
    <w:rsid w:val="00842144"/>
    <w:rsid w:val="00842229"/>
    <w:rsid w:val="0084224F"/>
    <w:rsid w:val="00842290"/>
    <w:rsid w:val="00842383"/>
    <w:rsid w:val="00842455"/>
    <w:rsid w:val="00842574"/>
    <w:rsid w:val="008425F6"/>
    <w:rsid w:val="00842626"/>
    <w:rsid w:val="00842666"/>
    <w:rsid w:val="00842674"/>
    <w:rsid w:val="008426DE"/>
    <w:rsid w:val="008426F3"/>
    <w:rsid w:val="008428FC"/>
    <w:rsid w:val="00842A09"/>
    <w:rsid w:val="00842A56"/>
    <w:rsid w:val="00842AE9"/>
    <w:rsid w:val="00842AFC"/>
    <w:rsid w:val="00842EF6"/>
    <w:rsid w:val="00842F3E"/>
    <w:rsid w:val="00842F5F"/>
    <w:rsid w:val="00842F64"/>
    <w:rsid w:val="00842F76"/>
    <w:rsid w:val="00843111"/>
    <w:rsid w:val="00843234"/>
    <w:rsid w:val="00843303"/>
    <w:rsid w:val="00843392"/>
    <w:rsid w:val="00843420"/>
    <w:rsid w:val="0084359A"/>
    <w:rsid w:val="00843655"/>
    <w:rsid w:val="00843692"/>
    <w:rsid w:val="00843732"/>
    <w:rsid w:val="00843787"/>
    <w:rsid w:val="008438CB"/>
    <w:rsid w:val="0084394B"/>
    <w:rsid w:val="00843A3D"/>
    <w:rsid w:val="00843A52"/>
    <w:rsid w:val="00843A62"/>
    <w:rsid w:val="00843A76"/>
    <w:rsid w:val="00843A7E"/>
    <w:rsid w:val="00843B61"/>
    <w:rsid w:val="00843BDB"/>
    <w:rsid w:val="00843CEE"/>
    <w:rsid w:val="00843CF8"/>
    <w:rsid w:val="00843E9B"/>
    <w:rsid w:val="00843F43"/>
    <w:rsid w:val="008440C3"/>
    <w:rsid w:val="008440CB"/>
    <w:rsid w:val="00844105"/>
    <w:rsid w:val="00844131"/>
    <w:rsid w:val="00844241"/>
    <w:rsid w:val="008442B5"/>
    <w:rsid w:val="00844368"/>
    <w:rsid w:val="008443F6"/>
    <w:rsid w:val="0084447D"/>
    <w:rsid w:val="008444F7"/>
    <w:rsid w:val="008445A2"/>
    <w:rsid w:val="008445D6"/>
    <w:rsid w:val="008446A3"/>
    <w:rsid w:val="008446FE"/>
    <w:rsid w:val="00844707"/>
    <w:rsid w:val="00844767"/>
    <w:rsid w:val="00844774"/>
    <w:rsid w:val="008447AD"/>
    <w:rsid w:val="008447FD"/>
    <w:rsid w:val="008448F0"/>
    <w:rsid w:val="00844A11"/>
    <w:rsid w:val="00844A3A"/>
    <w:rsid w:val="00844AB7"/>
    <w:rsid w:val="00844AD6"/>
    <w:rsid w:val="00844CAD"/>
    <w:rsid w:val="00844DB2"/>
    <w:rsid w:val="00844E55"/>
    <w:rsid w:val="00844F27"/>
    <w:rsid w:val="00844FD4"/>
    <w:rsid w:val="00844FD8"/>
    <w:rsid w:val="00844FF8"/>
    <w:rsid w:val="0084504C"/>
    <w:rsid w:val="00845087"/>
    <w:rsid w:val="008450A2"/>
    <w:rsid w:val="00845210"/>
    <w:rsid w:val="0084521F"/>
    <w:rsid w:val="00845248"/>
    <w:rsid w:val="00845257"/>
    <w:rsid w:val="00845318"/>
    <w:rsid w:val="00845355"/>
    <w:rsid w:val="0084540D"/>
    <w:rsid w:val="0084552F"/>
    <w:rsid w:val="00845697"/>
    <w:rsid w:val="0084586E"/>
    <w:rsid w:val="008458D0"/>
    <w:rsid w:val="00845997"/>
    <w:rsid w:val="008459AC"/>
    <w:rsid w:val="00845A4C"/>
    <w:rsid w:val="00845AAB"/>
    <w:rsid w:val="00845AEC"/>
    <w:rsid w:val="00845E8C"/>
    <w:rsid w:val="00845F30"/>
    <w:rsid w:val="00845FDD"/>
    <w:rsid w:val="0084626A"/>
    <w:rsid w:val="0084627F"/>
    <w:rsid w:val="008462B7"/>
    <w:rsid w:val="0084645B"/>
    <w:rsid w:val="008465BF"/>
    <w:rsid w:val="00846677"/>
    <w:rsid w:val="008466B0"/>
    <w:rsid w:val="008466ED"/>
    <w:rsid w:val="0084697C"/>
    <w:rsid w:val="00846B17"/>
    <w:rsid w:val="00846B98"/>
    <w:rsid w:val="00846B99"/>
    <w:rsid w:val="00846BB7"/>
    <w:rsid w:val="00846C7F"/>
    <w:rsid w:val="00846C9D"/>
    <w:rsid w:val="00846CB3"/>
    <w:rsid w:val="00846CD5"/>
    <w:rsid w:val="00846D51"/>
    <w:rsid w:val="00846EB0"/>
    <w:rsid w:val="00847068"/>
    <w:rsid w:val="008470ED"/>
    <w:rsid w:val="00847210"/>
    <w:rsid w:val="00847279"/>
    <w:rsid w:val="008472AC"/>
    <w:rsid w:val="00847406"/>
    <w:rsid w:val="008475FC"/>
    <w:rsid w:val="0084762C"/>
    <w:rsid w:val="00847713"/>
    <w:rsid w:val="00847910"/>
    <w:rsid w:val="00847933"/>
    <w:rsid w:val="0084797E"/>
    <w:rsid w:val="00847B0C"/>
    <w:rsid w:val="00847C44"/>
    <w:rsid w:val="00847D44"/>
    <w:rsid w:val="00847D5A"/>
    <w:rsid w:val="00847E0F"/>
    <w:rsid w:val="00847E8E"/>
    <w:rsid w:val="00847FF7"/>
    <w:rsid w:val="00850231"/>
    <w:rsid w:val="008502F7"/>
    <w:rsid w:val="008504FD"/>
    <w:rsid w:val="0085052F"/>
    <w:rsid w:val="00850555"/>
    <w:rsid w:val="0085055A"/>
    <w:rsid w:val="008505A0"/>
    <w:rsid w:val="00850649"/>
    <w:rsid w:val="0085066A"/>
    <w:rsid w:val="0085068E"/>
    <w:rsid w:val="008506B6"/>
    <w:rsid w:val="008507C4"/>
    <w:rsid w:val="00850866"/>
    <w:rsid w:val="008508F1"/>
    <w:rsid w:val="008509AF"/>
    <w:rsid w:val="008509DE"/>
    <w:rsid w:val="00850A34"/>
    <w:rsid w:val="00850AE9"/>
    <w:rsid w:val="00850D78"/>
    <w:rsid w:val="00850DF4"/>
    <w:rsid w:val="00850E24"/>
    <w:rsid w:val="00850F3E"/>
    <w:rsid w:val="00850F68"/>
    <w:rsid w:val="00850FE6"/>
    <w:rsid w:val="008510D8"/>
    <w:rsid w:val="00851103"/>
    <w:rsid w:val="00851244"/>
    <w:rsid w:val="00851419"/>
    <w:rsid w:val="00851428"/>
    <w:rsid w:val="00851617"/>
    <w:rsid w:val="0085168F"/>
    <w:rsid w:val="00851695"/>
    <w:rsid w:val="00851837"/>
    <w:rsid w:val="008518DE"/>
    <w:rsid w:val="0085190D"/>
    <w:rsid w:val="0085196D"/>
    <w:rsid w:val="00851C63"/>
    <w:rsid w:val="00851CA3"/>
    <w:rsid w:val="00851CE4"/>
    <w:rsid w:val="00851D6B"/>
    <w:rsid w:val="00851DFA"/>
    <w:rsid w:val="00851EE4"/>
    <w:rsid w:val="00851FEC"/>
    <w:rsid w:val="00852000"/>
    <w:rsid w:val="008520AA"/>
    <w:rsid w:val="00852235"/>
    <w:rsid w:val="00852247"/>
    <w:rsid w:val="0085224A"/>
    <w:rsid w:val="008522CE"/>
    <w:rsid w:val="00852340"/>
    <w:rsid w:val="008523AB"/>
    <w:rsid w:val="00852467"/>
    <w:rsid w:val="008524EC"/>
    <w:rsid w:val="00852637"/>
    <w:rsid w:val="0085263A"/>
    <w:rsid w:val="00852641"/>
    <w:rsid w:val="00852697"/>
    <w:rsid w:val="008526EB"/>
    <w:rsid w:val="00852824"/>
    <w:rsid w:val="008528AD"/>
    <w:rsid w:val="00852925"/>
    <w:rsid w:val="0085298B"/>
    <w:rsid w:val="00852AC3"/>
    <w:rsid w:val="00852B61"/>
    <w:rsid w:val="00852B7A"/>
    <w:rsid w:val="00852C7B"/>
    <w:rsid w:val="00852D1B"/>
    <w:rsid w:val="00852E49"/>
    <w:rsid w:val="00852E54"/>
    <w:rsid w:val="00853044"/>
    <w:rsid w:val="008531ED"/>
    <w:rsid w:val="008534B1"/>
    <w:rsid w:val="008535CC"/>
    <w:rsid w:val="00853605"/>
    <w:rsid w:val="00853632"/>
    <w:rsid w:val="0085367A"/>
    <w:rsid w:val="0085372A"/>
    <w:rsid w:val="008537CD"/>
    <w:rsid w:val="008538D8"/>
    <w:rsid w:val="00853934"/>
    <w:rsid w:val="00853A00"/>
    <w:rsid w:val="00853BD3"/>
    <w:rsid w:val="00853C7C"/>
    <w:rsid w:val="00853D02"/>
    <w:rsid w:val="00853DB5"/>
    <w:rsid w:val="008540F6"/>
    <w:rsid w:val="00854115"/>
    <w:rsid w:val="0085419C"/>
    <w:rsid w:val="0085432E"/>
    <w:rsid w:val="00854416"/>
    <w:rsid w:val="008547BA"/>
    <w:rsid w:val="008547E4"/>
    <w:rsid w:val="008547FE"/>
    <w:rsid w:val="0085487C"/>
    <w:rsid w:val="008548B8"/>
    <w:rsid w:val="008548E6"/>
    <w:rsid w:val="00854ABA"/>
    <w:rsid w:val="00854C9C"/>
    <w:rsid w:val="00854D1D"/>
    <w:rsid w:val="00854D32"/>
    <w:rsid w:val="00854D70"/>
    <w:rsid w:val="00854D90"/>
    <w:rsid w:val="00854E7C"/>
    <w:rsid w:val="00854E9E"/>
    <w:rsid w:val="00854ECB"/>
    <w:rsid w:val="00854ED6"/>
    <w:rsid w:val="00854F4D"/>
    <w:rsid w:val="00854F85"/>
    <w:rsid w:val="00854FAF"/>
    <w:rsid w:val="00855069"/>
    <w:rsid w:val="00855072"/>
    <w:rsid w:val="00855087"/>
    <w:rsid w:val="00855292"/>
    <w:rsid w:val="008552B7"/>
    <w:rsid w:val="00855317"/>
    <w:rsid w:val="00855353"/>
    <w:rsid w:val="0085548C"/>
    <w:rsid w:val="008554A7"/>
    <w:rsid w:val="0085558E"/>
    <w:rsid w:val="00855608"/>
    <w:rsid w:val="0085563A"/>
    <w:rsid w:val="0085570D"/>
    <w:rsid w:val="0085577A"/>
    <w:rsid w:val="008557CE"/>
    <w:rsid w:val="00855A70"/>
    <w:rsid w:val="00855A8F"/>
    <w:rsid w:val="00855AD9"/>
    <w:rsid w:val="00855C08"/>
    <w:rsid w:val="00855D89"/>
    <w:rsid w:val="00855DF0"/>
    <w:rsid w:val="00855E07"/>
    <w:rsid w:val="0085602C"/>
    <w:rsid w:val="008560A2"/>
    <w:rsid w:val="008561FD"/>
    <w:rsid w:val="008563EE"/>
    <w:rsid w:val="0085650C"/>
    <w:rsid w:val="00856608"/>
    <w:rsid w:val="00856655"/>
    <w:rsid w:val="008566EA"/>
    <w:rsid w:val="00856707"/>
    <w:rsid w:val="00856763"/>
    <w:rsid w:val="008567CB"/>
    <w:rsid w:val="0085692D"/>
    <w:rsid w:val="00856A8E"/>
    <w:rsid w:val="00856A9C"/>
    <w:rsid w:val="00856BE4"/>
    <w:rsid w:val="00856C25"/>
    <w:rsid w:val="00856C56"/>
    <w:rsid w:val="00856C8F"/>
    <w:rsid w:val="00856DAF"/>
    <w:rsid w:val="00856DBC"/>
    <w:rsid w:val="00856DC4"/>
    <w:rsid w:val="00856EF3"/>
    <w:rsid w:val="00856F0C"/>
    <w:rsid w:val="00856FB9"/>
    <w:rsid w:val="0085715A"/>
    <w:rsid w:val="00857168"/>
    <w:rsid w:val="0085724C"/>
    <w:rsid w:val="00857265"/>
    <w:rsid w:val="008573D7"/>
    <w:rsid w:val="008573FB"/>
    <w:rsid w:val="00857433"/>
    <w:rsid w:val="00857846"/>
    <w:rsid w:val="0085787C"/>
    <w:rsid w:val="008578D6"/>
    <w:rsid w:val="008579C8"/>
    <w:rsid w:val="00857A29"/>
    <w:rsid w:val="00857A41"/>
    <w:rsid w:val="00857A56"/>
    <w:rsid w:val="00857BE1"/>
    <w:rsid w:val="00857C3F"/>
    <w:rsid w:val="00857C4F"/>
    <w:rsid w:val="00857D6B"/>
    <w:rsid w:val="00857DF6"/>
    <w:rsid w:val="00857E13"/>
    <w:rsid w:val="00857ED5"/>
    <w:rsid w:val="00857EFE"/>
    <w:rsid w:val="00857FA3"/>
    <w:rsid w:val="00857FD5"/>
    <w:rsid w:val="0085C7BA"/>
    <w:rsid w:val="0086010D"/>
    <w:rsid w:val="008601E9"/>
    <w:rsid w:val="008603CD"/>
    <w:rsid w:val="0086040A"/>
    <w:rsid w:val="0086042F"/>
    <w:rsid w:val="00860480"/>
    <w:rsid w:val="0086048D"/>
    <w:rsid w:val="008604C1"/>
    <w:rsid w:val="008604C7"/>
    <w:rsid w:val="0086052C"/>
    <w:rsid w:val="00860560"/>
    <w:rsid w:val="00860774"/>
    <w:rsid w:val="00860791"/>
    <w:rsid w:val="008609DD"/>
    <w:rsid w:val="00860A05"/>
    <w:rsid w:val="00860A30"/>
    <w:rsid w:val="00860ABB"/>
    <w:rsid w:val="00860B79"/>
    <w:rsid w:val="00860CC2"/>
    <w:rsid w:val="00860DD6"/>
    <w:rsid w:val="00860E02"/>
    <w:rsid w:val="00860EFD"/>
    <w:rsid w:val="00860F61"/>
    <w:rsid w:val="00860FC4"/>
    <w:rsid w:val="00860FD1"/>
    <w:rsid w:val="00860FDF"/>
    <w:rsid w:val="008612A2"/>
    <w:rsid w:val="008612CA"/>
    <w:rsid w:val="008613E0"/>
    <w:rsid w:val="00861462"/>
    <w:rsid w:val="008615E2"/>
    <w:rsid w:val="008616DF"/>
    <w:rsid w:val="00861810"/>
    <w:rsid w:val="00861881"/>
    <w:rsid w:val="0086192A"/>
    <w:rsid w:val="00861A29"/>
    <w:rsid w:val="00861A71"/>
    <w:rsid w:val="00861B35"/>
    <w:rsid w:val="00861B99"/>
    <w:rsid w:val="00861BD9"/>
    <w:rsid w:val="00861C17"/>
    <w:rsid w:val="00861D80"/>
    <w:rsid w:val="00861D8E"/>
    <w:rsid w:val="00861D94"/>
    <w:rsid w:val="00861E06"/>
    <w:rsid w:val="00861E59"/>
    <w:rsid w:val="00861F19"/>
    <w:rsid w:val="0086200F"/>
    <w:rsid w:val="00862058"/>
    <w:rsid w:val="008620CA"/>
    <w:rsid w:val="008620D2"/>
    <w:rsid w:val="00862127"/>
    <w:rsid w:val="008621AA"/>
    <w:rsid w:val="008621CB"/>
    <w:rsid w:val="0086224F"/>
    <w:rsid w:val="00862387"/>
    <w:rsid w:val="00862394"/>
    <w:rsid w:val="008624CD"/>
    <w:rsid w:val="00862812"/>
    <w:rsid w:val="00862834"/>
    <w:rsid w:val="00862854"/>
    <w:rsid w:val="00862900"/>
    <w:rsid w:val="00862940"/>
    <w:rsid w:val="008629AA"/>
    <w:rsid w:val="00862B57"/>
    <w:rsid w:val="00862C22"/>
    <w:rsid w:val="00862C58"/>
    <w:rsid w:val="00862DB1"/>
    <w:rsid w:val="00862E92"/>
    <w:rsid w:val="0086300F"/>
    <w:rsid w:val="008630BA"/>
    <w:rsid w:val="00863138"/>
    <w:rsid w:val="008632B1"/>
    <w:rsid w:val="0086331C"/>
    <w:rsid w:val="008633BB"/>
    <w:rsid w:val="0086357E"/>
    <w:rsid w:val="00863694"/>
    <w:rsid w:val="00863752"/>
    <w:rsid w:val="0086375D"/>
    <w:rsid w:val="008637DA"/>
    <w:rsid w:val="008639A8"/>
    <w:rsid w:val="00863A9D"/>
    <w:rsid w:val="00863AEB"/>
    <w:rsid w:val="00863B52"/>
    <w:rsid w:val="00863B8B"/>
    <w:rsid w:val="00863C64"/>
    <w:rsid w:val="00863CAA"/>
    <w:rsid w:val="00863D5E"/>
    <w:rsid w:val="00863DE7"/>
    <w:rsid w:val="00863E49"/>
    <w:rsid w:val="00863E90"/>
    <w:rsid w:val="00863EE0"/>
    <w:rsid w:val="00863F36"/>
    <w:rsid w:val="00863F56"/>
    <w:rsid w:val="00863F5E"/>
    <w:rsid w:val="00863FF3"/>
    <w:rsid w:val="00863FF9"/>
    <w:rsid w:val="008642F6"/>
    <w:rsid w:val="008643C8"/>
    <w:rsid w:val="0086457D"/>
    <w:rsid w:val="008646F7"/>
    <w:rsid w:val="0086471F"/>
    <w:rsid w:val="00864740"/>
    <w:rsid w:val="008647ED"/>
    <w:rsid w:val="00864A49"/>
    <w:rsid w:val="00864D53"/>
    <w:rsid w:val="00864E0C"/>
    <w:rsid w:val="00864F7A"/>
    <w:rsid w:val="00864F9B"/>
    <w:rsid w:val="0086500D"/>
    <w:rsid w:val="00865104"/>
    <w:rsid w:val="00865436"/>
    <w:rsid w:val="0086554A"/>
    <w:rsid w:val="00865605"/>
    <w:rsid w:val="008656D6"/>
    <w:rsid w:val="008656FB"/>
    <w:rsid w:val="008657B2"/>
    <w:rsid w:val="008657C7"/>
    <w:rsid w:val="00865B35"/>
    <w:rsid w:val="00865CC1"/>
    <w:rsid w:val="00865D3C"/>
    <w:rsid w:val="00865D9E"/>
    <w:rsid w:val="00865EC9"/>
    <w:rsid w:val="00865FFF"/>
    <w:rsid w:val="00866031"/>
    <w:rsid w:val="00866149"/>
    <w:rsid w:val="0086626F"/>
    <w:rsid w:val="0086632A"/>
    <w:rsid w:val="008663A5"/>
    <w:rsid w:val="0086647E"/>
    <w:rsid w:val="0086664A"/>
    <w:rsid w:val="00866677"/>
    <w:rsid w:val="00866748"/>
    <w:rsid w:val="00866820"/>
    <w:rsid w:val="00866974"/>
    <w:rsid w:val="00866A4A"/>
    <w:rsid w:val="00866A83"/>
    <w:rsid w:val="00866AA6"/>
    <w:rsid w:val="00866AAC"/>
    <w:rsid w:val="00866ADB"/>
    <w:rsid w:val="00866B79"/>
    <w:rsid w:val="00866BF5"/>
    <w:rsid w:val="00866C2E"/>
    <w:rsid w:val="00866E7A"/>
    <w:rsid w:val="00866EFA"/>
    <w:rsid w:val="0086702B"/>
    <w:rsid w:val="008671A7"/>
    <w:rsid w:val="008671DA"/>
    <w:rsid w:val="00867205"/>
    <w:rsid w:val="0086721E"/>
    <w:rsid w:val="0086729D"/>
    <w:rsid w:val="008672EE"/>
    <w:rsid w:val="008673E8"/>
    <w:rsid w:val="008674CD"/>
    <w:rsid w:val="008674EF"/>
    <w:rsid w:val="0086755A"/>
    <w:rsid w:val="0086775B"/>
    <w:rsid w:val="0086776D"/>
    <w:rsid w:val="008677A8"/>
    <w:rsid w:val="00867888"/>
    <w:rsid w:val="0086789D"/>
    <w:rsid w:val="008678D2"/>
    <w:rsid w:val="008678E8"/>
    <w:rsid w:val="00867982"/>
    <w:rsid w:val="00867A99"/>
    <w:rsid w:val="00867AF3"/>
    <w:rsid w:val="00867BAA"/>
    <w:rsid w:val="00867C15"/>
    <w:rsid w:val="00867C6C"/>
    <w:rsid w:val="00867EC0"/>
    <w:rsid w:val="008700B4"/>
    <w:rsid w:val="0087024E"/>
    <w:rsid w:val="008702AF"/>
    <w:rsid w:val="00870344"/>
    <w:rsid w:val="00870370"/>
    <w:rsid w:val="008706C9"/>
    <w:rsid w:val="00870782"/>
    <w:rsid w:val="00870874"/>
    <w:rsid w:val="00870B09"/>
    <w:rsid w:val="00870B17"/>
    <w:rsid w:val="00870BE8"/>
    <w:rsid w:val="00870C13"/>
    <w:rsid w:val="00870C6B"/>
    <w:rsid w:val="00870CB4"/>
    <w:rsid w:val="00870CB9"/>
    <w:rsid w:val="00870D3F"/>
    <w:rsid w:val="00870E21"/>
    <w:rsid w:val="00870E26"/>
    <w:rsid w:val="00870ED6"/>
    <w:rsid w:val="0087100F"/>
    <w:rsid w:val="00871065"/>
    <w:rsid w:val="008710D1"/>
    <w:rsid w:val="008710EC"/>
    <w:rsid w:val="0087111B"/>
    <w:rsid w:val="00871285"/>
    <w:rsid w:val="00871296"/>
    <w:rsid w:val="008712B4"/>
    <w:rsid w:val="00871352"/>
    <w:rsid w:val="00871406"/>
    <w:rsid w:val="00871587"/>
    <w:rsid w:val="00871666"/>
    <w:rsid w:val="008716D6"/>
    <w:rsid w:val="008717FC"/>
    <w:rsid w:val="0087181B"/>
    <w:rsid w:val="008718A0"/>
    <w:rsid w:val="008719BE"/>
    <w:rsid w:val="008719D1"/>
    <w:rsid w:val="00871A3E"/>
    <w:rsid w:val="00871A88"/>
    <w:rsid w:val="00871B67"/>
    <w:rsid w:val="00871BDA"/>
    <w:rsid w:val="00871BDC"/>
    <w:rsid w:val="00871C01"/>
    <w:rsid w:val="00871CDF"/>
    <w:rsid w:val="00871D8D"/>
    <w:rsid w:val="00871EA2"/>
    <w:rsid w:val="00871EEB"/>
    <w:rsid w:val="00871F00"/>
    <w:rsid w:val="00871F51"/>
    <w:rsid w:val="00871FE9"/>
    <w:rsid w:val="00872050"/>
    <w:rsid w:val="0087209D"/>
    <w:rsid w:val="0087212B"/>
    <w:rsid w:val="0087213C"/>
    <w:rsid w:val="0087225E"/>
    <w:rsid w:val="00872356"/>
    <w:rsid w:val="0087235C"/>
    <w:rsid w:val="008724CF"/>
    <w:rsid w:val="008725A3"/>
    <w:rsid w:val="00872622"/>
    <w:rsid w:val="00872633"/>
    <w:rsid w:val="00872639"/>
    <w:rsid w:val="008726A1"/>
    <w:rsid w:val="008726B8"/>
    <w:rsid w:val="008726D9"/>
    <w:rsid w:val="008727DE"/>
    <w:rsid w:val="00872827"/>
    <w:rsid w:val="0087283C"/>
    <w:rsid w:val="008728C3"/>
    <w:rsid w:val="00872988"/>
    <w:rsid w:val="00872A79"/>
    <w:rsid w:val="00872AE7"/>
    <w:rsid w:val="00872B46"/>
    <w:rsid w:val="00872B75"/>
    <w:rsid w:val="00872C27"/>
    <w:rsid w:val="00872C42"/>
    <w:rsid w:val="00872CEB"/>
    <w:rsid w:val="0087309B"/>
    <w:rsid w:val="008731CA"/>
    <w:rsid w:val="008732CA"/>
    <w:rsid w:val="00873321"/>
    <w:rsid w:val="008734AF"/>
    <w:rsid w:val="008734EB"/>
    <w:rsid w:val="008736B0"/>
    <w:rsid w:val="0087374C"/>
    <w:rsid w:val="00873798"/>
    <w:rsid w:val="0087384C"/>
    <w:rsid w:val="0087394C"/>
    <w:rsid w:val="00873AFE"/>
    <w:rsid w:val="00873B09"/>
    <w:rsid w:val="00873B0E"/>
    <w:rsid w:val="00873B6B"/>
    <w:rsid w:val="00873B9B"/>
    <w:rsid w:val="00873BD8"/>
    <w:rsid w:val="00873C50"/>
    <w:rsid w:val="00873C92"/>
    <w:rsid w:val="00873C9A"/>
    <w:rsid w:val="00873CB2"/>
    <w:rsid w:val="00873D29"/>
    <w:rsid w:val="00873D50"/>
    <w:rsid w:val="00873DE1"/>
    <w:rsid w:val="00873E16"/>
    <w:rsid w:val="00873E94"/>
    <w:rsid w:val="00873FFB"/>
    <w:rsid w:val="008740EC"/>
    <w:rsid w:val="008740F5"/>
    <w:rsid w:val="00874154"/>
    <w:rsid w:val="0087428C"/>
    <w:rsid w:val="00874354"/>
    <w:rsid w:val="008743D4"/>
    <w:rsid w:val="008744BD"/>
    <w:rsid w:val="008746A4"/>
    <w:rsid w:val="00874710"/>
    <w:rsid w:val="008747B2"/>
    <w:rsid w:val="0087480B"/>
    <w:rsid w:val="0087496D"/>
    <w:rsid w:val="00874D14"/>
    <w:rsid w:val="00874D22"/>
    <w:rsid w:val="00874E62"/>
    <w:rsid w:val="00874EB7"/>
    <w:rsid w:val="0087501E"/>
    <w:rsid w:val="0087504F"/>
    <w:rsid w:val="008750B1"/>
    <w:rsid w:val="00875192"/>
    <w:rsid w:val="008752A0"/>
    <w:rsid w:val="00875356"/>
    <w:rsid w:val="00875412"/>
    <w:rsid w:val="00875462"/>
    <w:rsid w:val="008754CF"/>
    <w:rsid w:val="008755B4"/>
    <w:rsid w:val="0087567B"/>
    <w:rsid w:val="0087571D"/>
    <w:rsid w:val="00875817"/>
    <w:rsid w:val="00875840"/>
    <w:rsid w:val="00875AF5"/>
    <w:rsid w:val="00875B07"/>
    <w:rsid w:val="00875CCB"/>
    <w:rsid w:val="00875DCB"/>
    <w:rsid w:val="00875ECC"/>
    <w:rsid w:val="00875ECD"/>
    <w:rsid w:val="00875F24"/>
    <w:rsid w:val="00875F4B"/>
    <w:rsid w:val="00875FF2"/>
    <w:rsid w:val="00876064"/>
    <w:rsid w:val="008760EB"/>
    <w:rsid w:val="008761B7"/>
    <w:rsid w:val="0087626C"/>
    <w:rsid w:val="0087632C"/>
    <w:rsid w:val="0087642C"/>
    <w:rsid w:val="0087659C"/>
    <w:rsid w:val="008765EF"/>
    <w:rsid w:val="0087669D"/>
    <w:rsid w:val="008766E4"/>
    <w:rsid w:val="008767B5"/>
    <w:rsid w:val="008768C9"/>
    <w:rsid w:val="00876A65"/>
    <w:rsid w:val="00876B6E"/>
    <w:rsid w:val="00876BB6"/>
    <w:rsid w:val="00876D5A"/>
    <w:rsid w:val="00876E6F"/>
    <w:rsid w:val="00877224"/>
    <w:rsid w:val="00877391"/>
    <w:rsid w:val="00877394"/>
    <w:rsid w:val="00877505"/>
    <w:rsid w:val="00877551"/>
    <w:rsid w:val="008775B4"/>
    <w:rsid w:val="008775C3"/>
    <w:rsid w:val="008776F2"/>
    <w:rsid w:val="008776F8"/>
    <w:rsid w:val="0087772A"/>
    <w:rsid w:val="00877919"/>
    <w:rsid w:val="008779CB"/>
    <w:rsid w:val="008779F6"/>
    <w:rsid w:val="00877ABD"/>
    <w:rsid w:val="00877B3E"/>
    <w:rsid w:val="00877CE5"/>
    <w:rsid w:val="00877D81"/>
    <w:rsid w:val="00877E52"/>
    <w:rsid w:val="00877F87"/>
    <w:rsid w:val="00880082"/>
    <w:rsid w:val="00880275"/>
    <w:rsid w:val="008802CB"/>
    <w:rsid w:val="008802D7"/>
    <w:rsid w:val="008803B4"/>
    <w:rsid w:val="00880418"/>
    <w:rsid w:val="00880525"/>
    <w:rsid w:val="0088053B"/>
    <w:rsid w:val="0088061C"/>
    <w:rsid w:val="0088061F"/>
    <w:rsid w:val="00880624"/>
    <w:rsid w:val="00880630"/>
    <w:rsid w:val="008806CF"/>
    <w:rsid w:val="00880738"/>
    <w:rsid w:val="00880796"/>
    <w:rsid w:val="00880881"/>
    <w:rsid w:val="008808CF"/>
    <w:rsid w:val="00880912"/>
    <w:rsid w:val="0088098B"/>
    <w:rsid w:val="00880A9F"/>
    <w:rsid w:val="00880B23"/>
    <w:rsid w:val="00880C52"/>
    <w:rsid w:val="00880D78"/>
    <w:rsid w:val="00880D8E"/>
    <w:rsid w:val="00880DFB"/>
    <w:rsid w:val="00880E8D"/>
    <w:rsid w:val="00880EF6"/>
    <w:rsid w:val="00880F45"/>
    <w:rsid w:val="00880F87"/>
    <w:rsid w:val="00880FAB"/>
    <w:rsid w:val="00881047"/>
    <w:rsid w:val="008810D3"/>
    <w:rsid w:val="0088110F"/>
    <w:rsid w:val="0088116D"/>
    <w:rsid w:val="0088120A"/>
    <w:rsid w:val="0088121C"/>
    <w:rsid w:val="008812A7"/>
    <w:rsid w:val="008812EB"/>
    <w:rsid w:val="00881391"/>
    <w:rsid w:val="008814A6"/>
    <w:rsid w:val="00881566"/>
    <w:rsid w:val="00881601"/>
    <w:rsid w:val="0088162F"/>
    <w:rsid w:val="0088167A"/>
    <w:rsid w:val="0088172D"/>
    <w:rsid w:val="00881743"/>
    <w:rsid w:val="008818A8"/>
    <w:rsid w:val="00881992"/>
    <w:rsid w:val="00881A47"/>
    <w:rsid w:val="00881B9A"/>
    <w:rsid w:val="00881BB2"/>
    <w:rsid w:val="00881C51"/>
    <w:rsid w:val="00881D36"/>
    <w:rsid w:val="00881F36"/>
    <w:rsid w:val="00882069"/>
    <w:rsid w:val="00882080"/>
    <w:rsid w:val="008820AB"/>
    <w:rsid w:val="008820F0"/>
    <w:rsid w:val="008821B8"/>
    <w:rsid w:val="00882275"/>
    <w:rsid w:val="00882374"/>
    <w:rsid w:val="008823CD"/>
    <w:rsid w:val="008823E0"/>
    <w:rsid w:val="008824E9"/>
    <w:rsid w:val="00882662"/>
    <w:rsid w:val="00882766"/>
    <w:rsid w:val="00882787"/>
    <w:rsid w:val="008828FF"/>
    <w:rsid w:val="008829D1"/>
    <w:rsid w:val="00882A30"/>
    <w:rsid w:val="00882A4F"/>
    <w:rsid w:val="00882A8F"/>
    <w:rsid w:val="00882AD7"/>
    <w:rsid w:val="00882B38"/>
    <w:rsid w:val="00882BA2"/>
    <w:rsid w:val="00882C4C"/>
    <w:rsid w:val="00882D0A"/>
    <w:rsid w:val="00882E0D"/>
    <w:rsid w:val="00882E4F"/>
    <w:rsid w:val="00882EA0"/>
    <w:rsid w:val="00882EA7"/>
    <w:rsid w:val="00882EAC"/>
    <w:rsid w:val="00882EB4"/>
    <w:rsid w:val="00882FCA"/>
    <w:rsid w:val="0088303C"/>
    <w:rsid w:val="00883069"/>
    <w:rsid w:val="0088319B"/>
    <w:rsid w:val="008832FD"/>
    <w:rsid w:val="008834FF"/>
    <w:rsid w:val="0088356F"/>
    <w:rsid w:val="0088358B"/>
    <w:rsid w:val="008836AC"/>
    <w:rsid w:val="00883716"/>
    <w:rsid w:val="00883757"/>
    <w:rsid w:val="008837FC"/>
    <w:rsid w:val="00883888"/>
    <w:rsid w:val="00883943"/>
    <w:rsid w:val="0088396D"/>
    <w:rsid w:val="00883B5C"/>
    <w:rsid w:val="00883C8D"/>
    <w:rsid w:val="00883D0C"/>
    <w:rsid w:val="00883D24"/>
    <w:rsid w:val="00883D50"/>
    <w:rsid w:val="00883DE5"/>
    <w:rsid w:val="00883E2D"/>
    <w:rsid w:val="00883F5E"/>
    <w:rsid w:val="00883FDE"/>
    <w:rsid w:val="0088400F"/>
    <w:rsid w:val="00884057"/>
    <w:rsid w:val="00884104"/>
    <w:rsid w:val="008841BB"/>
    <w:rsid w:val="00884385"/>
    <w:rsid w:val="0088438A"/>
    <w:rsid w:val="008843E5"/>
    <w:rsid w:val="00884413"/>
    <w:rsid w:val="0088443F"/>
    <w:rsid w:val="00884499"/>
    <w:rsid w:val="0088456F"/>
    <w:rsid w:val="008845D4"/>
    <w:rsid w:val="008847D2"/>
    <w:rsid w:val="0088487A"/>
    <w:rsid w:val="0088491D"/>
    <w:rsid w:val="0088492B"/>
    <w:rsid w:val="00884A6E"/>
    <w:rsid w:val="00884BDB"/>
    <w:rsid w:val="00884DC4"/>
    <w:rsid w:val="00884DD9"/>
    <w:rsid w:val="00884DDC"/>
    <w:rsid w:val="00884E30"/>
    <w:rsid w:val="00884F9E"/>
    <w:rsid w:val="00884FC1"/>
    <w:rsid w:val="00884FE5"/>
    <w:rsid w:val="00885060"/>
    <w:rsid w:val="0088515D"/>
    <w:rsid w:val="00885291"/>
    <w:rsid w:val="00885374"/>
    <w:rsid w:val="008853EB"/>
    <w:rsid w:val="008855AD"/>
    <w:rsid w:val="008856A0"/>
    <w:rsid w:val="008856F2"/>
    <w:rsid w:val="00885971"/>
    <w:rsid w:val="0088597D"/>
    <w:rsid w:val="00885A15"/>
    <w:rsid w:val="00885AA3"/>
    <w:rsid w:val="00885BD0"/>
    <w:rsid w:val="00885C4A"/>
    <w:rsid w:val="00885D3A"/>
    <w:rsid w:val="00885D46"/>
    <w:rsid w:val="00885DB8"/>
    <w:rsid w:val="00885DF9"/>
    <w:rsid w:val="00885DFB"/>
    <w:rsid w:val="00885EC2"/>
    <w:rsid w:val="00885F7B"/>
    <w:rsid w:val="00885FF0"/>
    <w:rsid w:val="008861CC"/>
    <w:rsid w:val="00886318"/>
    <w:rsid w:val="0088636B"/>
    <w:rsid w:val="0088638E"/>
    <w:rsid w:val="00886477"/>
    <w:rsid w:val="008865A5"/>
    <w:rsid w:val="008866F6"/>
    <w:rsid w:val="0088675D"/>
    <w:rsid w:val="008867DC"/>
    <w:rsid w:val="00886931"/>
    <w:rsid w:val="00886B81"/>
    <w:rsid w:val="00886BA9"/>
    <w:rsid w:val="00886C7E"/>
    <w:rsid w:val="00886C80"/>
    <w:rsid w:val="00886D49"/>
    <w:rsid w:val="00886D77"/>
    <w:rsid w:val="00886DA1"/>
    <w:rsid w:val="00886E07"/>
    <w:rsid w:val="00886F6A"/>
    <w:rsid w:val="00887111"/>
    <w:rsid w:val="00887112"/>
    <w:rsid w:val="00887241"/>
    <w:rsid w:val="00887352"/>
    <w:rsid w:val="00887421"/>
    <w:rsid w:val="00887475"/>
    <w:rsid w:val="00887483"/>
    <w:rsid w:val="00887579"/>
    <w:rsid w:val="0088765E"/>
    <w:rsid w:val="00887662"/>
    <w:rsid w:val="00887AEF"/>
    <w:rsid w:val="00887CA4"/>
    <w:rsid w:val="00887CB5"/>
    <w:rsid w:val="00887CD5"/>
    <w:rsid w:val="00887CDA"/>
    <w:rsid w:val="00887D77"/>
    <w:rsid w:val="00887DA0"/>
    <w:rsid w:val="00887DFC"/>
    <w:rsid w:val="00887EEC"/>
    <w:rsid w:val="00890149"/>
    <w:rsid w:val="00890201"/>
    <w:rsid w:val="008902B2"/>
    <w:rsid w:val="008902BA"/>
    <w:rsid w:val="00890336"/>
    <w:rsid w:val="0089054A"/>
    <w:rsid w:val="008905CD"/>
    <w:rsid w:val="00890747"/>
    <w:rsid w:val="008907A3"/>
    <w:rsid w:val="008907E6"/>
    <w:rsid w:val="0089093B"/>
    <w:rsid w:val="00890A79"/>
    <w:rsid w:val="00890AB4"/>
    <w:rsid w:val="00890B24"/>
    <w:rsid w:val="00890B84"/>
    <w:rsid w:val="00890D14"/>
    <w:rsid w:val="00890D93"/>
    <w:rsid w:val="00890DF9"/>
    <w:rsid w:val="00890E45"/>
    <w:rsid w:val="00890E78"/>
    <w:rsid w:val="00891017"/>
    <w:rsid w:val="008910D3"/>
    <w:rsid w:val="008910F2"/>
    <w:rsid w:val="00891107"/>
    <w:rsid w:val="0089118E"/>
    <w:rsid w:val="008911C4"/>
    <w:rsid w:val="00891289"/>
    <w:rsid w:val="008912E1"/>
    <w:rsid w:val="008916AA"/>
    <w:rsid w:val="008918EF"/>
    <w:rsid w:val="00891A65"/>
    <w:rsid w:val="00891B87"/>
    <w:rsid w:val="00891D06"/>
    <w:rsid w:val="00891DBD"/>
    <w:rsid w:val="00891E68"/>
    <w:rsid w:val="00891EE5"/>
    <w:rsid w:val="00891F1E"/>
    <w:rsid w:val="00891F22"/>
    <w:rsid w:val="00891FF7"/>
    <w:rsid w:val="0089206E"/>
    <w:rsid w:val="008920E7"/>
    <w:rsid w:val="00892215"/>
    <w:rsid w:val="00892216"/>
    <w:rsid w:val="00892225"/>
    <w:rsid w:val="00892326"/>
    <w:rsid w:val="0089235B"/>
    <w:rsid w:val="008923AF"/>
    <w:rsid w:val="008923B9"/>
    <w:rsid w:val="00892406"/>
    <w:rsid w:val="008924A4"/>
    <w:rsid w:val="008924DD"/>
    <w:rsid w:val="00892580"/>
    <w:rsid w:val="00892597"/>
    <w:rsid w:val="00892728"/>
    <w:rsid w:val="00892840"/>
    <w:rsid w:val="008928D8"/>
    <w:rsid w:val="0089290C"/>
    <w:rsid w:val="0089298F"/>
    <w:rsid w:val="008929CC"/>
    <w:rsid w:val="008929F9"/>
    <w:rsid w:val="00892AFC"/>
    <w:rsid w:val="00892B53"/>
    <w:rsid w:val="00892BA7"/>
    <w:rsid w:val="00892BF7"/>
    <w:rsid w:val="00892D1A"/>
    <w:rsid w:val="00892D7F"/>
    <w:rsid w:val="00892DE0"/>
    <w:rsid w:val="00892F3A"/>
    <w:rsid w:val="00893078"/>
    <w:rsid w:val="00893219"/>
    <w:rsid w:val="00893483"/>
    <w:rsid w:val="0089368B"/>
    <w:rsid w:val="008937A3"/>
    <w:rsid w:val="008938F1"/>
    <w:rsid w:val="008939CB"/>
    <w:rsid w:val="00893B38"/>
    <w:rsid w:val="00893B4E"/>
    <w:rsid w:val="00893B70"/>
    <w:rsid w:val="00893C01"/>
    <w:rsid w:val="00893C73"/>
    <w:rsid w:val="00893CB7"/>
    <w:rsid w:val="00893D28"/>
    <w:rsid w:val="00893D3C"/>
    <w:rsid w:val="00893E23"/>
    <w:rsid w:val="00893EC8"/>
    <w:rsid w:val="00893EDB"/>
    <w:rsid w:val="00894247"/>
    <w:rsid w:val="008942B3"/>
    <w:rsid w:val="00894354"/>
    <w:rsid w:val="00894385"/>
    <w:rsid w:val="008943C1"/>
    <w:rsid w:val="008943EC"/>
    <w:rsid w:val="008944B8"/>
    <w:rsid w:val="0089455E"/>
    <w:rsid w:val="0089457A"/>
    <w:rsid w:val="008946AC"/>
    <w:rsid w:val="008948B1"/>
    <w:rsid w:val="008948B5"/>
    <w:rsid w:val="008948E7"/>
    <w:rsid w:val="00894932"/>
    <w:rsid w:val="008949DD"/>
    <w:rsid w:val="008949FD"/>
    <w:rsid w:val="00894A87"/>
    <w:rsid w:val="00894A9F"/>
    <w:rsid w:val="00894AD6"/>
    <w:rsid w:val="00894BD1"/>
    <w:rsid w:val="00894C2B"/>
    <w:rsid w:val="00894C94"/>
    <w:rsid w:val="00894D54"/>
    <w:rsid w:val="00894DA4"/>
    <w:rsid w:val="00894E9B"/>
    <w:rsid w:val="00894FE8"/>
    <w:rsid w:val="008951E9"/>
    <w:rsid w:val="00895202"/>
    <w:rsid w:val="00895252"/>
    <w:rsid w:val="00895268"/>
    <w:rsid w:val="0089540E"/>
    <w:rsid w:val="00895418"/>
    <w:rsid w:val="008954C1"/>
    <w:rsid w:val="0089566B"/>
    <w:rsid w:val="00895766"/>
    <w:rsid w:val="0089579E"/>
    <w:rsid w:val="008957BD"/>
    <w:rsid w:val="00895864"/>
    <w:rsid w:val="00895984"/>
    <w:rsid w:val="008959C5"/>
    <w:rsid w:val="00895AD3"/>
    <w:rsid w:val="00895B5D"/>
    <w:rsid w:val="00895BF3"/>
    <w:rsid w:val="00895D6A"/>
    <w:rsid w:val="00895DFB"/>
    <w:rsid w:val="0089601F"/>
    <w:rsid w:val="008960B5"/>
    <w:rsid w:val="008960FF"/>
    <w:rsid w:val="00896130"/>
    <w:rsid w:val="00896145"/>
    <w:rsid w:val="00896199"/>
    <w:rsid w:val="00896484"/>
    <w:rsid w:val="00896503"/>
    <w:rsid w:val="0089653A"/>
    <w:rsid w:val="008965DD"/>
    <w:rsid w:val="008966F7"/>
    <w:rsid w:val="008966F8"/>
    <w:rsid w:val="008968D3"/>
    <w:rsid w:val="00896936"/>
    <w:rsid w:val="0089694F"/>
    <w:rsid w:val="00896A32"/>
    <w:rsid w:val="00896A52"/>
    <w:rsid w:val="00896AB3"/>
    <w:rsid w:val="00896B0F"/>
    <w:rsid w:val="00896B11"/>
    <w:rsid w:val="00896B43"/>
    <w:rsid w:val="00896C32"/>
    <w:rsid w:val="00896C95"/>
    <w:rsid w:val="00896E0B"/>
    <w:rsid w:val="00896E25"/>
    <w:rsid w:val="00896E80"/>
    <w:rsid w:val="00896E98"/>
    <w:rsid w:val="00896EB0"/>
    <w:rsid w:val="00896F54"/>
    <w:rsid w:val="00896FAC"/>
    <w:rsid w:val="0089705F"/>
    <w:rsid w:val="00897155"/>
    <w:rsid w:val="00897177"/>
    <w:rsid w:val="008971D2"/>
    <w:rsid w:val="0089727E"/>
    <w:rsid w:val="008972CF"/>
    <w:rsid w:val="00897384"/>
    <w:rsid w:val="008973BB"/>
    <w:rsid w:val="0089747F"/>
    <w:rsid w:val="008974C8"/>
    <w:rsid w:val="00897509"/>
    <w:rsid w:val="00897561"/>
    <w:rsid w:val="008975A9"/>
    <w:rsid w:val="00897657"/>
    <w:rsid w:val="00897667"/>
    <w:rsid w:val="00897683"/>
    <w:rsid w:val="008976CE"/>
    <w:rsid w:val="00897743"/>
    <w:rsid w:val="00897753"/>
    <w:rsid w:val="008977C2"/>
    <w:rsid w:val="008977D1"/>
    <w:rsid w:val="00897897"/>
    <w:rsid w:val="00897901"/>
    <w:rsid w:val="0089796B"/>
    <w:rsid w:val="0089799B"/>
    <w:rsid w:val="00897AD9"/>
    <w:rsid w:val="00897B5E"/>
    <w:rsid w:val="00897B8D"/>
    <w:rsid w:val="00897BD0"/>
    <w:rsid w:val="00897F57"/>
    <w:rsid w:val="00897F65"/>
    <w:rsid w:val="008A006C"/>
    <w:rsid w:val="008A031F"/>
    <w:rsid w:val="008A0351"/>
    <w:rsid w:val="008A04D2"/>
    <w:rsid w:val="008A054F"/>
    <w:rsid w:val="008A05A7"/>
    <w:rsid w:val="008A05E2"/>
    <w:rsid w:val="008A0626"/>
    <w:rsid w:val="008A077D"/>
    <w:rsid w:val="008A078F"/>
    <w:rsid w:val="008A081B"/>
    <w:rsid w:val="008A083B"/>
    <w:rsid w:val="008A09C5"/>
    <w:rsid w:val="008A09E8"/>
    <w:rsid w:val="008A09F8"/>
    <w:rsid w:val="008A0A33"/>
    <w:rsid w:val="008A0A67"/>
    <w:rsid w:val="008A0B53"/>
    <w:rsid w:val="008A0BBE"/>
    <w:rsid w:val="008A0D0C"/>
    <w:rsid w:val="008A0EE1"/>
    <w:rsid w:val="008A0EE3"/>
    <w:rsid w:val="008A0F5C"/>
    <w:rsid w:val="008A0F72"/>
    <w:rsid w:val="008A0FE1"/>
    <w:rsid w:val="008A102E"/>
    <w:rsid w:val="008A1165"/>
    <w:rsid w:val="008A1339"/>
    <w:rsid w:val="008A13A7"/>
    <w:rsid w:val="008A13B6"/>
    <w:rsid w:val="008A13FB"/>
    <w:rsid w:val="008A14A4"/>
    <w:rsid w:val="008A1553"/>
    <w:rsid w:val="008A1583"/>
    <w:rsid w:val="008A1606"/>
    <w:rsid w:val="008A1616"/>
    <w:rsid w:val="008A1736"/>
    <w:rsid w:val="008A179F"/>
    <w:rsid w:val="008A18C2"/>
    <w:rsid w:val="008A18D2"/>
    <w:rsid w:val="008A1915"/>
    <w:rsid w:val="008A1998"/>
    <w:rsid w:val="008A1A70"/>
    <w:rsid w:val="008A1AA3"/>
    <w:rsid w:val="008A1AAD"/>
    <w:rsid w:val="008A1AF4"/>
    <w:rsid w:val="008A1AFA"/>
    <w:rsid w:val="008A1CC9"/>
    <w:rsid w:val="008A1D38"/>
    <w:rsid w:val="008A1FA2"/>
    <w:rsid w:val="008A219D"/>
    <w:rsid w:val="008A21A6"/>
    <w:rsid w:val="008A2256"/>
    <w:rsid w:val="008A231F"/>
    <w:rsid w:val="008A23A4"/>
    <w:rsid w:val="008A23C6"/>
    <w:rsid w:val="008A23D0"/>
    <w:rsid w:val="008A2450"/>
    <w:rsid w:val="008A2487"/>
    <w:rsid w:val="008A258A"/>
    <w:rsid w:val="008A264F"/>
    <w:rsid w:val="008A26D0"/>
    <w:rsid w:val="008A26D4"/>
    <w:rsid w:val="008A2766"/>
    <w:rsid w:val="008A2823"/>
    <w:rsid w:val="008A28D3"/>
    <w:rsid w:val="008A2914"/>
    <w:rsid w:val="008A2B58"/>
    <w:rsid w:val="008A2C61"/>
    <w:rsid w:val="008A2E40"/>
    <w:rsid w:val="008A2E5B"/>
    <w:rsid w:val="008A2E5C"/>
    <w:rsid w:val="008A2F0D"/>
    <w:rsid w:val="008A304B"/>
    <w:rsid w:val="008A307F"/>
    <w:rsid w:val="008A3084"/>
    <w:rsid w:val="008A3097"/>
    <w:rsid w:val="008A30A0"/>
    <w:rsid w:val="008A30A1"/>
    <w:rsid w:val="008A317F"/>
    <w:rsid w:val="008A31D0"/>
    <w:rsid w:val="008A31E3"/>
    <w:rsid w:val="008A3248"/>
    <w:rsid w:val="008A3264"/>
    <w:rsid w:val="008A329C"/>
    <w:rsid w:val="008A33C7"/>
    <w:rsid w:val="008A346B"/>
    <w:rsid w:val="008A3485"/>
    <w:rsid w:val="008A34F1"/>
    <w:rsid w:val="008A358D"/>
    <w:rsid w:val="008A3700"/>
    <w:rsid w:val="008A3737"/>
    <w:rsid w:val="008A38B5"/>
    <w:rsid w:val="008A394A"/>
    <w:rsid w:val="008A3AD2"/>
    <w:rsid w:val="008A3B2E"/>
    <w:rsid w:val="008A3C75"/>
    <w:rsid w:val="008A3C8A"/>
    <w:rsid w:val="008A3C9B"/>
    <w:rsid w:val="008A3CAE"/>
    <w:rsid w:val="008A3DDB"/>
    <w:rsid w:val="008A3E13"/>
    <w:rsid w:val="008A3F74"/>
    <w:rsid w:val="008A40E1"/>
    <w:rsid w:val="008A4166"/>
    <w:rsid w:val="008A420F"/>
    <w:rsid w:val="008A4296"/>
    <w:rsid w:val="008A42BF"/>
    <w:rsid w:val="008A42D1"/>
    <w:rsid w:val="008A434F"/>
    <w:rsid w:val="008A4367"/>
    <w:rsid w:val="008A4372"/>
    <w:rsid w:val="008A43C6"/>
    <w:rsid w:val="008A4409"/>
    <w:rsid w:val="008A457A"/>
    <w:rsid w:val="008A45B8"/>
    <w:rsid w:val="008A46AD"/>
    <w:rsid w:val="008A47F6"/>
    <w:rsid w:val="008A4831"/>
    <w:rsid w:val="008A484A"/>
    <w:rsid w:val="008A4873"/>
    <w:rsid w:val="008A4A30"/>
    <w:rsid w:val="008A4A7D"/>
    <w:rsid w:val="008A4BCE"/>
    <w:rsid w:val="008A4C92"/>
    <w:rsid w:val="008A4CBC"/>
    <w:rsid w:val="008A4F29"/>
    <w:rsid w:val="008A4FB4"/>
    <w:rsid w:val="008A5038"/>
    <w:rsid w:val="008A50A7"/>
    <w:rsid w:val="008A5132"/>
    <w:rsid w:val="008A520C"/>
    <w:rsid w:val="008A5261"/>
    <w:rsid w:val="008A52B2"/>
    <w:rsid w:val="008A52F8"/>
    <w:rsid w:val="008A5305"/>
    <w:rsid w:val="008A5435"/>
    <w:rsid w:val="008A5612"/>
    <w:rsid w:val="008A564D"/>
    <w:rsid w:val="008A5652"/>
    <w:rsid w:val="008A57BA"/>
    <w:rsid w:val="008A57BB"/>
    <w:rsid w:val="008A58B4"/>
    <w:rsid w:val="008A5922"/>
    <w:rsid w:val="008A592E"/>
    <w:rsid w:val="008A5A20"/>
    <w:rsid w:val="008A5B33"/>
    <w:rsid w:val="008A5B4D"/>
    <w:rsid w:val="008A5B63"/>
    <w:rsid w:val="008A5B99"/>
    <w:rsid w:val="008A5C1D"/>
    <w:rsid w:val="008A5C66"/>
    <w:rsid w:val="008A5CEA"/>
    <w:rsid w:val="008A5DA2"/>
    <w:rsid w:val="008A5EEE"/>
    <w:rsid w:val="008A60DB"/>
    <w:rsid w:val="008A618B"/>
    <w:rsid w:val="008A61F7"/>
    <w:rsid w:val="008A624B"/>
    <w:rsid w:val="008A6325"/>
    <w:rsid w:val="008A63B3"/>
    <w:rsid w:val="008A646C"/>
    <w:rsid w:val="008A654D"/>
    <w:rsid w:val="008A665D"/>
    <w:rsid w:val="008A66A7"/>
    <w:rsid w:val="008A66D1"/>
    <w:rsid w:val="008A68B2"/>
    <w:rsid w:val="008A69DA"/>
    <w:rsid w:val="008A6A2F"/>
    <w:rsid w:val="008A6B64"/>
    <w:rsid w:val="008A6B92"/>
    <w:rsid w:val="008A6BA0"/>
    <w:rsid w:val="008A6BAE"/>
    <w:rsid w:val="008A6CB9"/>
    <w:rsid w:val="008A6D3B"/>
    <w:rsid w:val="008A6E72"/>
    <w:rsid w:val="008A6EFB"/>
    <w:rsid w:val="008A6F39"/>
    <w:rsid w:val="008A72E1"/>
    <w:rsid w:val="008A733A"/>
    <w:rsid w:val="008A7370"/>
    <w:rsid w:val="008A73F4"/>
    <w:rsid w:val="008A7481"/>
    <w:rsid w:val="008A74D6"/>
    <w:rsid w:val="008A7518"/>
    <w:rsid w:val="008A751A"/>
    <w:rsid w:val="008A75E9"/>
    <w:rsid w:val="008A763E"/>
    <w:rsid w:val="008A7781"/>
    <w:rsid w:val="008A77D6"/>
    <w:rsid w:val="008A79FD"/>
    <w:rsid w:val="008A7A77"/>
    <w:rsid w:val="008A7AA1"/>
    <w:rsid w:val="008A7AC5"/>
    <w:rsid w:val="008A7AFF"/>
    <w:rsid w:val="008A7B6A"/>
    <w:rsid w:val="008A7BCA"/>
    <w:rsid w:val="008A7CA2"/>
    <w:rsid w:val="008A7CF4"/>
    <w:rsid w:val="008A7D15"/>
    <w:rsid w:val="008A7E13"/>
    <w:rsid w:val="008A7EF1"/>
    <w:rsid w:val="008A7F27"/>
    <w:rsid w:val="008A7F9E"/>
    <w:rsid w:val="008B0043"/>
    <w:rsid w:val="008B0063"/>
    <w:rsid w:val="008B0162"/>
    <w:rsid w:val="008B022C"/>
    <w:rsid w:val="008B0262"/>
    <w:rsid w:val="008B03B7"/>
    <w:rsid w:val="008B03D4"/>
    <w:rsid w:val="008B04A9"/>
    <w:rsid w:val="008B04BF"/>
    <w:rsid w:val="008B06B7"/>
    <w:rsid w:val="008B0838"/>
    <w:rsid w:val="008B0903"/>
    <w:rsid w:val="008B0959"/>
    <w:rsid w:val="008B09D0"/>
    <w:rsid w:val="008B0AE9"/>
    <w:rsid w:val="008B0B7F"/>
    <w:rsid w:val="008B0B97"/>
    <w:rsid w:val="008B0BDA"/>
    <w:rsid w:val="008B0C4C"/>
    <w:rsid w:val="008B0DE3"/>
    <w:rsid w:val="008B0E74"/>
    <w:rsid w:val="008B0EC7"/>
    <w:rsid w:val="008B0EF4"/>
    <w:rsid w:val="008B102E"/>
    <w:rsid w:val="008B1056"/>
    <w:rsid w:val="008B11FB"/>
    <w:rsid w:val="008B1218"/>
    <w:rsid w:val="008B1255"/>
    <w:rsid w:val="008B1309"/>
    <w:rsid w:val="008B132F"/>
    <w:rsid w:val="008B13EA"/>
    <w:rsid w:val="008B1577"/>
    <w:rsid w:val="008B15AE"/>
    <w:rsid w:val="008B1696"/>
    <w:rsid w:val="008B1718"/>
    <w:rsid w:val="008B1760"/>
    <w:rsid w:val="008B183F"/>
    <w:rsid w:val="008B1859"/>
    <w:rsid w:val="008B1894"/>
    <w:rsid w:val="008B189A"/>
    <w:rsid w:val="008B192C"/>
    <w:rsid w:val="008B19BB"/>
    <w:rsid w:val="008B19E5"/>
    <w:rsid w:val="008B1CEE"/>
    <w:rsid w:val="008B1D72"/>
    <w:rsid w:val="008B1ED1"/>
    <w:rsid w:val="008B1EE9"/>
    <w:rsid w:val="008B1F29"/>
    <w:rsid w:val="008B2006"/>
    <w:rsid w:val="008B204F"/>
    <w:rsid w:val="008B2151"/>
    <w:rsid w:val="008B21FD"/>
    <w:rsid w:val="008B221D"/>
    <w:rsid w:val="008B2351"/>
    <w:rsid w:val="008B235D"/>
    <w:rsid w:val="008B23DA"/>
    <w:rsid w:val="008B2406"/>
    <w:rsid w:val="008B26C0"/>
    <w:rsid w:val="008B2752"/>
    <w:rsid w:val="008B27B6"/>
    <w:rsid w:val="008B2881"/>
    <w:rsid w:val="008B28CC"/>
    <w:rsid w:val="008B298A"/>
    <w:rsid w:val="008B2A6A"/>
    <w:rsid w:val="008B2B44"/>
    <w:rsid w:val="008B2BCB"/>
    <w:rsid w:val="008B2BF7"/>
    <w:rsid w:val="008B2D0C"/>
    <w:rsid w:val="008B2D29"/>
    <w:rsid w:val="008B2DB6"/>
    <w:rsid w:val="008B2EB5"/>
    <w:rsid w:val="008B2EE3"/>
    <w:rsid w:val="008B2EF3"/>
    <w:rsid w:val="008B2FC9"/>
    <w:rsid w:val="008B3034"/>
    <w:rsid w:val="008B304F"/>
    <w:rsid w:val="008B30A5"/>
    <w:rsid w:val="008B30C1"/>
    <w:rsid w:val="008B3700"/>
    <w:rsid w:val="008B3779"/>
    <w:rsid w:val="008B394F"/>
    <w:rsid w:val="008B3A86"/>
    <w:rsid w:val="008B3A8B"/>
    <w:rsid w:val="008B3AC2"/>
    <w:rsid w:val="008B3C4F"/>
    <w:rsid w:val="008B3C82"/>
    <w:rsid w:val="008B3EBD"/>
    <w:rsid w:val="008B3EE5"/>
    <w:rsid w:val="008B409D"/>
    <w:rsid w:val="008B40E4"/>
    <w:rsid w:val="008B4166"/>
    <w:rsid w:val="008B4245"/>
    <w:rsid w:val="008B432F"/>
    <w:rsid w:val="008B43A2"/>
    <w:rsid w:val="008B43AF"/>
    <w:rsid w:val="008B444A"/>
    <w:rsid w:val="008B44AF"/>
    <w:rsid w:val="008B4575"/>
    <w:rsid w:val="008B4757"/>
    <w:rsid w:val="008B47A9"/>
    <w:rsid w:val="008B4908"/>
    <w:rsid w:val="008B4995"/>
    <w:rsid w:val="008B4A1F"/>
    <w:rsid w:val="008B4A81"/>
    <w:rsid w:val="008B4B2F"/>
    <w:rsid w:val="008B4BA6"/>
    <w:rsid w:val="008B4BF8"/>
    <w:rsid w:val="008B4BFF"/>
    <w:rsid w:val="008B4C8A"/>
    <w:rsid w:val="008B4E28"/>
    <w:rsid w:val="008B4E4B"/>
    <w:rsid w:val="008B4EBE"/>
    <w:rsid w:val="008B4FC8"/>
    <w:rsid w:val="008B4FD5"/>
    <w:rsid w:val="008B506C"/>
    <w:rsid w:val="008B5085"/>
    <w:rsid w:val="008B5162"/>
    <w:rsid w:val="008B51A2"/>
    <w:rsid w:val="008B532F"/>
    <w:rsid w:val="008B5355"/>
    <w:rsid w:val="008B5480"/>
    <w:rsid w:val="008B555F"/>
    <w:rsid w:val="008B5571"/>
    <w:rsid w:val="008B55A2"/>
    <w:rsid w:val="008B57EB"/>
    <w:rsid w:val="008B58A2"/>
    <w:rsid w:val="008B58AF"/>
    <w:rsid w:val="008B58C5"/>
    <w:rsid w:val="008B59E3"/>
    <w:rsid w:val="008B5A71"/>
    <w:rsid w:val="008B5C90"/>
    <w:rsid w:val="008B5D58"/>
    <w:rsid w:val="008B5E90"/>
    <w:rsid w:val="008B625B"/>
    <w:rsid w:val="008B6268"/>
    <w:rsid w:val="008B62D1"/>
    <w:rsid w:val="008B64B9"/>
    <w:rsid w:val="008B6596"/>
    <w:rsid w:val="008B6627"/>
    <w:rsid w:val="008B6667"/>
    <w:rsid w:val="008B66ED"/>
    <w:rsid w:val="008B6B00"/>
    <w:rsid w:val="008B6B47"/>
    <w:rsid w:val="008B6C26"/>
    <w:rsid w:val="008B6C8E"/>
    <w:rsid w:val="008B6DC0"/>
    <w:rsid w:val="008B6DFD"/>
    <w:rsid w:val="008B6FDC"/>
    <w:rsid w:val="008B7281"/>
    <w:rsid w:val="008B7282"/>
    <w:rsid w:val="008B72AF"/>
    <w:rsid w:val="008B7406"/>
    <w:rsid w:val="008B742C"/>
    <w:rsid w:val="008B752D"/>
    <w:rsid w:val="008B759C"/>
    <w:rsid w:val="008B75E5"/>
    <w:rsid w:val="008B78D3"/>
    <w:rsid w:val="008B7978"/>
    <w:rsid w:val="008B7AC1"/>
    <w:rsid w:val="008B7AD0"/>
    <w:rsid w:val="008B7B23"/>
    <w:rsid w:val="008B7B25"/>
    <w:rsid w:val="008B7CF5"/>
    <w:rsid w:val="008B7E53"/>
    <w:rsid w:val="008B7E62"/>
    <w:rsid w:val="008B7F2C"/>
    <w:rsid w:val="008B7F9E"/>
    <w:rsid w:val="008B7FD0"/>
    <w:rsid w:val="008B7FDE"/>
    <w:rsid w:val="008C01D3"/>
    <w:rsid w:val="008C02E5"/>
    <w:rsid w:val="008C03B1"/>
    <w:rsid w:val="008C03D4"/>
    <w:rsid w:val="008C0448"/>
    <w:rsid w:val="008C050E"/>
    <w:rsid w:val="008C0533"/>
    <w:rsid w:val="008C0693"/>
    <w:rsid w:val="008C0716"/>
    <w:rsid w:val="008C07AC"/>
    <w:rsid w:val="008C07E1"/>
    <w:rsid w:val="008C07E2"/>
    <w:rsid w:val="008C0A32"/>
    <w:rsid w:val="008C0B19"/>
    <w:rsid w:val="008C0CA7"/>
    <w:rsid w:val="008C0E4D"/>
    <w:rsid w:val="008C0E50"/>
    <w:rsid w:val="008C0E8D"/>
    <w:rsid w:val="008C0F06"/>
    <w:rsid w:val="008C11E7"/>
    <w:rsid w:val="008C11ED"/>
    <w:rsid w:val="008C12A8"/>
    <w:rsid w:val="008C12B1"/>
    <w:rsid w:val="008C12F0"/>
    <w:rsid w:val="008C1351"/>
    <w:rsid w:val="008C13C9"/>
    <w:rsid w:val="008C13ED"/>
    <w:rsid w:val="008C1436"/>
    <w:rsid w:val="008C17BC"/>
    <w:rsid w:val="008C18A2"/>
    <w:rsid w:val="008C18E7"/>
    <w:rsid w:val="008C1944"/>
    <w:rsid w:val="008C1977"/>
    <w:rsid w:val="008C1AC7"/>
    <w:rsid w:val="008C1B48"/>
    <w:rsid w:val="008C1B64"/>
    <w:rsid w:val="008C1BC6"/>
    <w:rsid w:val="008C1C51"/>
    <w:rsid w:val="008C1CDC"/>
    <w:rsid w:val="008C1E61"/>
    <w:rsid w:val="008C1EDB"/>
    <w:rsid w:val="008C1EF8"/>
    <w:rsid w:val="008C20BE"/>
    <w:rsid w:val="008C2157"/>
    <w:rsid w:val="008C2192"/>
    <w:rsid w:val="008C220E"/>
    <w:rsid w:val="008C2224"/>
    <w:rsid w:val="008C2316"/>
    <w:rsid w:val="008C2456"/>
    <w:rsid w:val="008C2643"/>
    <w:rsid w:val="008C26D8"/>
    <w:rsid w:val="008C287B"/>
    <w:rsid w:val="008C289D"/>
    <w:rsid w:val="008C28CA"/>
    <w:rsid w:val="008C2A27"/>
    <w:rsid w:val="008C2AA5"/>
    <w:rsid w:val="008C2C21"/>
    <w:rsid w:val="008C2CB7"/>
    <w:rsid w:val="008C2CDE"/>
    <w:rsid w:val="008C2E1A"/>
    <w:rsid w:val="008C2ED1"/>
    <w:rsid w:val="008C321D"/>
    <w:rsid w:val="008C3235"/>
    <w:rsid w:val="008C3288"/>
    <w:rsid w:val="008C32AE"/>
    <w:rsid w:val="008C33B8"/>
    <w:rsid w:val="008C34DF"/>
    <w:rsid w:val="008C375C"/>
    <w:rsid w:val="008C3880"/>
    <w:rsid w:val="008C38C3"/>
    <w:rsid w:val="008C3A5B"/>
    <w:rsid w:val="008C3AEC"/>
    <w:rsid w:val="008C3B76"/>
    <w:rsid w:val="008C3D20"/>
    <w:rsid w:val="008C3D73"/>
    <w:rsid w:val="008C3DA5"/>
    <w:rsid w:val="008C3E62"/>
    <w:rsid w:val="008C3F7B"/>
    <w:rsid w:val="008C3FD2"/>
    <w:rsid w:val="008C3FE2"/>
    <w:rsid w:val="008C4006"/>
    <w:rsid w:val="008C400F"/>
    <w:rsid w:val="008C408A"/>
    <w:rsid w:val="008C42D8"/>
    <w:rsid w:val="008C43FE"/>
    <w:rsid w:val="008C448B"/>
    <w:rsid w:val="008C44D8"/>
    <w:rsid w:val="008C45CE"/>
    <w:rsid w:val="008C463C"/>
    <w:rsid w:val="008C4658"/>
    <w:rsid w:val="008C4722"/>
    <w:rsid w:val="008C48D7"/>
    <w:rsid w:val="008C48EF"/>
    <w:rsid w:val="008C4949"/>
    <w:rsid w:val="008C49C3"/>
    <w:rsid w:val="008C4B21"/>
    <w:rsid w:val="008C4B4C"/>
    <w:rsid w:val="008C4B60"/>
    <w:rsid w:val="008C4B75"/>
    <w:rsid w:val="008C4C9A"/>
    <w:rsid w:val="008C500A"/>
    <w:rsid w:val="008C51EB"/>
    <w:rsid w:val="008C522F"/>
    <w:rsid w:val="008C5294"/>
    <w:rsid w:val="008C5413"/>
    <w:rsid w:val="008C541C"/>
    <w:rsid w:val="008C551D"/>
    <w:rsid w:val="008C5732"/>
    <w:rsid w:val="008C57CF"/>
    <w:rsid w:val="008C57E8"/>
    <w:rsid w:val="008C5858"/>
    <w:rsid w:val="008C58A6"/>
    <w:rsid w:val="008C5A17"/>
    <w:rsid w:val="008C5B15"/>
    <w:rsid w:val="008C5B4F"/>
    <w:rsid w:val="008C5B8F"/>
    <w:rsid w:val="008C5BDB"/>
    <w:rsid w:val="008C5CFF"/>
    <w:rsid w:val="008C5D0F"/>
    <w:rsid w:val="008C5E1A"/>
    <w:rsid w:val="008C5E21"/>
    <w:rsid w:val="008C5E3E"/>
    <w:rsid w:val="008C5F41"/>
    <w:rsid w:val="008C5F45"/>
    <w:rsid w:val="008C612B"/>
    <w:rsid w:val="008C624D"/>
    <w:rsid w:val="008C641A"/>
    <w:rsid w:val="008C6776"/>
    <w:rsid w:val="008C67BF"/>
    <w:rsid w:val="008C67CF"/>
    <w:rsid w:val="008C6810"/>
    <w:rsid w:val="008C68BD"/>
    <w:rsid w:val="008C6A52"/>
    <w:rsid w:val="008C6C49"/>
    <w:rsid w:val="008C6C8A"/>
    <w:rsid w:val="008C6D9A"/>
    <w:rsid w:val="008C6F70"/>
    <w:rsid w:val="008C6FAA"/>
    <w:rsid w:val="008C708F"/>
    <w:rsid w:val="008C7185"/>
    <w:rsid w:val="008C71DF"/>
    <w:rsid w:val="008C7267"/>
    <w:rsid w:val="008C7289"/>
    <w:rsid w:val="008C72A6"/>
    <w:rsid w:val="008C7509"/>
    <w:rsid w:val="008C7519"/>
    <w:rsid w:val="008C7541"/>
    <w:rsid w:val="008C772C"/>
    <w:rsid w:val="008C7818"/>
    <w:rsid w:val="008C786B"/>
    <w:rsid w:val="008C7888"/>
    <w:rsid w:val="008C79DD"/>
    <w:rsid w:val="008C79E8"/>
    <w:rsid w:val="008C7A52"/>
    <w:rsid w:val="008C7A80"/>
    <w:rsid w:val="008C7A9D"/>
    <w:rsid w:val="008C7AA2"/>
    <w:rsid w:val="008C7B07"/>
    <w:rsid w:val="008C7CEE"/>
    <w:rsid w:val="008C7D5B"/>
    <w:rsid w:val="008C7D92"/>
    <w:rsid w:val="008C7E1D"/>
    <w:rsid w:val="008C7E68"/>
    <w:rsid w:val="008C7E88"/>
    <w:rsid w:val="008D0056"/>
    <w:rsid w:val="008D0326"/>
    <w:rsid w:val="008D0550"/>
    <w:rsid w:val="008D05B1"/>
    <w:rsid w:val="008D060A"/>
    <w:rsid w:val="008D068D"/>
    <w:rsid w:val="008D06C5"/>
    <w:rsid w:val="008D0773"/>
    <w:rsid w:val="008D0795"/>
    <w:rsid w:val="008D0890"/>
    <w:rsid w:val="008D08F2"/>
    <w:rsid w:val="008D0925"/>
    <w:rsid w:val="008D0979"/>
    <w:rsid w:val="008D0A32"/>
    <w:rsid w:val="008D0A52"/>
    <w:rsid w:val="008D0BBA"/>
    <w:rsid w:val="008D0C22"/>
    <w:rsid w:val="008D0D6B"/>
    <w:rsid w:val="008D0DED"/>
    <w:rsid w:val="008D0E0C"/>
    <w:rsid w:val="008D0E8B"/>
    <w:rsid w:val="008D1126"/>
    <w:rsid w:val="008D120B"/>
    <w:rsid w:val="008D132D"/>
    <w:rsid w:val="008D13B5"/>
    <w:rsid w:val="008D1478"/>
    <w:rsid w:val="008D150F"/>
    <w:rsid w:val="008D1550"/>
    <w:rsid w:val="008D160B"/>
    <w:rsid w:val="008D168B"/>
    <w:rsid w:val="008D16D4"/>
    <w:rsid w:val="008D176A"/>
    <w:rsid w:val="008D1779"/>
    <w:rsid w:val="008D1805"/>
    <w:rsid w:val="008D1829"/>
    <w:rsid w:val="008D18A6"/>
    <w:rsid w:val="008D18D0"/>
    <w:rsid w:val="008D1931"/>
    <w:rsid w:val="008D19EA"/>
    <w:rsid w:val="008D1B1E"/>
    <w:rsid w:val="008D1B5D"/>
    <w:rsid w:val="008D1EA2"/>
    <w:rsid w:val="008D1F5A"/>
    <w:rsid w:val="008D1FC2"/>
    <w:rsid w:val="008D1FCC"/>
    <w:rsid w:val="008D2115"/>
    <w:rsid w:val="008D21E9"/>
    <w:rsid w:val="008D2319"/>
    <w:rsid w:val="008D23EE"/>
    <w:rsid w:val="008D242F"/>
    <w:rsid w:val="008D243D"/>
    <w:rsid w:val="008D24B2"/>
    <w:rsid w:val="008D2565"/>
    <w:rsid w:val="008D25A9"/>
    <w:rsid w:val="008D272D"/>
    <w:rsid w:val="008D279B"/>
    <w:rsid w:val="008D27D4"/>
    <w:rsid w:val="008D2877"/>
    <w:rsid w:val="008D29A2"/>
    <w:rsid w:val="008D2A0B"/>
    <w:rsid w:val="008D2A21"/>
    <w:rsid w:val="008D2A43"/>
    <w:rsid w:val="008D2A4F"/>
    <w:rsid w:val="008D2D75"/>
    <w:rsid w:val="008D2DBC"/>
    <w:rsid w:val="008D2E17"/>
    <w:rsid w:val="008D2F2C"/>
    <w:rsid w:val="008D3046"/>
    <w:rsid w:val="008D3065"/>
    <w:rsid w:val="008D3110"/>
    <w:rsid w:val="008D3188"/>
    <w:rsid w:val="008D32B3"/>
    <w:rsid w:val="008D33CE"/>
    <w:rsid w:val="008D35B7"/>
    <w:rsid w:val="008D37E3"/>
    <w:rsid w:val="008D37EF"/>
    <w:rsid w:val="008D3919"/>
    <w:rsid w:val="008D396A"/>
    <w:rsid w:val="008D39A1"/>
    <w:rsid w:val="008D39AC"/>
    <w:rsid w:val="008D3A26"/>
    <w:rsid w:val="008D3B11"/>
    <w:rsid w:val="008D3B7C"/>
    <w:rsid w:val="008D3B97"/>
    <w:rsid w:val="008D3C58"/>
    <w:rsid w:val="008D3E7F"/>
    <w:rsid w:val="008D3FAF"/>
    <w:rsid w:val="008D3FD8"/>
    <w:rsid w:val="008D4024"/>
    <w:rsid w:val="008D41AA"/>
    <w:rsid w:val="008D423A"/>
    <w:rsid w:val="008D425A"/>
    <w:rsid w:val="008D42DC"/>
    <w:rsid w:val="008D4336"/>
    <w:rsid w:val="008D43A4"/>
    <w:rsid w:val="008D43AF"/>
    <w:rsid w:val="008D43BE"/>
    <w:rsid w:val="008D4416"/>
    <w:rsid w:val="008D445B"/>
    <w:rsid w:val="008D4479"/>
    <w:rsid w:val="008D4486"/>
    <w:rsid w:val="008D4509"/>
    <w:rsid w:val="008D4510"/>
    <w:rsid w:val="008D455A"/>
    <w:rsid w:val="008D462F"/>
    <w:rsid w:val="008D46A2"/>
    <w:rsid w:val="008D487F"/>
    <w:rsid w:val="008D489A"/>
    <w:rsid w:val="008D48EE"/>
    <w:rsid w:val="008D4AE0"/>
    <w:rsid w:val="008D4B13"/>
    <w:rsid w:val="008D4D00"/>
    <w:rsid w:val="008D4EC0"/>
    <w:rsid w:val="008D4FF1"/>
    <w:rsid w:val="008D5004"/>
    <w:rsid w:val="008D50A2"/>
    <w:rsid w:val="008D5180"/>
    <w:rsid w:val="008D51D3"/>
    <w:rsid w:val="008D5210"/>
    <w:rsid w:val="008D52DC"/>
    <w:rsid w:val="008D530F"/>
    <w:rsid w:val="008D541E"/>
    <w:rsid w:val="008D5506"/>
    <w:rsid w:val="008D55CC"/>
    <w:rsid w:val="008D55D0"/>
    <w:rsid w:val="008D56F5"/>
    <w:rsid w:val="008D570C"/>
    <w:rsid w:val="008D5722"/>
    <w:rsid w:val="008D5787"/>
    <w:rsid w:val="008D5804"/>
    <w:rsid w:val="008D584E"/>
    <w:rsid w:val="008D587A"/>
    <w:rsid w:val="008D5886"/>
    <w:rsid w:val="008D5940"/>
    <w:rsid w:val="008D595B"/>
    <w:rsid w:val="008D5A60"/>
    <w:rsid w:val="008D5C8B"/>
    <w:rsid w:val="008D5DCB"/>
    <w:rsid w:val="008D5E68"/>
    <w:rsid w:val="008D62A7"/>
    <w:rsid w:val="008D62D5"/>
    <w:rsid w:val="008D6332"/>
    <w:rsid w:val="008D634F"/>
    <w:rsid w:val="008D6385"/>
    <w:rsid w:val="008D64A9"/>
    <w:rsid w:val="008D64EA"/>
    <w:rsid w:val="008D64F8"/>
    <w:rsid w:val="008D6546"/>
    <w:rsid w:val="008D657F"/>
    <w:rsid w:val="008D666E"/>
    <w:rsid w:val="008D66B6"/>
    <w:rsid w:val="008D66CB"/>
    <w:rsid w:val="008D6781"/>
    <w:rsid w:val="008D67DE"/>
    <w:rsid w:val="008D6942"/>
    <w:rsid w:val="008D6960"/>
    <w:rsid w:val="008D696C"/>
    <w:rsid w:val="008D6977"/>
    <w:rsid w:val="008D6A06"/>
    <w:rsid w:val="008D6A2E"/>
    <w:rsid w:val="008D6B18"/>
    <w:rsid w:val="008D6B69"/>
    <w:rsid w:val="008D6B71"/>
    <w:rsid w:val="008D6C3C"/>
    <w:rsid w:val="008D6C43"/>
    <w:rsid w:val="008D6FB7"/>
    <w:rsid w:val="008D70C3"/>
    <w:rsid w:val="008D719F"/>
    <w:rsid w:val="008D7249"/>
    <w:rsid w:val="008D72EB"/>
    <w:rsid w:val="008D7308"/>
    <w:rsid w:val="008D7375"/>
    <w:rsid w:val="008D7842"/>
    <w:rsid w:val="008D7878"/>
    <w:rsid w:val="008D78AC"/>
    <w:rsid w:val="008D78B0"/>
    <w:rsid w:val="008D7981"/>
    <w:rsid w:val="008D79AE"/>
    <w:rsid w:val="008D7A2E"/>
    <w:rsid w:val="008D7A5B"/>
    <w:rsid w:val="008D7B4E"/>
    <w:rsid w:val="008D7B9B"/>
    <w:rsid w:val="008D7BE8"/>
    <w:rsid w:val="008D7C50"/>
    <w:rsid w:val="008D7D7D"/>
    <w:rsid w:val="008D7E07"/>
    <w:rsid w:val="008D7F1C"/>
    <w:rsid w:val="008D7F51"/>
    <w:rsid w:val="008D7FBF"/>
    <w:rsid w:val="008D7FDC"/>
    <w:rsid w:val="008E0129"/>
    <w:rsid w:val="008E0152"/>
    <w:rsid w:val="008E0174"/>
    <w:rsid w:val="008E02FC"/>
    <w:rsid w:val="008E0303"/>
    <w:rsid w:val="008E035A"/>
    <w:rsid w:val="008E038E"/>
    <w:rsid w:val="008E051E"/>
    <w:rsid w:val="008E0829"/>
    <w:rsid w:val="008E082D"/>
    <w:rsid w:val="008E0879"/>
    <w:rsid w:val="008E08A6"/>
    <w:rsid w:val="008E08D0"/>
    <w:rsid w:val="008E096F"/>
    <w:rsid w:val="008E09A2"/>
    <w:rsid w:val="008E0A40"/>
    <w:rsid w:val="008E0AD4"/>
    <w:rsid w:val="008E0B2F"/>
    <w:rsid w:val="008E0DB8"/>
    <w:rsid w:val="008E0E36"/>
    <w:rsid w:val="008E0E94"/>
    <w:rsid w:val="008E0F53"/>
    <w:rsid w:val="008E0FAD"/>
    <w:rsid w:val="008E144E"/>
    <w:rsid w:val="008E16C1"/>
    <w:rsid w:val="008E16F0"/>
    <w:rsid w:val="008E17F1"/>
    <w:rsid w:val="008E189E"/>
    <w:rsid w:val="008E1918"/>
    <w:rsid w:val="008E19E4"/>
    <w:rsid w:val="008E1A7E"/>
    <w:rsid w:val="008E1B9D"/>
    <w:rsid w:val="008E1B9E"/>
    <w:rsid w:val="008E1BA2"/>
    <w:rsid w:val="008E1C85"/>
    <w:rsid w:val="008E1C8D"/>
    <w:rsid w:val="008E1CF2"/>
    <w:rsid w:val="008E1D15"/>
    <w:rsid w:val="008E1D3F"/>
    <w:rsid w:val="008E1EBA"/>
    <w:rsid w:val="008E1F0A"/>
    <w:rsid w:val="008E1F98"/>
    <w:rsid w:val="008E2027"/>
    <w:rsid w:val="008E210A"/>
    <w:rsid w:val="008E2216"/>
    <w:rsid w:val="008E2245"/>
    <w:rsid w:val="008E2329"/>
    <w:rsid w:val="008E2379"/>
    <w:rsid w:val="008E2431"/>
    <w:rsid w:val="008E24C9"/>
    <w:rsid w:val="008E24F1"/>
    <w:rsid w:val="008E2585"/>
    <w:rsid w:val="008E25B1"/>
    <w:rsid w:val="008E27E0"/>
    <w:rsid w:val="008E291D"/>
    <w:rsid w:val="008E2968"/>
    <w:rsid w:val="008E2A23"/>
    <w:rsid w:val="008E2AAA"/>
    <w:rsid w:val="008E2AAB"/>
    <w:rsid w:val="008E2AC0"/>
    <w:rsid w:val="008E2B38"/>
    <w:rsid w:val="008E2B9E"/>
    <w:rsid w:val="008E2BA6"/>
    <w:rsid w:val="008E2BE0"/>
    <w:rsid w:val="008E2CC7"/>
    <w:rsid w:val="008E2CCF"/>
    <w:rsid w:val="008E2D3E"/>
    <w:rsid w:val="008E2F68"/>
    <w:rsid w:val="008E2FF6"/>
    <w:rsid w:val="008E3040"/>
    <w:rsid w:val="008E33B8"/>
    <w:rsid w:val="008E33BE"/>
    <w:rsid w:val="008E34C0"/>
    <w:rsid w:val="008E351C"/>
    <w:rsid w:val="008E365C"/>
    <w:rsid w:val="008E36C7"/>
    <w:rsid w:val="008E3756"/>
    <w:rsid w:val="008E378D"/>
    <w:rsid w:val="008E3893"/>
    <w:rsid w:val="008E38E1"/>
    <w:rsid w:val="008E3904"/>
    <w:rsid w:val="008E3916"/>
    <w:rsid w:val="008E396F"/>
    <w:rsid w:val="008E39A3"/>
    <w:rsid w:val="008E3A33"/>
    <w:rsid w:val="008E3A3F"/>
    <w:rsid w:val="008E3B6A"/>
    <w:rsid w:val="008E3BCF"/>
    <w:rsid w:val="008E3C6C"/>
    <w:rsid w:val="008E3E4D"/>
    <w:rsid w:val="008E42B8"/>
    <w:rsid w:val="008E4343"/>
    <w:rsid w:val="008E43C8"/>
    <w:rsid w:val="008E43F6"/>
    <w:rsid w:val="008E4630"/>
    <w:rsid w:val="008E471A"/>
    <w:rsid w:val="008E4888"/>
    <w:rsid w:val="008E48DC"/>
    <w:rsid w:val="008E49BF"/>
    <w:rsid w:val="008E4BCB"/>
    <w:rsid w:val="008E4C93"/>
    <w:rsid w:val="008E4D39"/>
    <w:rsid w:val="008E4D8E"/>
    <w:rsid w:val="008E4E4E"/>
    <w:rsid w:val="008E4E7B"/>
    <w:rsid w:val="008E4FD2"/>
    <w:rsid w:val="008E502F"/>
    <w:rsid w:val="008E516C"/>
    <w:rsid w:val="008E5232"/>
    <w:rsid w:val="008E5284"/>
    <w:rsid w:val="008E533E"/>
    <w:rsid w:val="008E53C8"/>
    <w:rsid w:val="008E544D"/>
    <w:rsid w:val="008E56AF"/>
    <w:rsid w:val="008E572A"/>
    <w:rsid w:val="008E57FF"/>
    <w:rsid w:val="008E5920"/>
    <w:rsid w:val="008E597D"/>
    <w:rsid w:val="008E59D9"/>
    <w:rsid w:val="008E5B6E"/>
    <w:rsid w:val="008E5BAC"/>
    <w:rsid w:val="008E5C71"/>
    <w:rsid w:val="008E5CA8"/>
    <w:rsid w:val="008E5D2F"/>
    <w:rsid w:val="008E5DF9"/>
    <w:rsid w:val="008E5E9F"/>
    <w:rsid w:val="008E5EA2"/>
    <w:rsid w:val="008E5F4E"/>
    <w:rsid w:val="008E5F93"/>
    <w:rsid w:val="008E5FB4"/>
    <w:rsid w:val="008E5FD6"/>
    <w:rsid w:val="008E604C"/>
    <w:rsid w:val="008E6110"/>
    <w:rsid w:val="008E613F"/>
    <w:rsid w:val="008E6191"/>
    <w:rsid w:val="008E623C"/>
    <w:rsid w:val="008E6286"/>
    <w:rsid w:val="008E62AC"/>
    <w:rsid w:val="008E62BA"/>
    <w:rsid w:val="008E6385"/>
    <w:rsid w:val="008E64DB"/>
    <w:rsid w:val="008E6616"/>
    <w:rsid w:val="008E6676"/>
    <w:rsid w:val="008E6683"/>
    <w:rsid w:val="008E6689"/>
    <w:rsid w:val="008E66B6"/>
    <w:rsid w:val="008E6708"/>
    <w:rsid w:val="008E67BE"/>
    <w:rsid w:val="008E6819"/>
    <w:rsid w:val="008E6A58"/>
    <w:rsid w:val="008E6B69"/>
    <w:rsid w:val="008E6BF7"/>
    <w:rsid w:val="008E6CA0"/>
    <w:rsid w:val="008E6D64"/>
    <w:rsid w:val="008E6D9E"/>
    <w:rsid w:val="008E6E5B"/>
    <w:rsid w:val="008E6EA9"/>
    <w:rsid w:val="008E6EC2"/>
    <w:rsid w:val="008E7200"/>
    <w:rsid w:val="008E72B9"/>
    <w:rsid w:val="008E7353"/>
    <w:rsid w:val="008E73C4"/>
    <w:rsid w:val="008E76CE"/>
    <w:rsid w:val="008E7712"/>
    <w:rsid w:val="008E7713"/>
    <w:rsid w:val="008E773F"/>
    <w:rsid w:val="008E779A"/>
    <w:rsid w:val="008E77FD"/>
    <w:rsid w:val="008E7908"/>
    <w:rsid w:val="008E793D"/>
    <w:rsid w:val="008E79C7"/>
    <w:rsid w:val="008E7B22"/>
    <w:rsid w:val="008E7B7B"/>
    <w:rsid w:val="008E7C13"/>
    <w:rsid w:val="008E7C98"/>
    <w:rsid w:val="008E7E3E"/>
    <w:rsid w:val="008E7E92"/>
    <w:rsid w:val="008F0033"/>
    <w:rsid w:val="008F00D6"/>
    <w:rsid w:val="008F016C"/>
    <w:rsid w:val="008F024F"/>
    <w:rsid w:val="008F0316"/>
    <w:rsid w:val="008F03A9"/>
    <w:rsid w:val="008F0468"/>
    <w:rsid w:val="008F0498"/>
    <w:rsid w:val="008F051F"/>
    <w:rsid w:val="008F0616"/>
    <w:rsid w:val="008F06E1"/>
    <w:rsid w:val="008F072D"/>
    <w:rsid w:val="008F08EB"/>
    <w:rsid w:val="008F08FB"/>
    <w:rsid w:val="008F097D"/>
    <w:rsid w:val="008F09CA"/>
    <w:rsid w:val="008F09EB"/>
    <w:rsid w:val="008F0A83"/>
    <w:rsid w:val="008F0B1A"/>
    <w:rsid w:val="008F0B57"/>
    <w:rsid w:val="008F0B9F"/>
    <w:rsid w:val="008F0BBC"/>
    <w:rsid w:val="008F0BC6"/>
    <w:rsid w:val="008F0D2E"/>
    <w:rsid w:val="008F0E86"/>
    <w:rsid w:val="008F0E9D"/>
    <w:rsid w:val="008F0EA2"/>
    <w:rsid w:val="008F0EDA"/>
    <w:rsid w:val="008F0F9D"/>
    <w:rsid w:val="008F1095"/>
    <w:rsid w:val="008F11A6"/>
    <w:rsid w:val="008F1217"/>
    <w:rsid w:val="008F12AE"/>
    <w:rsid w:val="008F1320"/>
    <w:rsid w:val="008F1328"/>
    <w:rsid w:val="008F13C3"/>
    <w:rsid w:val="008F1472"/>
    <w:rsid w:val="008F14A4"/>
    <w:rsid w:val="008F150B"/>
    <w:rsid w:val="008F164B"/>
    <w:rsid w:val="008F1750"/>
    <w:rsid w:val="008F17AF"/>
    <w:rsid w:val="008F17FD"/>
    <w:rsid w:val="008F184F"/>
    <w:rsid w:val="008F185A"/>
    <w:rsid w:val="008F19A2"/>
    <w:rsid w:val="008F19FB"/>
    <w:rsid w:val="008F1A07"/>
    <w:rsid w:val="008F1A98"/>
    <w:rsid w:val="008F1AC4"/>
    <w:rsid w:val="008F1B26"/>
    <w:rsid w:val="008F1B9D"/>
    <w:rsid w:val="008F1BF0"/>
    <w:rsid w:val="008F1C29"/>
    <w:rsid w:val="008F1CEE"/>
    <w:rsid w:val="008F1D8B"/>
    <w:rsid w:val="008F1E81"/>
    <w:rsid w:val="008F1F48"/>
    <w:rsid w:val="008F1F96"/>
    <w:rsid w:val="008F1F9D"/>
    <w:rsid w:val="008F2099"/>
    <w:rsid w:val="008F20C8"/>
    <w:rsid w:val="008F2120"/>
    <w:rsid w:val="008F2154"/>
    <w:rsid w:val="008F2199"/>
    <w:rsid w:val="008F21E2"/>
    <w:rsid w:val="008F2339"/>
    <w:rsid w:val="008F2343"/>
    <w:rsid w:val="008F2361"/>
    <w:rsid w:val="008F239E"/>
    <w:rsid w:val="008F2401"/>
    <w:rsid w:val="008F2486"/>
    <w:rsid w:val="008F24E1"/>
    <w:rsid w:val="008F26F8"/>
    <w:rsid w:val="008F28CE"/>
    <w:rsid w:val="008F292D"/>
    <w:rsid w:val="008F29F6"/>
    <w:rsid w:val="008F2A11"/>
    <w:rsid w:val="008F2A1B"/>
    <w:rsid w:val="008F2A4D"/>
    <w:rsid w:val="008F2A4F"/>
    <w:rsid w:val="008F2B60"/>
    <w:rsid w:val="008F2D11"/>
    <w:rsid w:val="008F2D36"/>
    <w:rsid w:val="008F2DD2"/>
    <w:rsid w:val="008F2F01"/>
    <w:rsid w:val="008F2F4D"/>
    <w:rsid w:val="008F2F51"/>
    <w:rsid w:val="008F2FE2"/>
    <w:rsid w:val="008F2FF8"/>
    <w:rsid w:val="008F303D"/>
    <w:rsid w:val="008F3055"/>
    <w:rsid w:val="008F3153"/>
    <w:rsid w:val="008F31AE"/>
    <w:rsid w:val="008F3330"/>
    <w:rsid w:val="008F3478"/>
    <w:rsid w:val="008F34CD"/>
    <w:rsid w:val="008F34D4"/>
    <w:rsid w:val="008F34D8"/>
    <w:rsid w:val="008F35B8"/>
    <w:rsid w:val="008F35D8"/>
    <w:rsid w:val="008F363A"/>
    <w:rsid w:val="008F37E5"/>
    <w:rsid w:val="008F37E9"/>
    <w:rsid w:val="008F38C1"/>
    <w:rsid w:val="008F38EA"/>
    <w:rsid w:val="008F39CA"/>
    <w:rsid w:val="008F3A1F"/>
    <w:rsid w:val="008F3A39"/>
    <w:rsid w:val="008F3A3B"/>
    <w:rsid w:val="008F3A65"/>
    <w:rsid w:val="008F3B34"/>
    <w:rsid w:val="008F3DC4"/>
    <w:rsid w:val="008F3E6A"/>
    <w:rsid w:val="008F3ED5"/>
    <w:rsid w:val="008F3EEA"/>
    <w:rsid w:val="008F3FFE"/>
    <w:rsid w:val="008F4190"/>
    <w:rsid w:val="008F4233"/>
    <w:rsid w:val="008F428B"/>
    <w:rsid w:val="008F4301"/>
    <w:rsid w:val="008F44EA"/>
    <w:rsid w:val="008F4542"/>
    <w:rsid w:val="008F455D"/>
    <w:rsid w:val="008F460B"/>
    <w:rsid w:val="008F472D"/>
    <w:rsid w:val="008F491C"/>
    <w:rsid w:val="008F4994"/>
    <w:rsid w:val="008F49BA"/>
    <w:rsid w:val="008F4B79"/>
    <w:rsid w:val="008F4E82"/>
    <w:rsid w:val="008F505C"/>
    <w:rsid w:val="008F50F0"/>
    <w:rsid w:val="008F54E1"/>
    <w:rsid w:val="008F55AD"/>
    <w:rsid w:val="008F55CE"/>
    <w:rsid w:val="008F56EA"/>
    <w:rsid w:val="008F5733"/>
    <w:rsid w:val="008F5753"/>
    <w:rsid w:val="008F57E7"/>
    <w:rsid w:val="008F58D5"/>
    <w:rsid w:val="008F592A"/>
    <w:rsid w:val="008F5939"/>
    <w:rsid w:val="008F5950"/>
    <w:rsid w:val="008F5994"/>
    <w:rsid w:val="008F59D6"/>
    <w:rsid w:val="008F5A13"/>
    <w:rsid w:val="008F5B46"/>
    <w:rsid w:val="008F5E76"/>
    <w:rsid w:val="008F5EEA"/>
    <w:rsid w:val="008F60AA"/>
    <w:rsid w:val="008F60E9"/>
    <w:rsid w:val="008F61F6"/>
    <w:rsid w:val="008F632E"/>
    <w:rsid w:val="008F633B"/>
    <w:rsid w:val="008F641E"/>
    <w:rsid w:val="008F64C7"/>
    <w:rsid w:val="008F6530"/>
    <w:rsid w:val="008F65F2"/>
    <w:rsid w:val="008F663D"/>
    <w:rsid w:val="008F6721"/>
    <w:rsid w:val="008F680B"/>
    <w:rsid w:val="008F6964"/>
    <w:rsid w:val="008F69A2"/>
    <w:rsid w:val="008F69B8"/>
    <w:rsid w:val="008F6ABC"/>
    <w:rsid w:val="008F6B34"/>
    <w:rsid w:val="008F6B5C"/>
    <w:rsid w:val="008F6C51"/>
    <w:rsid w:val="008F6DCC"/>
    <w:rsid w:val="008F6EA0"/>
    <w:rsid w:val="008F6EB2"/>
    <w:rsid w:val="008F7145"/>
    <w:rsid w:val="008F71B2"/>
    <w:rsid w:val="008F73A1"/>
    <w:rsid w:val="008F73B4"/>
    <w:rsid w:val="008F7484"/>
    <w:rsid w:val="008F7505"/>
    <w:rsid w:val="008F75EE"/>
    <w:rsid w:val="008F7645"/>
    <w:rsid w:val="008F7743"/>
    <w:rsid w:val="008F777E"/>
    <w:rsid w:val="008F7818"/>
    <w:rsid w:val="008F7880"/>
    <w:rsid w:val="008F79CE"/>
    <w:rsid w:val="008F7B5B"/>
    <w:rsid w:val="008F7C56"/>
    <w:rsid w:val="008F7EA8"/>
    <w:rsid w:val="00900076"/>
    <w:rsid w:val="009000A5"/>
    <w:rsid w:val="009000F7"/>
    <w:rsid w:val="0090011A"/>
    <w:rsid w:val="00900145"/>
    <w:rsid w:val="009002C0"/>
    <w:rsid w:val="0090031A"/>
    <w:rsid w:val="00900393"/>
    <w:rsid w:val="009003AA"/>
    <w:rsid w:val="0090055B"/>
    <w:rsid w:val="0090058A"/>
    <w:rsid w:val="0090063A"/>
    <w:rsid w:val="009007D5"/>
    <w:rsid w:val="00900941"/>
    <w:rsid w:val="0090098D"/>
    <w:rsid w:val="009009D3"/>
    <w:rsid w:val="00900A50"/>
    <w:rsid w:val="00900BA9"/>
    <w:rsid w:val="00900BC3"/>
    <w:rsid w:val="00900C0E"/>
    <w:rsid w:val="00900D8B"/>
    <w:rsid w:val="00900DB3"/>
    <w:rsid w:val="00900DF4"/>
    <w:rsid w:val="00900E2B"/>
    <w:rsid w:val="00900EE3"/>
    <w:rsid w:val="00900EF6"/>
    <w:rsid w:val="00900F9C"/>
    <w:rsid w:val="00900FB1"/>
    <w:rsid w:val="0090102B"/>
    <w:rsid w:val="00901177"/>
    <w:rsid w:val="0090134E"/>
    <w:rsid w:val="009013F1"/>
    <w:rsid w:val="00901470"/>
    <w:rsid w:val="00901483"/>
    <w:rsid w:val="00901513"/>
    <w:rsid w:val="009015E4"/>
    <w:rsid w:val="00901829"/>
    <w:rsid w:val="00901987"/>
    <w:rsid w:val="00901A76"/>
    <w:rsid w:val="00901AA9"/>
    <w:rsid w:val="00901AB7"/>
    <w:rsid w:val="00901B07"/>
    <w:rsid w:val="00901BB5"/>
    <w:rsid w:val="00901D14"/>
    <w:rsid w:val="00901DCA"/>
    <w:rsid w:val="00901E6B"/>
    <w:rsid w:val="00901EDC"/>
    <w:rsid w:val="00901EFF"/>
    <w:rsid w:val="00901FEA"/>
    <w:rsid w:val="009020DC"/>
    <w:rsid w:val="009020F3"/>
    <w:rsid w:val="00902219"/>
    <w:rsid w:val="00902358"/>
    <w:rsid w:val="00902689"/>
    <w:rsid w:val="00902716"/>
    <w:rsid w:val="009027C3"/>
    <w:rsid w:val="00902818"/>
    <w:rsid w:val="0090294F"/>
    <w:rsid w:val="00902A7E"/>
    <w:rsid w:val="00902B32"/>
    <w:rsid w:val="00902D07"/>
    <w:rsid w:val="00902D83"/>
    <w:rsid w:val="00902DA9"/>
    <w:rsid w:val="00902DC4"/>
    <w:rsid w:val="00902E33"/>
    <w:rsid w:val="00902EAD"/>
    <w:rsid w:val="00902F3A"/>
    <w:rsid w:val="0090300B"/>
    <w:rsid w:val="00903280"/>
    <w:rsid w:val="009033E9"/>
    <w:rsid w:val="009033FF"/>
    <w:rsid w:val="00903521"/>
    <w:rsid w:val="0090355D"/>
    <w:rsid w:val="009035BB"/>
    <w:rsid w:val="00903719"/>
    <w:rsid w:val="0090373A"/>
    <w:rsid w:val="00903765"/>
    <w:rsid w:val="00903768"/>
    <w:rsid w:val="009037F7"/>
    <w:rsid w:val="00903C36"/>
    <w:rsid w:val="00903D64"/>
    <w:rsid w:val="00903D86"/>
    <w:rsid w:val="00903DB4"/>
    <w:rsid w:val="00903E1B"/>
    <w:rsid w:val="0090403D"/>
    <w:rsid w:val="0090408D"/>
    <w:rsid w:val="009040C4"/>
    <w:rsid w:val="00904107"/>
    <w:rsid w:val="00904158"/>
    <w:rsid w:val="00904187"/>
    <w:rsid w:val="0090422B"/>
    <w:rsid w:val="009042CE"/>
    <w:rsid w:val="0090460C"/>
    <w:rsid w:val="009046C9"/>
    <w:rsid w:val="00904798"/>
    <w:rsid w:val="009048B3"/>
    <w:rsid w:val="009048DC"/>
    <w:rsid w:val="0090495F"/>
    <w:rsid w:val="00904967"/>
    <w:rsid w:val="009049FC"/>
    <w:rsid w:val="00904B6B"/>
    <w:rsid w:val="00904FD7"/>
    <w:rsid w:val="0090502C"/>
    <w:rsid w:val="0090506B"/>
    <w:rsid w:val="00905121"/>
    <w:rsid w:val="0090514E"/>
    <w:rsid w:val="00905365"/>
    <w:rsid w:val="0090537D"/>
    <w:rsid w:val="00905432"/>
    <w:rsid w:val="0090547F"/>
    <w:rsid w:val="0090560D"/>
    <w:rsid w:val="009056AC"/>
    <w:rsid w:val="009056DE"/>
    <w:rsid w:val="00905739"/>
    <w:rsid w:val="00905847"/>
    <w:rsid w:val="00905892"/>
    <w:rsid w:val="00905947"/>
    <w:rsid w:val="009059A8"/>
    <w:rsid w:val="00905A45"/>
    <w:rsid w:val="00905AAB"/>
    <w:rsid w:val="00905C33"/>
    <w:rsid w:val="00905FFA"/>
    <w:rsid w:val="0090603F"/>
    <w:rsid w:val="009060BF"/>
    <w:rsid w:val="009060FB"/>
    <w:rsid w:val="0090618E"/>
    <w:rsid w:val="00906365"/>
    <w:rsid w:val="0090654A"/>
    <w:rsid w:val="00906565"/>
    <w:rsid w:val="0090687E"/>
    <w:rsid w:val="0090694C"/>
    <w:rsid w:val="00906A55"/>
    <w:rsid w:val="00906ADF"/>
    <w:rsid w:val="00906CF6"/>
    <w:rsid w:val="00906D1D"/>
    <w:rsid w:val="00906D25"/>
    <w:rsid w:val="00906DF6"/>
    <w:rsid w:val="00906E9E"/>
    <w:rsid w:val="00906EC3"/>
    <w:rsid w:val="00906EE9"/>
    <w:rsid w:val="00906FB1"/>
    <w:rsid w:val="00906FEB"/>
    <w:rsid w:val="009070EF"/>
    <w:rsid w:val="00907104"/>
    <w:rsid w:val="0090722B"/>
    <w:rsid w:val="009072FB"/>
    <w:rsid w:val="00907354"/>
    <w:rsid w:val="009073C8"/>
    <w:rsid w:val="0090744A"/>
    <w:rsid w:val="0090746F"/>
    <w:rsid w:val="00907480"/>
    <w:rsid w:val="00907520"/>
    <w:rsid w:val="009075AD"/>
    <w:rsid w:val="00907636"/>
    <w:rsid w:val="00907725"/>
    <w:rsid w:val="00907773"/>
    <w:rsid w:val="009077DC"/>
    <w:rsid w:val="0090782D"/>
    <w:rsid w:val="00907856"/>
    <w:rsid w:val="00907897"/>
    <w:rsid w:val="0090792F"/>
    <w:rsid w:val="009079B2"/>
    <w:rsid w:val="00907A0F"/>
    <w:rsid w:val="00907A94"/>
    <w:rsid w:val="00907AE9"/>
    <w:rsid w:val="00907BB6"/>
    <w:rsid w:val="00907C97"/>
    <w:rsid w:val="00907D91"/>
    <w:rsid w:val="00907DC1"/>
    <w:rsid w:val="00907EBB"/>
    <w:rsid w:val="00907F2C"/>
    <w:rsid w:val="00910596"/>
    <w:rsid w:val="009105D3"/>
    <w:rsid w:val="009105D9"/>
    <w:rsid w:val="00910675"/>
    <w:rsid w:val="009106A5"/>
    <w:rsid w:val="009108E9"/>
    <w:rsid w:val="009109D9"/>
    <w:rsid w:val="00910CA8"/>
    <w:rsid w:val="00910D41"/>
    <w:rsid w:val="00910D5C"/>
    <w:rsid w:val="00910E81"/>
    <w:rsid w:val="00910EAB"/>
    <w:rsid w:val="0091110A"/>
    <w:rsid w:val="0091118F"/>
    <w:rsid w:val="009111F0"/>
    <w:rsid w:val="00911229"/>
    <w:rsid w:val="009112F4"/>
    <w:rsid w:val="0091140E"/>
    <w:rsid w:val="0091142B"/>
    <w:rsid w:val="0091143A"/>
    <w:rsid w:val="00911580"/>
    <w:rsid w:val="009115C6"/>
    <w:rsid w:val="00911798"/>
    <w:rsid w:val="009117A3"/>
    <w:rsid w:val="009118CE"/>
    <w:rsid w:val="0091197A"/>
    <w:rsid w:val="009119DA"/>
    <w:rsid w:val="00911A16"/>
    <w:rsid w:val="00911A4E"/>
    <w:rsid w:val="00911AB2"/>
    <w:rsid w:val="00911AC6"/>
    <w:rsid w:val="00911AF4"/>
    <w:rsid w:val="00911BA0"/>
    <w:rsid w:val="00911CD0"/>
    <w:rsid w:val="00911D17"/>
    <w:rsid w:val="00911D35"/>
    <w:rsid w:val="00911E72"/>
    <w:rsid w:val="0091200F"/>
    <w:rsid w:val="009120DF"/>
    <w:rsid w:val="0091218A"/>
    <w:rsid w:val="009121F0"/>
    <w:rsid w:val="009122AE"/>
    <w:rsid w:val="009122C2"/>
    <w:rsid w:val="009123F0"/>
    <w:rsid w:val="009124D6"/>
    <w:rsid w:val="009125DB"/>
    <w:rsid w:val="009125E3"/>
    <w:rsid w:val="009126A0"/>
    <w:rsid w:val="0091275E"/>
    <w:rsid w:val="0091293D"/>
    <w:rsid w:val="00912940"/>
    <w:rsid w:val="0091295C"/>
    <w:rsid w:val="00912C64"/>
    <w:rsid w:val="00912CB5"/>
    <w:rsid w:val="00912CF7"/>
    <w:rsid w:val="00912DE8"/>
    <w:rsid w:val="00912E41"/>
    <w:rsid w:val="00912FC4"/>
    <w:rsid w:val="00912FCD"/>
    <w:rsid w:val="009130BD"/>
    <w:rsid w:val="0091313B"/>
    <w:rsid w:val="0091318F"/>
    <w:rsid w:val="00913266"/>
    <w:rsid w:val="009132A8"/>
    <w:rsid w:val="0091331B"/>
    <w:rsid w:val="00913366"/>
    <w:rsid w:val="0091369F"/>
    <w:rsid w:val="009139A8"/>
    <w:rsid w:val="00913B40"/>
    <w:rsid w:val="00913C43"/>
    <w:rsid w:val="00913CDA"/>
    <w:rsid w:val="00913D0D"/>
    <w:rsid w:val="00913E9C"/>
    <w:rsid w:val="00913EB5"/>
    <w:rsid w:val="00913F1D"/>
    <w:rsid w:val="00913F7E"/>
    <w:rsid w:val="00913FC0"/>
    <w:rsid w:val="0091435A"/>
    <w:rsid w:val="009143FE"/>
    <w:rsid w:val="0091440C"/>
    <w:rsid w:val="0091447B"/>
    <w:rsid w:val="009144DF"/>
    <w:rsid w:val="00914560"/>
    <w:rsid w:val="0091457E"/>
    <w:rsid w:val="009145C1"/>
    <w:rsid w:val="00914652"/>
    <w:rsid w:val="00914956"/>
    <w:rsid w:val="009149BB"/>
    <w:rsid w:val="00914ABD"/>
    <w:rsid w:val="00914ADB"/>
    <w:rsid w:val="00914B7E"/>
    <w:rsid w:val="00914CB9"/>
    <w:rsid w:val="00914F38"/>
    <w:rsid w:val="00914FBD"/>
    <w:rsid w:val="009150FD"/>
    <w:rsid w:val="009152B0"/>
    <w:rsid w:val="009152ED"/>
    <w:rsid w:val="0091535C"/>
    <w:rsid w:val="00915550"/>
    <w:rsid w:val="009155A0"/>
    <w:rsid w:val="009155B6"/>
    <w:rsid w:val="0091565F"/>
    <w:rsid w:val="00915747"/>
    <w:rsid w:val="0091578C"/>
    <w:rsid w:val="00915848"/>
    <w:rsid w:val="0091599A"/>
    <w:rsid w:val="009159F9"/>
    <w:rsid w:val="00915A10"/>
    <w:rsid w:val="00915A2B"/>
    <w:rsid w:val="00915A56"/>
    <w:rsid w:val="00915A8C"/>
    <w:rsid w:val="00915A93"/>
    <w:rsid w:val="00915AB8"/>
    <w:rsid w:val="00915B47"/>
    <w:rsid w:val="00915B8E"/>
    <w:rsid w:val="00915B90"/>
    <w:rsid w:val="00915C07"/>
    <w:rsid w:val="00915CB7"/>
    <w:rsid w:val="00915D0F"/>
    <w:rsid w:val="00915D1B"/>
    <w:rsid w:val="00915D69"/>
    <w:rsid w:val="00915DBB"/>
    <w:rsid w:val="00915DDD"/>
    <w:rsid w:val="00915E3D"/>
    <w:rsid w:val="00915EBF"/>
    <w:rsid w:val="00915EE8"/>
    <w:rsid w:val="00915EFD"/>
    <w:rsid w:val="00915FFA"/>
    <w:rsid w:val="0091618C"/>
    <w:rsid w:val="0091618D"/>
    <w:rsid w:val="00916209"/>
    <w:rsid w:val="0091622E"/>
    <w:rsid w:val="00916468"/>
    <w:rsid w:val="009165C4"/>
    <w:rsid w:val="009165E2"/>
    <w:rsid w:val="009165F0"/>
    <w:rsid w:val="0091695F"/>
    <w:rsid w:val="009169E8"/>
    <w:rsid w:val="00916A96"/>
    <w:rsid w:val="00916B70"/>
    <w:rsid w:val="00916BCA"/>
    <w:rsid w:val="00916CD1"/>
    <w:rsid w:val="00916D4B"/>
    <w:rsid w:val="00916D6C"/>
    <w:rsid w:val="00916E6E"/>
    <w:rsid w:val="00916E88"/>
    <w:rsid w:val="0091700F"/>
    <w:rsid w:val="009170BB"/>
    <w:rsid w:val="00917105"/>
    <w:rsid w:val="009171C7"/>
    <w:rsid w:val="009172AB"/>
    <w:rsid w:val="00917394"/>
    <w:rsid w:val="00917641"/>
    <w:rsid w:val="00917693"/>
    <w:rsid w:val="00917760"/>
    <w:rsid w:val="00917769"/>
    <w:rsid w:val="0091798A"/>
    <w:rsid w:val="00917A26"/>
    <w:rsid w:val="00917A59"/>
    <w:rsid w:val="00917A99"/>
    <w:rsid w:val="00917B7C"/>
    <w:rsid w:val="00917BD6"/>
    <w:rsid w:val="00917C30"/>
    <w:rsid w:val="00917CF1"/>
    <w:rsid w:val="00917DAB"/>
    <w:rsid w:val="00917DB8"/>
    <w:rsid w:val="00917E83"/>
    <w:rsid w:val="00917F42"/>
    <w:rsid w:val="00917F6A"/>
    <w:rsid w:val="00917FED"/>
    <w:rsid w:val="00920003"/>
    <w:rsid w:val="00920078"/>
    <w:rsid w:val="0092007B"/>
    <w:rsid w:val="0092013F"/>
    <w:rsid w:val="009201E8"/>
    <w:rsid w:val="00920238"/>
    <w:rsid w:val="009202BB"/>
    <w:rsid w:val="009203FA"/>
    <w:rsid w:val="009204E4"/>
    <w:rsid w:val="00920597"/>
    <w:rsid w:val="009205B8"/>
    <w:rsid w:val="00920778"/>
    <w:rsid w:val="00920883"/>
    <w:rsid w:val="0092089A"/>
    <w:rsid w:val="00920A8B"/>
    <w:rsid w:val="00920B13"/>
    <w:rsid w:val="00920B85"/>
    <w:rsid w:val="00920B8B"/>
    <w:rsid w:val="00920C73"/>
    <w:rsid w:val="00920C8B"/>
    <w:rsid w:val="00920C97"/>
    <w:rsid w:val="00920E0F"/>
    <w:rsid w:val="00920E29"/>
    <w:rsid w:val="00920EB6"/>
    <w:rsid w:val="00920EC4"/>
    <w:rsid w:val="00920F66"/>
    <w:rsid w:val="00920FDE"/>
    <w:rsid w:val="00920FEB"/>
    <w:rsid w:val="009210D5"/>
    <w:rsid w:val="009211E8"/>
    <w:rsid w:val="009211F1"/>
    <w:rsid w:val="009214AF"/>
    <w:rsid w:val="00921568"/>
    <w:rsid w:val="009215D9"/>
    <w:rsid w:val="0092172C"/>
    <w:rsid w:val="0092173C"/>
    <w:rsid w:val="009217EE"/>
    <w:rsid w:val="009218AC"/>
    <w:rsid w:val="00921A3A"/>
    <w:rsid w:val="00921A87"/>
    <w:rsid w:val="00921AA0"/>
    <w:rsid w:val="00921B7F"/>
    <w:rsid w:val="00921C1C"/>
    <w:rsid w:val="00921C56"/>
    <w:rsid w:val="00921C5E"/>
    <w:rsid w:val="00921C79"/>
    <w:rsid w:val="00921C9E"/>
    <w:rsid w:val="00921CE4"/>
    <w:rsid w:val="00921D13"/>
    <w:rsid w:val="0092200E"/>
    <w:rsid w:val="009220CC"/>
    <w:rsid w:val="009221F0"/>
    <w:rsid w:val="00922248"/>
    <w:rsid w:val="009225A4"/>
    <w:rsid w:val="009225FB"/>
    <w:rsid w:val="00922785"/>
    <w:rsid w:val="00922801"/>
    <w:rsid w:val="009228A2"/>
    <w:rsid w:val="009228C2"/>
    <w:rsid w:val="009229A9"/>
    <w:rsid w:val="00922BB0"/>
    <w:rsid w:val="00922BD5"/>
    <w:rsid w:val="00922C2F"/>
    <w:rsid w:val="00922C41"/>
    <w:rsid w:val="00922DA7"/>
    <w:rsid w:val="00922E1C"/>
    <w:rsid w:val="00922F35"/>
    <w:rsid w:val="009231C1"/>
    <w:rsid w:val="00923203"/>
    <w:rsid w:val="009232B0"/>
    <w:rsid w:val="009232EC"/>
    <w:rsid w:val="00923332"/>
    <w:rsid w:val="00923354"/>
    <w:rsid w:val="00923402"/>
    <w:rsid w:val="009234D3"/>
    <w:rsid w:val="009236B2"/>
    <w:rsid w:val="009236BD"/>
    <w:rsid w:val="00923709"/>
    <w:rsid w:val="0092378D"/>
    <w:rsid w:val="00923828"/>
    <w:rsid w:val="0092384D"/>
    <w:rsid w:val="00923AAA"/>
    <w:rsid w:val="00923D1E"/>
    <w:rsid w:val="00923E27"/>
    <w:rsid w:val="00923E41"/>
    <w:rsid w:val="00923E88"/>
    <w:rsid w:val="00923EE8"/>
    <w:rsid w:val="00923F4E"/>
    <w:rsid w:val="009240A8"/>
    <w:rsid w:val="009241E6"/>
    <w:rsid w:val="009242B2"/>
    <w:rsid w:val="009243AA"/>
    <w:rsid w:val="0092446F"/>
    <w:rsid w:val="009245DB"/>
    <w:rsid w:val="009246DB"/>
    <w:rsid w:val="0092475C"/>
    <w:rsid w:val="009247E8"/>
    <w:rsid w:val="0092480C"/>
    <w:rsid w:val="0092480D"/>
    <w:rsid w:val="009248FC"/>
    <w:rsid w:val="00924A57"/>
    <w:rsid w:val="00924ACA"/>
    <w:rsid w:val="00924C27"/>
    <w:rsid w:val="00924CBC"/>
    <w:rsid w:val="00924D65"/>
    <w:rsid w:val="00924D92"/>
    <w:rsid w:val="00924DE0"/>
    <w:rsid w:val="00924E2C"/>
    <w:rsid w:val="00924F61"/>
    <w:rsid w:val="00924F6F"/>
    <w:rsid w:val="0092505F"/>
    <w:rsid w:val="0092506A"/>
    <w:rsid w:val="00925138"/>
    <w:rsid w:val="0092540B"/>
    <w:rsid w:val="0092541A"/>
    <w:rsid w:val="0092543C"/>
    <w:rsid w:val="0092550A"/>
    <w:rsid w:val="0092552B"/>
    <w:rsid w:val="00925670"/>
    <w:rsid w:val="009256B3"/>
    <w:rsid w:val="009257DB"/>
    <w:rsid w:val="00925844"/>
    <w:rsid w:val="00925915"/>
    <w:rsid w:val="00925916"/>
    <w:rsid w:val="00925AF0"/>
    <w:rsid w:val="00925C5C"/>
    <w:rsid w:val="00925E0C"/>
    <w:rsid w:val="00925F1E"/>
    <w:rsid w:val="009260A3"/>
    <w:rsid w:val="00926257"/>
    <w:rsid w:val="009262AD"/>
    <w:rsid w:val="00926318"/>
    <w:rsid w:val="0092634E"/>
    <w:rsid w:val="009263BC"/>
    <w:rsid w:val="00926443"/>
    <w:rsid w:val="009265B4"/>
    <w:rsid w:val="009265C5"/>
    <w:rsid w:val="009265DF"/>
    <w:rsid w:val="00926642"/>
    <w:rsid w:val="009267F8"/>
    <w:rsid w:val="0092689A"/>
    <w:rsid w:val="00926994"/>
    <w:rsid w:val="00926D1B"/>
    <w:rsid w:val="00926D2B"/>
    <w:rsid w:val="00926E34"/>
    <w:rsid w:val="00926F4A"/>
    <w:rsid w:val="00926F94"/>
    <w:rsid w:val="00927030"/>
    <w:rsid w:val="009270C5"/>
    <w:rsid w:val="0092724B"/>
    <w:rsid w:val="009272FE"/>
    <w:rsid w:val="0092735F"/>
    <w:rsid w:val="0092736B"/>
    <w:rsid w:val="009274DA"/>
    <w:rsid w:val="00927523"/>
    <w:rsid w:val="009277BB"/>
    <w:rsid w:val="0092781B"/>
    <w:rsid w:val="009278E1"/>
    <w:rsid w:val="009278EE"/>
    <w:rsid w:val="0092790A"/>
    <w:rsid w:val="0092792F"/>
    <w:rsid w:val="00927CC9"/>
    <w:rsid w:val="00927CEA"/>
    <w:rsid w:val="00927D15"/>
    <w:rsid w:val="00927D1D"/>
    <w:rsid w:val="00927EF9"/>
    <w:rsid w:val="00927F10"/>
    <w:rsid w:val="00927F5C"/>
    <w:rsid w:val="00930281"/>
    <w:rsid w:val="00930317"/>
    <w:rsid w:val="0093033A"/>
    <w:rsid w:val="00930426"/>
    <w:rsid w:val="009304DE"/>
    <w:rsid w:val="009306FE"/>
    <w:rsid w:val="009307CA"/>
    <w:rsid w:val="00930836"/>
    <w:rsid w:val="00930859"/>
    <w:rsid w:val="009308C8"/>
    <w:rsid w:val="009309EB"/>
    <w:rsid w:val="00930AD3"/>
    <w:rsid w:val="00930AF8"/>
    <w:rsid w:val="00930B7F"/>
    <w:rsid w:val="00930BFE"/>
    <w:rsid w:val="00930C01"/>
    <w:rsid w:val="00930D1E"/>
    <w:rsid w:val="00930D24"/>
    <w:rsid w:val="00930E39"/>
    <w:rsid w:val="00930E4D"/>
    <w:rsid w:val="00930E69"/>
    <w:rsid w:val="00930E91"/>
    <w:rsid w:val="00930ECD"/>
    <w:rsid w:val="00930ECE"/>
    <w:rsid w:val="00930EEA"/>
    <w:rsid w:val="00930F43"/>
    <w:rsid w:val="0093108D"/>
    <w:rsid w:val="00931122"/>
    <w:rsid w:val="009311E4"/>
    <w:rsid w:val="0093126D"/>
    <w:rsid w:val="00931331"/>
    <w:rsid w:val="0093133A"/>
    <w:rsid w:val="009313CB"/>
    <w:rsid w:val="0093143A"/>
    <w:rsid w:val="0093143B"/>
    <w:rsid w:val="0093145E"/>
    <w:rsid w:val="00931478"/>
    <w:rsid w:val="00931539"/>
    <w:rsid w:val="009315BD"/>
    <w:rsid w:val="0093160A"/>
    <w:rsid w:val="00931633"/>
    <w:rsid w:val="00931862"/>
    <w:rsid w:val="00931977"/>
    <w:rsid w:val="00931A0D"/>
    <w:rsid w:val="00931AC5"/>
    <w:rsid w:val="00931B15"/>
    <w:rsid w:val="00931B71"/>
    <w:rsid w:val="00931BEE"/>
    <w:rsid w:val="00931C36"/>
    <w:rsid w:val="00931CBE"/>
    <w:rsid w:val="00931D1A"/>
    <w:rsid w:val="00931D2C"/>
    <w:rsid w:val="00931DC0"/>
    <w:rsid w:val="00931E25"/>
    <w:rsid w:val="00931F4C"/>
    <w:rsid w:val="00932078"/>
    <w:rsid w:val="00932105"/>
    <w:rsid w:val="00932153"/>
    <w:rsid w:val="00932380"/>
    <w:rsid w:val="0093242F"/>
    <w:rsid w:val="009324DD"/>
    <w:rsid w:val="0093270E"/>
    <w:rsid w:val="00932719"/>
    <w:rsid w:val="00932885"/>
    <w:rsid w:val="0093288B"/>
    <w:rsid w:val="00932A3E"/>
    <w:rsid w:val="00932A62"/>
    <w:rsid w:val="00932C0F"/>
    <w:rsid w:val="00932CD0"/>
    <w:rsid w:val="00932D1E"/>
    <w:rsid w:val="00932D25"/>
    <w:rsid w:val="00932DC4"/>
    <w:rsid w:val="00932E61"/>
    <w:rsid w:val="00932FE7"/>
    <w:rsid w:val="00933164"/>
    <w:rsid w:val="00933379"/>
    <w:rsid w:val="009333DA"/>
    <w:rsid w:val="00933419"/>
    <w:rsid w:val="0093342C"/>
    <w:rsid w:val="00933464"/>
    <w:rsid w:val="00933475"/>
    <w:rsid w:val="00933616"/>
    <w:rsid w:val="0093372E"/>
    <w:rsid w:val="009337B3"/>
    <w:rsid w:val="0093385E"/>
    <w:rsid w:val="00933872"/>
    <w:rsid w:val="009338A6"/>
    <w:rsid w:val="00933970"/>
    <w:rsid w:val="009339F6"/>
    <w:rsid w:val="00933C40"/>
    <w:rsid w:val="00933D12"/>
    <w:rsid w:val="00933EDA"/>
    <w:rsid w:val="00933FE2"/>
    <w:rsid w:val="0093400C"/>
    <w:rsid w:val="009342BF"/>
    <w:rsid w:val="009342E4"/>
    <w:rsid w:val="0093445B"/>
    <w:rsid w:val="0093451C"/>
    <w:rsid w:val="009345AB"/>
    <w:rsid w:val="00934609"/>
    <w:rsid w:val="00934675"/>
    <w:rsid w:val="0093471C"/>
    <w:rsid w:val="009347BB"/>
    <w:rsid w:val="009349ED"/>
    <w:rsid w:val="00934A04"/>
    <w:rsid w:val="00934A29"/>
    <w:rsid w:val="00934AE9"/>
    <w:rsid w:val="00934B40"/>
    <w:rsid w:val="00934B8A"/>
    <w:rsid w:val="00934B92"/>
    <w:rsid w:val="00934BCB"/>
    <w:rsid w:val="00934D2D"/>
    <w:rsid w:val="00934D94"/>
    <w:rsid w:val="00934E3C"/>
    <w:rsid w:val="00934E72"/>
    <w:rsid w:val="00934EE4"/>
    <w:rsid w:val="00934F7F"/>
    <w:rsid w:val="00934F83"/>
    <w:rsid w:val="009350E7"/>
    <w:rsid w:val="00935155"/>
    <w:rsid w:val="00935173"/>
    <w:rsid w:val="00935198"/>
    <w:rsid w:val="00935225"/>
    <w:rsid w:val="009352AB"/>
    <w:rsid w:val="009352B2"/>
    <w:rsid w:val="009353F4"/>
    <w:rsid w:val="0093556D"/>
    <w:rsid w:val="009356BD"/>
    <w:rsid w:val="009357FF"/>
    <w:rsid w:val="0093596F"/>
    <w:rsid w:val="009359A3"/>
    <w:rsid w:val="009359AD"/>
    <w:rsid w:val="00935A86"/>
    <w:rsid w:val="00935B3E"/>
    <w:rsid w:val="00935CDA"/>
    <w:rsid w:val="00935CF3"/>
    <w:rsid w:val="00935D88"/>
    <w:rsid w:val="00935D99"/>
    <w:rsid w:val="00935E23"/>
    <w:rsid w:val="00935E3C"/>
    <w:rsid w:val="00935E97"/>
    <w:rsid w:val="00935F41"/>
    <w:rsid w:val="00935F49"/>
    <w:rsid w:val="00935FA2"/>
    <w:rsid w:val="00936038"/>
    <w:rsid w:val="009360A3"/>
    <w:rsid w:val="009361CB"/>
    <w:rsid w:val="009361D5"/>
    <w:rsid w:val="00936238"/>
    <w:rsid w:val="009363A7"/>
    <w:rsid w:val="009363F2"/>
    <w:rsid w:val="009364AF"/>
    <w:rsid w:val="009364B4"/>
    <w:rsid w:val="00936527"/>
    <w:rsid w:val="00936608"/>
    <w:rsid w:val="00936697"/>
    <w:rsid w:val="00936755"/>
    <w:rsid w:val="009367D3"/>
    <w:rsid w:val="0093693F"/>
    <w:rsid w:val="009369AF"/>
    <w:rsid w:val="009369B1"/>
    <w:rsid w:val="00936A9C"/>
    <w:rsid w:val="00936AF7"/>
    <w:rsid w:val="00936BFB"/>
    <w:rsid w:val="00936C68"/>
    <w:rsid w:val="00936CD7"/>
    <w:rsid w:val="00936DDD"/>
    <w:rsid w:val="00936E30"/>
    <w:rsid w:val="00936E77"/>
    <w:rsid w:val="00936ECE"/>
    <w:rsid w:val="00936FC4"/>
    <w:rsid w:val="00936FDB"/>
    <w:rsid w:val="0093723A"/>
    <w:rsid w:val="00937399"/>
    <w:rsid w:val="00937440"/>
    <w:rsid w:val="00937562"/>
    <w:rsid w:val="00937736"/>
    <w:rsid w:val="0093773C"/>
    <w:rsid w:val="00937896"/>
    <w:rsid w:val="009378D2"/>
    <w:rsid w:val="00937907"/>
    <w:rsid w:val="0093793C"/>
    <w:rsid w:val="009379EC"/>
    <w:rsid w:val="00937A58"/>
    <w:rsid w:val="00937AF3"/>
    <w:rsid w:val="00937B11"/>
    <w:rsid w:val="00937BB3"/>
    <w:rsid w:val="00937C94"/>
    <w:rsid w:val="00937CCE"/>
    <w:rsid w:val="00937D08"/>
    <w:rsid w:val="00937DA4"/>
    <w:rsid w:val="00937EA5"/>
    <w:rsid w:val="00937F3A"/>
    <w:rsid w:val="0094026F"/>
    <w:rsid w:val="00940365"/>
    <w:rsid w:val="00940477"/>
    <w:rsid w:val="009404AA"/>
    <w:rsid w:val="009404F4"/>
    <w:rsid w:val="00940575"/>
    <w:rsid w:val="009405C8"/>
    <w:rsid w:val="00940668"/>
    <w:rsid w:val="00940689"/>
    <w:rsid w:val="009406A2"/>
    <w:rsid w:val="009406C4"/>
    <w:rsid w:val="009407E7"/>
    <w:rsid w:val="00940988"/>
    <w:rsid w:val="009409D0"/>
    <w:rsid w:val="00940AE8"/>
    <w:rsid w:val="00940C19"/>
    <w:rsid w:val="00940DC4"/>
    <w:rsid w:val="00940E09"/>
    <w:rsid w:val="00940E50"/>
    <w:rsid w:val="00940EF4"/>
    <w:rsid w:val="009414A6"/>
    <w:rsid w:val="009414DA"/>
    <w:rsid w:val="00941558"/>
    <w:rsid w:val="009415F7"/>
    <w:rsid w:val="00941603"/>
    <w:rsid w:val="00941629"/>
    <w:rsid w:val="00941694"/>
    <w:rsid w:val="0094175D"/>
    <w:rsid w:val="009417C4"/>
    <w:rsid w:val="00941818"/>
    <w:rsid w:val="00941845"/>
    <w:rsid w:val="009418A6"/>
    <w:rsid w:val="009418BD"/>
    <w:rsid w:val="009419BB"/>
    <w:rsid w:val="00941A86"/>
    <w:rsid w:val="00941AE7"/>
    <w:rsid w:val="00941AF0"/>
    <w:rsid w:val="00941B2F"/>
    <w:rsid w:val="00941BE4"/>
    <w:rsid w:val="00941C87"/>
    <w:rsid w:val="00941CA6"/>
    <w:rsid w:val="00941CBA"/>
    <w:rsid w:val="00941CC2"/>
    <w:rsid w:val="00941CF3"/>
    <w:rsid w:val="00941D19"/>
    <w:rsid w:val="00941D54"/>
    <w:rsid w:val="00941E24"/>
    <w:rsid w:val="00941E7E"/>
    <w:rsid w:val="00941ED5"/>
    <w:rsid w:val="00941F2C"/>
    <w:rsid w:val="00941FD4"/>
    <w:rsid w:val="00941FD8"/>
    <w:rsid w:val="00941FDB"/>
    <w:rsid w:val="00942013"/>
    <w:rsid w:val="0094210A"/>
    <w:rsid w:val="009421A0"/>
    <w:rsid w:val="009421C8"/>
    <w:rsid w:val="0094222B"/>
    <w:rsid w:val="009423E1"/>
    <w:rsid w:val="0094248B"/>
    <w:rsid w:val="009425D1"/>
    <w:rsid w:val="0094268E"/>
    <w:rsid w:val="00942705"/>
    <w:rsid w:val="00942740"/>
    <w:rsid w:val="0094283A"/>
    <w:rsid w:val="00942984"/>
    <w:rsid w:val="0094298C"/>
    <w:rsid w:val="009429A7"/>
    <w:rsid w:val="009429EF"/>
    <w:rsid w:val="009429F0"/>
    <w:rsid w:val="00942A33"/>
    <w:rsid w:val="00942A63"/>
    <w:rsid w:val="00942ABC"/>
    <w:rsid w:val="00942B9D"/>
    <w:rsid w:val="00942E3C"/>
    <w:rsid w:val="00942EB1"/>
    <w:rsid w:val="00942F8C"/>
    <w:rsid w:val="00943001"/>
    <w:rsid w:val="00943067"/>
    <w:rsid w:val="00943352"/>
    <w:rsid w:val="009433F1"/>
    <w:rsid w:val="0094343A"/>
    <w:rsid w:val="009436C8"/>
    <w:rsid w:val="0094381E"/>
    <w:rsid w:val="00943826"/>
    <w:rsid w:val="0094383D"/>
    <w:rsid w:val="0094385E"/>
    <w:rsid w:val="00943881"/>
    <w:rsid w:val="009438CD"/>
    <w:rsid w:val="00943AEB"/>
    <w:rsid w:val="00943CE4"/>
    <w:rsid w:val="00943DF1"/>
    <w:rsid w:val="0094402F"/>
    <w:rsid w:val="009440CF"/>
    <w:rsid w:val="00944185"/>
    <w:rsid w:val="009441B8"/>
    <w:rsid w:val="009442A3"/>
    <w:rsid w:val="009442EF"/>
    <w:rsid w:val="009443E3"/>
    <w:rsid w:val="00944426"/>
    <w:rsid w:val="00944467"/>
    <w:rsid w:val="009444B8"/>
    <w:rsid w:val="0094452F"/>
    <w:rsid w:val="00944753"/>
    <w:rsid w:val="00944A40"/>
    <w:rsid w:val="00944B20"/>
    <w:rsid w:val="00944B52"/>
    <w:rsid w:val="00944C8B"/>
    <w:rsid w:val="00944D63"/>
    <w:rsid w:val="00944DE5"/>
    <w:rsid w:val="00944E71"/>
    <w:rsid w:val="00944F41"/>
    <w:rsid w:val="00944FFF"/>
    <w:rsid w:val="00945005"/>
    <w:rsid w:val="00945008"/>
    <w:rsid w:val="00945015"/>
    <w:rsid w:val="00945050"/>
    <w:rsid w:val="00945075"/>
    <w:rsid w:val="00945246"/>
    <w:rsid w:val="009453A2"/>
    <w:rsid w:val="009453B0"/>
    <w:rsid w:val="009454AE"/>
    <w:rsid w:val="009456AA"/>
    <w:rsid w:val="009456E8"/>
    <w:rsid w:val="0094570D"/>
    <w:rsid w:val="00945735"/>
    <w:rsid w:val="00945781"/>
    <w:rsid w:val="009457A0"/>
    <w:rsid w:val="009457D1"/>
    <w:rsid w:val="00945878"/>
    <w:rsid w:val="00945ADA"/>
    <w:rsid w:val="00945B1F"/>
    <w:rsid w:val="00945B64"/>
    <w:rsid w:val="00945D35"/>
    <w:rsid w:val="00945DEC"/>
    <w:rsid w:val="00945E35"/>
    <w:rsid w:val="00945EFA"/>
    <w:rsid w:val="00946377"/>
    <w:rsid w:val="00946472"/>
    <w:rsid w:val="0094667E"/>
    <w:rsid w:val="009466B9"/>
    <w:rsid w:val="00946804"/>
    <w:rsid w:val="00946850"/>
    <w:rsid w:val="009469C4"/>
    <w:rsid w:val="00946BA0"/>
    <w:rsid w:val="00946D8F"/>
    <w:rsid w:val="00946DA2"/>
    <w:rsid w:val="00946EE4"/>
    <w:rsid w:val="00946EF9"/>
    <w:rsid w:val="00946FC6"/>
    <w:rsid w:val="00947090"/>
    <w:rsid w:val="009470B7"/>
    <w:rsid w:val="009471AB"/>
    <w:rsid w:val="0094741D"/>
    <w:rsid w:val="0094774F"/>
    <w:rsid w:val="009478AA"/>
    <w:rsid w:val="009478B9"/>
    <w:rsid w:val="00947937"/>
    <w:rsid w:val="00947988"/>
    <w:rsid w:val="009479B6"/>
    <w:rsid w:val="009479D3"/>
    <w:rsid w:val="00947A6E"/>
    <w:rsid w:val="00947ABF"/>
    <w:rsid w:val="00947B1D"/>
    <w:rsid w:val="00947CA4"/>
    <w:rsid w:val="00947CCA"/>
    <w:rsid w:val="00947CD6"/>
    <w:rsid w:val="00947E1B"/>
    <w:rsid w:val="00947EC1"/>
    <w:rsid w:val="00947F18"/>
    <w:rsid w:val="009500CC"/>
    <w:rsid w:val="009500E7"/>
    <w:rsid w:val="0095013C"/>
    <w:rsid w:val="009501E1"/>
    <w:rsid w:val="00950214"/>
    <w:rsid w:val="00950316"/>
    <w:rsid w:val="0095032D"/>
    <w:rsid w:val="00950382"/>
    <w:rsid w:val="009503A7"/>
    <w:rsid w:val="0095052F"/>
    <w:rsid w:val="00950632"/>
    <w:rsid w:val="00950677"/>
    <w:rsid w:val="00950752"/>
    <w:rsid w:val="00950795"/>
    <w:rsid w:val="009508D7"/>
    <w:rsid w:val="00950A45"/>
    <w:rsid w:val="00950A46"/>
    <w:rsid w:val="00950B10"/>
    <w:rsid w:val="00950BEC"/>
    <w:rsid w:val="00950C11"/>
    <w:rsid w:val="00950CEF"/>
    <w:rsid w:val="00950DDE"/>
    <w:rsid w:val="00950E7D"/>
    <w:rsid w:val="00950EAB"/>
    <w:rsid w:val="00950EFD"/>
    <w:rsid w:val="00951030"/>
    <w:rsid w:val="00951076"/>
    <w:rsid w:val="00951087"/>
    <w:rsid w:val="009511E2"/>
    <w:rsid w:val="00951449"/>
    <w:rsid w:val="009514B3"/>
    <w:rsid w:val="0095154B"/>
    <w:rsid w:val="00951585"/>
    <w:rsid w:val="00951599"/>
    <w:rsid w:val="00951676"/>
    <w:rsid w:val="00951694"/>
    <w:rsid w:val="009516B1"/>
    <w:rsid w:val="009517BC"/>
    <w:rsid w:val="009517CE"/>
    <w:rsid w:val="009519E1"/>
    <w:rsid w:val="00951A78"/>
    <w:rsid w:val="00951BE4"/>
    <w:rsid w:val="00951EB2"/>
    <w:rsid w:val="00951FC9"/>
    <w:rsid w:val="00952041"/>
    <w:rsid w:val="0095216B"/>
    <w:rsid w:val="009521AC"/>
    <w:rsid w:val="009522C9"/>
    <w:rsid w:val="009522CD"/>
    <w:rsid w:val="0095237F"/>
    <w:rsid w:val="009523B5"/>
    <w:rsid w:val="00952438"/>
    <w:rsid w:val="0095243B"/>
    <w:rsid w:val="0095245E"/>
    <w:rsid w:val="00952512"/>
    <w:rsid w:val="0095256A"/>
    <w:rsid w:val="00952811"/>
    <w:rsid w:val="0095288C"/>
    <w:rsid w:val="009528E1"/>
    <w:rsid w:val="0095292A"/>
    <w:rsid w:val="0095294A"/>
    <w:rsid w:val="0095295A"/>
    <w:rsid w:val="00952967"/>
    <w:rsid w:val="00952A9F"/>
    <w:rsid w:val="00952AA5"/>
    <w:rsid w:val="00952ABE"/>
    <w:rsid w:val="00952ADC"/>
    <w:rsid w:val="00952C8D"/>
    <w:rsid w:val="00952C99"/>
    <w:rsid w:val="00952D4D"/>
    <w:rsid w:val="00952DC5"/>
    <w:rsid w:val="00952F9F"/>
    <w:rsid w:val="00952FD8"/>
    <w:rsid w:val="00952FE7"/>
    <w:rsid w:val="00953097"/>
    <w:rsid w:val="009531CE"/>
    <w:rsid w:val="00953219"/>
    <w:rsid w:val="00953232"/>
    <w:rsid w:val="009533BE"/>
    <w:rsid w:val="00953541"/>
    <w:rsid w:val="0095354F"/>
    <w:rsid w:val="00953579"/>
    <w:rsid w:val="00953769"/>
    <w:rsid w:val="009538F2"/>
    <w:rsid w:val="0095392A"/>
    <w:rsid w:val="00953A4C"/>
    <w:rsid w:val="00953B14"/>
    <w:rsid w:val="00953CD8"/>
    <w:rsid w:val="00953D9B"/>
    <w:rsid w:val="00953E40"/>
    <w:rsid w:val="00953E48"/>
    <w:rsid w:val="00954018"/>
    <w:rsid w:val="0095402B"/>
    <w:rsid w:val="00954071"/>
    <w:rsid w:val="009540F7"/>
    <w:rsid w:val="009542B7"/>
    <w:rsid w:val="0095435B"/>
    <w:rsid w:val="00954379"/>
    <w:rsid w:val="0095466F"/>
    <w:rsid w:val="009547CA"/>
    <w:rsid w:val="00954836"/>
    <w:rsid w:val="00954A73"/>
    <w:rsid w:val="00954A7C"/>
    <w:rsid w:val="00954A9E"/>
    <w:rsid w:val="00954C53"/>
    <w:rsid w:val="00954C6D"/>
    <w:rsid w:val="00954CBC"/>
    <w:rsid w:val="00954D32"/>
    <w:rsid w:val="00954E25"/>
    <w:rsid w:val="00954E50"/>
    <w:rsid w:val="00954F5F"/>
    <w:rsid w:val="0095501E"/>
    <w:rsid w:val="0095505A"/>
    <w:rsid w:val="00955098"/>
    <w:rsid w:val="009551B6"/>
    <w:rsid w:val="00955244"/>
    <w:rsid w:val="00955272"/>
    <w:rsid w:val="009552AD"/>
    <w:rsid w:val="00955313"/>
    <w:rsid w:val="00955420"/>
    <w:rsid w:val="0095542B"/>
    <w:rsid w:val="00955467"/>
    <w:rsid w:val="0095546E"/>
    <w:rsid w:val="00955532"/>
    <w:rsid w:val="00955587"/>
    <w:rsid w:val="0095560D"/>
    <w:rsid w:val="00955680"/>
    <w:rsid w:val="009557B9"/>
    <w:rsid w:val="009557D6"/>
    <w:rsid w:val="00955821"/>
    <w:rsid w:val="0095588E"/>
    <w:rsid w:val="0095591C"/>
    <w:rsid w:val="0095599F"/>
    <w:rsid w:val="00955BF2"/>
    <w:rsid w:val="00955CC5"/>
    <w:rsid w:val="00955E45"/>
    <w:rsid w:val="00955EA2"/>
    <w:rsid w:val="00955EF6"/>
    <w:rsid w:val="00955FBB"/>
    <w:rsid w:val="00956066"/>
    <w:rsid w:val="00956075"/>
    <w:rsid w:val="009560F9"/>
    <w:rsid w:val="00956163"/>
    <w:rsid w:val="009561F1"/>
    <w:rsid w:val="00956284"/>
    <w:rsid w:val="00956292"/>
    <w:rsid w:val="009562F2"/>
    <w:rsid w:val="009563BD"/>
    <w:rsid w:val="00956500"/>
    <w:rsid w:val="00956650"/>
    <w:rsid w:val="00956696"/>
    <w:rsid w:val="009566E5"/>
    <w:rsid w:val="0095670B"/>
    <w:rsid w:val="0095675C"/>
    <w:rsid w:val="00956937"/>
    <w:rsid w:val="0095696B"/>
    <w:rsid w:val="0095697F"/>
    <w:rsid w:val="00956A41"/>
    <w:rsid w:val="00956ACC"/>
    <w:rsid w:val="00956CC5"/>
    <w:rsid w:val="00956CFC"/>
    <w:rsid w:val="00956EFE"/>
    <w:rsid w:val="00956F0F"/>
    <w:rsid w:val="00957099"/>
    <w:rsid w:val="00957141"/>
    <w:rsid w:val="00957143"/>
    <w:rsid w:val="00957382"/>
    <w:rsid w:val="00957515"/>
    <w:rsid w:val="00957840"/>
    <w:rsid w:val="009578AF"/>
    <w:rsid w:val="00957BAC"/>
    <w:rsid w:val="00957C12"/>
    <w:rsid w:val="00957C97"/>
    <w:rsid w:val="00957E21"/>
    <w:rsid w:val="00957E7B"/>
    <w:rsid w:val="009600CB"/>
    <w:rsid w:val="009601B3"/>
    <w:rsid w:val="00960266"/>
    <w:rsid w:val="00960360"/>
    <w:rsid w:val="00960448"/>
    <w:rsid w:val="009605C6"/>
    <w:rsid w:val="0096071C"/>
    <w:rsid w:val="00960823"/>
    <w:rsid w:val="00960884"/>
    <w:rsid w:val="0096091E"/>
    <w:rsid w:val="00960A06"/>
    <w:rsid w:val="00960AEB"/>
    <w:rsid w:val="00960EE6"/>
    <w:rsid w:val="00961206"/>
    <w:rsid w:val="00961328"/>
    <w:rsid w:val="009613DF"/>
    <w:rsid w:val="00961460"/>
    <w:rsid w:val="00961486"/>
    <w:rsid w:val="009614EF"/>
    <w:rsid w:val="00961598"/>
    <w:rsid w:val="009615A9"/>
    <w:rsid w:val="00961617"/>
    <w:rsid w:val="0096161C"/>
    <w:rsid w:val="00961646"/>
    <w:rsid w:val="0096164C"/>
    <w:rsid w:val="009616CD"/>
    <w:rsid w:val="00961700"/>
    <w:rsid w:val="0096171A"/>
    <w:rsid w:val="00961756"/>
    <w:rsid w:val="009617C0"/>
    <w:rsid w:val="009618CD"/>
    <w:rsid w:val="00961A36"/>
    <w:rsid w:val="00961A67"/>
    <w:rsid w:val="00961B9D"/>
    <w:rsid w:val="00961D21"/>
    <w:rsid w:val="00962061"/>
    <w:rsid w:val="009620AE"/>
    <w:rsid w:val="00962433"/>
    <w:rsid w:val="00962475"/>
    <w:rsid w:val="0096251C"/>
    <w:rsid w:val="00962620"/>
    <w:rsid w:val="0096278D"/>
    <w:rsid w:val="009627B0"/>
    <w:rsid w:val="0096288C"/>
    <w:rsid w:val="00962982"/>
    <w:rsid w:val="0096298D"/>
    <w:rsid w:val="00962993"/>
    <w:rsid w:val="009629E4"/>
    <w:rsid w:val="00962C26"/>
    <w:rsid w:val="00962C49"/>
    <w:rsid w:val="00962CA4"/>
    <w:rsid w:val="00962ECC"/>
    <w:rsid w:val="00962F34"/>
    <w:rsid w:val="00962F3D"/>
    <w:rsid w:val="009630FE"/>
    <w:rsid w:val="00963159"/>
    <w:rsid w:val="0096333F"/>
    <w:rsid w:val="009633D4"/>
    <w:rsid w:val="00963480"/>
    <w:rsid w:val="0096350B"/>
    <w:rsid w:val="00963802"/>
    <w:rsid w:val="00963831"/>
    <w:rsid w:val="009639A7"/>
    <w:rsid w:val="00963A99"/>
    <w:rsid w:val="00963BAB"/>
    <w:rsid w:val="00963BD6"/>
    <w:rsid w:val="00963D6B"/>
    <w:rsid w:val="00963DCC"/>
    <w:rsid w:val="00963E11"/>
    <w:rsid w:val="00963E36"/>
    <w:rsid w:val="00963F60"/>
    <w:rsid w:val="0096400E"/>
    <w:rsid w:val="00964070"/>
    <w:rsid w:val="0096414C"/>
    <w:rsid w:val="009641CA"/>
    <w:rsid w:val="00964284"/>
    <w:rsid w:val="0096432B"/>
    <w:rsid w:val="00964629"/>
    <w:rsid w:val="0096489A"/>
    <w:rsid w:val="0096490E"/>
    <w:rsid w:val="00964931"/>
    <w:rsid w:val="00964A43"/>
    <w:rsid w:val="00964B92"/>
    <w:rsid w:val="00964C17"/>
    <w:rsid w:val="00964CA4"/>
    <w:rsid w:val="00964D28"/>
    <w:rsid w:val="00964D50"/>
    <w:rsid w:val="00964D82"/>
    <w:rsid w:val="00964DB0"/>
    <w:rsid w:val="00965156"/>
    <w:rsid w:val="0096516D"/>
    <w:rsid w:val="0096523B"/>
    <w:rsid w:val="0096529A"/>
    <w:rsid w:val="00965302"/>
    <w:rsid w:val="00965399"/>
    <w:rsid w:val="009653B4"/>
    <w:rsid w:val="009653C3"/>
    <w:rsid w:val="0096552F"/>
    <w:rsid w:val="00965548"/>
    <w:rsid w:val="00965631"/>
    <w:rsid w:val="009656BA"/>
    <w:rsid w:val="00965737"/>
    <w:rsid w:val="0096574E"/>
    <w:rsid w:val="009657B5"/>
    <w:rsid w:val="009657E5"/>
    <w:rsid w:val="00965C7C"/>
    <w:rsid w:val="00965CE2"/>
    <w:rsid w:val="00965D2E"/>
    <w:rsid w:val="00965D33"/>
    <w:rsid w:val="00965D7D"/>
    <w:rsid w:val="00965F25"/>
    <w:rsid w:val="00965F3B"/>
    <w:rsid w:val="00966262"/>
    <w:rsid w:val="0096626F"/>
    <w:rsid w:val="009662C7"/>
    <w:rsid w:val="00966318"/>
    <w:rsid w:val="0096631E"/>
    <w:rsid w:val="009663AA"/>
    <w:rsid w:val="00966478"/>
    <w:rsid w:val="00966502"/>
    <w:rsid w:val="0096657E"/>
    <w:rsid w:val="00966637"/>
    <w:rsid w:val="0096668C"/>
    <w:rsid w:val="009666EF"/>
    <w:rsid w:val="00966767"/>
    <w:rsid w:val="0096678D"/>
    <w:rsid w:val="009668F5"/>
    <w:rsid w:val="00966905"/>
    <w:rsid w:val="00966A7D"/>
    <w:rsid w:val="00966AF8"/>
    <w:rsid w:val="00966BFA"/>
    <w:rsid w:val="00966C78"/>
    <w:rsid w:val="00966EDE"/>
    <w:rsid w:val="00966EFA"/>
    <w:rsid w:val="00966FAC"/>
    <w:rsid w:val="00967097"/>
    <w:rsid w:val="00967162"/>
    <w:rsid w:val="009671EF"/>
    <w:rsid w:val="009672FC"/>
    <w:rsid w:val="009673A7"/>
    <w:rsid w:val="009673BD"/>
    <w:rsid w:val="009674AC"/>
    <w:rsid w:val="0096774B"/>
    <w:rsid w:val="0096785C"/>
    <w:rsid w:val="0096791A"/>
    <w:rsid w:val="00967A20"/>
    <w:rsid w:val="00967A7E"/>
    <w:rsid w:val="00967AEC"/>
    <w:rsid w:val="00967B3C"/>
    <w:rsid w:val="00967B90"/>
    <w:rsid w:val="00967B95"/>
    <w:rsid w:val="00967C92"/>
    <w:rsid w:val="00967CD7"/>
    <w:rsid w:val="00967E7E"/>
    <w:rsid w:val="00967EBF"/>
    <w:rsid w:val="00967FD2"/>
    <w:rsid w:val="00970056"/>
    <w:rsid w:val="009700DD"/>
    <w:rsid w:val="0097010D"/>
    <w:rsid w:val="0097016C"/>
    <w:rsid w:val="009701A7"/>
    <w:rsid w:val="009701EC"/>
    <w:rsid w:val="0097027B"/>
    <w:rsid w:val="00970543"/>
    <w:rsid w:val="009705A8"/>
    <w:rsid w:val="009705F8"/>
    <w:rsid w:val="00970702"/>
    <w:rsid w:val="0097070F"/>
    <w:rsid w:val="00970834"/>
    <w:rsid w:val="00970929"/>
    <w:rsid w:val="0097093D"/>
    <w:rsid w:val="0097095E"/>
    <w:rsid w:val="0097097E"/>
    <w:rsid w:val="009709C8"/>
    <w:rsid w:val="00970A07"/>
    <w:rsid w:val="00970B03"/>
    <w:rsid w:val="00970B0B"/>
    <w:rsid w:val="00970CA7"/>
    <w:rsid w:val="00970CB3"/>
    <w:rsid w:val="00970D22"/>
    <w:rsid w:val="00970D88"/>
    <w:rsid w:val="00970E04"/>
    <w:rsid w:val="00970E6C"/>
    <w:rsid w:val="00970EAD"/>
    <w:rsid w:val="00970F84"/>
    <w:rsid w:val="00970F9B"/>
    <w:rsid w:val="00970FC5"/>
    <w:rsid w:val="00971124"/>
    <w:rsid w:val="009711CA"/>
    <w:rsid w:val="0097126D"/>
    <w:rsid w:val="00971356"/>
    <w:rsid w:val="00971454"/>
    <w:rsid w:val="009714E9"/>
    <w:rsid w:val="00971580"/>
    <w:rsid w:val="009715A8"/>
    <w:rsid w:val="0097163B"/>
    <w:rsid w:val="0097164F"/>
    <w:rsid w:val="009717DA"/>
    <w:rsid w:val="00971920"/>
    <w:rsid w:val="00971B66"/>
    <w:rsid w:val="00971C30"/>
    <w:rsid w:val="00971D1D"/>
    <w:rsid w:val="00971D8B"/>
    <w:rsid w:val="00971DD1"/>
    <w:rsid w:val="00971F2F"/>
    <w:rsid w:val="00971F6B"/>
    <w:rsid w:val="00972180"/>
    <w:rsid w:val="009722AA"/>
    <w:rsid w:val="00972392"/>
    <w:rsid w:val="009723D0"/>
    <w:rsid w:val="009723D6"/>
    <w:rsid w:val="009723E6"/>
    <w:rsid w:val="00972535"/>
    <w:rsid w:val="0097265B"/>
    <w:rsid w:val="009726CE"/>
    <w:rsid w:val="0097275E"/>
    <w:rsid w:val="00972821"/>
    <w:rsid w:val="00972947"/>
    <w:rsid w:val="00972A0D"/>
    <w:rsid w:val="00972B3E"/>
    <w:rsid w:val="00972B85"/>
    <w:rsid w:val="00972BE0"/>
    <w:rsid w:val="00972CB7"/>
    <w:rsid w:val="00972D11"/>
    <w:rsid w:val="00972D73"/>
    <w:rsid w:val="00972E68"/>
    <w:rsid w:val="00972E93"/>
    <w:rsid w:val="00972EA0"/>
    <w:rsid w:val="00972FB0"/>
    <w:rsid w:val="00973049"/>
    <w:rsid w:val="0097306B"/>
    <w:rsid w:val="009732AB"/>
    <w:rsid w:val="0097338A"/>
    <w:rsid w:val="0097341B"/>
    <w:rsid w:val="00973438"/>
    <w:rsid w:val="00973535"/>
    <w:rsid w:val="00973609"/>
    <w:rsid w:val="00973773"/>
    <w:rsid w:val="00973A3A"/>
    <w:rsid w:val="00973C90"/>
    <w:rsid w:val="00973DC3"/>
    <w:rsid w:val="00973E3D"/>
    <w:rsid w:val="00973E54"/>
    <w:rsid w:val="00974062"/>
    <w:rsid w:val="009741F4"/>
    <w:rsid w:val="00974414"/>
    <w:rsid w:val="009744A4"/>
    <w:rsid w:val="009744D2"/>
    <w:rsid w:val="00974583"/>
    <w:rsid w:val="009746D9"/>
    <w:rsid w:val="00974700"/>
    <w:rsid w:val="0097475F"/>
    <w:rsid w:val="00974860"/>
    <w:rsid w:val="009748E1"/>
    <w:rsid w:val="009748E5"/>
    <w:rsid w:val="0097492F"/>
    <w:rsid w:val="009749CF"/>
    <w:rsid w:val="00974B16"/>
    <w:rsid w:val="00974BCF"/>
    <w:rsid w:val="00974C64"/>
    <w:rsid w:val="00974D2F"/>
    <w:rsid w:val="00974D30"/>
    <w:rsid w:val="00974DE2"/>
    <w:rsid w:val="00974E30"/>
    <w:rsid w:val="00974EA2"/>
    <w:rsid w:val="00974F61"/>
    <w:rsid w:val="009750B0"/>
    <w:rsid w:val="0097514B"/>
    <w:rsid w:val="0097517D"/>
    <w:rsid w:val="009751CE"/>
    <w:rsid w:val="0097526C"/>
    <w:rsid w:val="00975276"/>
    <w:rsid w:val="00975288"/>
    <w:rsid w:val="009752B9"/>
    <w:rsid w:val="009752C0"/>
    <w:rsid w:val="00975346"/>
    <w:rsid w:val="00975505"/>
    <w:rsid w:val="009755AE"/>
    <w:rsid w:val="009755C7"/>
    <w:rsid w:val="009755D8"/>
    <w:rsid w:val="009755F2"/>
    <w:rsid w:val="0097560D"/>
    <w:rsid w:val="00975660"/>
    <w:rsid w:val="009756F8"/>
    <w:rsid w:val="00975700"/>
    <w:rsid w:val="0097573F"/>
    <w:rsid w:val="009757F9"/>
    <w:rsid w:val="00975838"/>
    <w:rsid w:val="0097590B"/>
    <w:rsid w:val="0097592A"/>
    <w:rsid w:val="00975A7D"/>
    <w:rsid w:val="00975B58"/>
    <w:rsid w:val="00975BE4"/>
    <w:rsid w:val="00975C8F"/>
    <w:rsid w:val="00975CD6"/>
    <w:rsid w:val="00975F69"/>
    <w:rsid w:val="00976078"/>
    <w:rsid w:val="009760D7"/>
    <w:rsid w:val="009760F7"/>
    <w:rsid w:val="009761E3"/>
    <w:rsid w:val="00976661"/>
    <w:rsid w:val="00976821"/>
    <w:rsid w:val="00976A36"/>
    <w:rsid w:val="00976B78"/>
    <w:rsid w:val="00976D7D"/>
    <w:rsid w:val="00976DA6"/>
    <w:rsid w:val="00976DDA"/>
    <w:rsid w:val="00976F93"/>
    <w:rsid w:val="00976FDE"/>
    <w:rsid w:val="00976FFB"/>
    <w:rsid w:val="0097710E"/>
    <w:rsid w:val="009771E8"/>
    <w:rsid w:val="0097732F"/>
    <w:rsid w:val="0097739C"/>
    <w:rsid w:val="009773E8"/>
    <w:rsid w:val="0097740C"/>
    <w:rsid w:val="009775A5"/>
    <w:rsid w:val="00977611"/>
    <w:rsid w:val="00977639"/>
    <w:rsid w:val="00977681"/>
    <w:rsid w:val="0097769A"/>
    <w:rsid w:val="00977746"/>
    <w:rsid w:val="0097780B"/>
    <w:rsid w:val="00977846"/>
    <w:rsid w:val="009779D0"/>
    <w:rsid w:val="009779E0"/>
    <w:rsid w:val="00977AB0"/>
    <w:rsid w:val="00977D03"/>
    <w:rsid w:val="00977DD5"/>
    <w:rsid w:val="00977F2D"/>
    <w:rsid w:val="00977F51"/>
    <w:rsid w:val="00977FA7"/>
    <w:rsid w:val="009800DC"/>
    <w:rsid w:val="00980122"/>
    <w:rsid w:val="00980311"/>
    <w:rsid w:val="0098033E"/>
    <w:rsid w:val="009803B3"/>
    <w:rsid w:val="00980454"/>
    <w:rsid w:val="009804EA"/>
    <w:rsid w:val="00980505"/>
    <w:rsid w:val="0098054C"/>
    <w:rsid w:val="00980587"/>
    <w:rsid w:val="00980740"/>
    <w:rsid w:val="0098077D"/>
    <w:rsid w:val="009808DF"/>
    <w:rsid w:val="009809CA"/>
    <w:rsid w:val="00980A77"/>
    <w:rsid w:val="00980BA8"/>
    <w:rsid w:val="00980BC7"/>
    <w:rsid w:val="00980BE5"/>
    <w:rsid w:val="00980C95"/>
    <w:rsid w:val="00980D60"/>
    <w:rsid w:val="00980E0D"/>
    <w:rsid w:val="00980E17"/>
    <w:rsid w:val="00981033"/>
    <w:rsid w:val="009811ED"/>
    <w:rsid w:val="00981264"/>
    <w:rsid w:val="00981294"/>
    <w:rsid w:val="009812AF"/>
    <w:rsid w:val="009812C9"/>
    <w:rsid w:val="009813AA"/>
    <w:rsid w:val="009813C8"/>
    <w:rsid w:val="00981432"/>
    <w:rsid w:val="009814E1"/>
    <w:rsid w:val="0098152B"/>
    <w:rsid w:val="0098158A"/>
    <w:rsid w:val="009815E4"/>
    <w:rsid w:val="00981601"/>
    <w:rsid w:val="00981648"/>
    <w:rsid w:val="00981686"/>
    <w:rsid w:val="0098169A"/>
    <w:rsid w:val="009816E5"/>
    <w:rsid w:val="00981734"/>
    <w:rsid w:val="00981970"/>
    <w:rsid w:val="009819A7"/>
    <w:rsid w:val="009819FB"/>
    <w:rsid w:val="00981B0F"/>
    <w:rsid w:val="00981C32"/>
    <w:rsid w:val="00981C4B"/>
    <w:rsid w:val="00981C7B"/>
    <w:rsid w:val="00981D61"/>
    <w:rsid w:val="00981D84"/>
    <w:rsid w:val="00981EAB"/>
    <w:rsid w:val="00981F63"/>
    <w:rsid w:val="009820A0"/>
    <w:rsid w:val="009820D3"/>
    <w:rsid w:val="00982135"/>
    <w:rsid w:val="00982382"/>
    <w:rsid w:val="009823D6"/>
    <w:rsid w:val="00982476"/>
    <w:rsid w:val="009824DB"/>
    <w:rsid w:val="009824E7"/>
    <w:rsid w:val="00982555"/>
    <w:rsid w:val="0098263B"/>
    <w:rsid w:val="00982710"/>
    <w:rsid w:val="00982810"/>
    <w:rsid w:val="009828DB"/>
    <w:rsid w:val="0098294E"/>
    <w:rsid w:val="0098296A"/>
    <w:rsid w:val="009829C3"/>
    <w:rsid w:val="009829CA"/>
    <w:rsid w:val="009829DA"/>
    <w:rsid w:val="00982A81"/>
    <w:rsid w:val="00982A9A"/>
    <w:rsid w:val="00982B79"/>
    <w:rsid w:val="00982C06"/>
    <w:rsid w:val="00982C15"/>
    <w:rsid w:val="00982C51"/>
    <w:rsid w:val="00982C75"/>
    <w:rsid w:val="00982D71"/>
    <w:rsid w:val="00982DD0"/>
    <w:rsid w:val="00982E95"/>
    <w:rsid w:val="00982ED9"/>
    <w:rsid w:val="00982F3D"/>
    <w:rsid w:val="009830FB"/>
    <w:rsid w:val="00983150"/>
    <w:rsid w:val="009831F7"/>
    <w:rsid w:val="00983356"/>
    <w:rsid w:val="00983558"/>
    <w:rsid w:val="009837A3"/>
    <w:rsid w:val="0098381B"/>
    <w:rsid w:val="009838AB"/>
    <w:rsid w:val="009838F3"/>
    <w:rsid w:val="00983970"/>
    <w:rsid w:val="00983A1E"/>
    <w:rsid w:val="00983A27"/>
    <w:rsid w:val="00983AEA"/>
    <w:rsid w:val="00983CE1"/>
    <w:rsid w:val="00983D43"/>
    <w:rsid w:val="00983E63"/>
    <w:rsid w:val="00983F4F"/>
    <w:rsid w:val="00983F58"/>
    <w:rsid w:val="00984003"/>
    <w:rsid w:val="009841E2"/>
    <w:rsid w:val="009842B2"/>
    <w:rsid w:val="00984304"/>
    <w:rsid w:val="009843A5"/>
    <w:rsid w:val="00984457"/>
    <w:rsid w:val="009844C1"/>
    <w:rsid w:val="0098461D"/>
    <w:rsid w:val="009847F4"/>
    <w:rsid w:val="0098482D"/>
    <w:rsid w:val="009848BD"/>
    <w:rsid w:val="00984902"/>
    <w:rsid w:val="00984924"/>
    <w:rsid w:val="0098492B"/>
    <w:rsid w:val="00984949"/>
    <w:rsid w:val="00984972"/>
    <w:rsid w:val="00984A0D"/>
    <w:rsid w:val="00984AE3"/>
    <w:rsid w:val="00984B3B"/>
    <w:rsid w:val="00984B84"/>
    <w:rsid w:val="00984BF6"/>
    <w:rsid w:val="00984C59"/>
    <w:rsid w:val="00984D02"/>
    <w:rsid w:val="00984D24"/>
    <w:rsid w:val="00984DD6"/>
    <w:rsid w:val="00984E4A"/>
    <w:rsid w:val="00984E5D"/>
    <w:rsid w:val="00984EE7"/>
    <w:rsid w:val="00985002"/>
    <w:rsid w:val="0098508C"/>
    <w:rsid w:val="009851EF"/>
    <w:rsid w:val="009851F5"/>
    <w:rsid w:val="0098558E"/>
    <w:rsid w:val="009855A5"/>
    <w:rsid w:val="00985755"/>
    <w:rsid w:val="009857A1"/>
    <w:rsid w:val="00985866"/>
    <w:rsid w:val="00985A08"/>
    <w:rsid w:val="00985B35"/>
    <w:rsid w:val="00985BFF"/>
    <w:rsid w:val="00985C59"/>
    <w:rsid w:val="00985D91"/>
    <w:rsid w:val="00985D93"/>
    <w:rsid w:val="00985E52"/>
    <w:rsid w:val="00985F69"/>
    <w:rsid w:val="00986041"/>
    <w:rsid w:val="009860D2"/>
    <w:rsid w:val="0098618A"/>
    <w:rsid w:val="00986239"/>
    <w:rsid w:val="0098627A"/>
    <w:rsid w:val="00986341"/>
    <w:rsid w:val="009863A5"/>
    <w:rsid w:val="0098642F"/>
    <w:rsid w:val="00986483"/>
    <w:rsid w:val="009864B5"/>
    <w:rsid w:val="0098660A"/>
    <w:rsid w:val="00986669"/>
    <w:rsid w:val="009866AD"/>
    <w:rsid w:val="009867A7"/>
    <w:rsid w:val="0098690F"/>
    <w:rsid w:val="00986959"/>
    <w:rsid w:val="0098698B"/>
    <w:rsid w:val="00986AD3"/>
    <w:rsid w:val="00986B08"/>
    <w:rsid w:val="00986D04"/>
    <w:rsid w:val="00986D94"/>
    <w:rsid w:val="00986F0F"/>
    <w:rsid w:val="00986FE5"/>
    <w:rsid w:val="009871C8"/>
    <w:rsid w:val="00987274"/>
    <w:rsid w:val="009872FA"/>
    <w:rsid w:val="009872FC"/>
    <w:rsid w:val="0098734C"/>
    <w:rsid w:val="0098739B"/>
    <w:rsid w:val="00987425"/>
    <w:rsid w:val="00987515"/>
    <w:rsid w:val="00987649"/>
    <w:rsid w:val="009876B1"/>
    <w:rsid w:val="009876E4"/>
    <w:rsid w:val="009876F3"/>
    <w:rsid w:val="0098780A"/>
    <w:rsid w:val="00987821"/>
    <w:rsid w:val="009878D4"/>
    <w:rsid w:val="009878E3"/>
    <w:rsid w:val="00987901"/>
    <w:rsid w:val="00987979"/>
    <w:rsid w:val="00987A7F"/>
    <w:rsid w:val="00987AAA"/>
    <w:rsid w:val="00987B47"/>
    <w:rsid w:val="00987DFA"/>
    <w:rsid w:val="00987E11"/>
    <w:rsid w:val="00987F45"/>
    <w:rsid w:val="00990041"/>
    <w:rsid w:val="00990156"/>
    <w:rsid w:val="00990196"/>
    <w:rsid w:val="009901ED"/>
    <w:rsid w:val="009902E6"/>
    <w:rsid w:val="009902EC"/>
    <w:rsid w:val="00990311"/>
    <w:rsid w:val="009904A1"/>
    <w:rsid w:val="009904D3"/>
    <w:rsid w:val="0099051C"/>
    <w:rsid w:val="00990527"/>
    <w:rsid w:val="0099060E"/>
    <w:rsid w:val="00990B66"/>
    <w:rsid w:val="00990C17"/>
    <w:rsid w:val="00990C1C"/>
    <w:rsid w:val="00990C30"/>
    <w:rsid w:val="00990C3C"/>
    <w:rsid w:val="00990C6F"/>
    <w:rsid w:val="00990C8D"/>
    <w:rsid w:val="00990CDC"/>
    <w:rsid w:val="00990D4F"/>
    <w:rsid w:val="00990D82"/>
    <w:rsid w:val="00990DE6"/>
    <w:rsid w:val="00990E00"/>
    <w:rsid w:val="00990E55"/>
    <w:rsid w:val="00990F2D"/>
    <w:rsid w:val="00990F4D"/>
    <w:rsid w:val="00990FC7"/>
    <w:rsid w:val="00991316"/>
    <w:rsid w:val="00991318"/>
    <w:rsid w:val="00991488"/>
    <w:rsid w:val="0099149F"/>
    <w:rsid w:val="00991562"/>
    <w:rsid w:val="0099160E"/>
    <w:rsid w:val="009916ED"/>
    <w:rsid w:val="0099171C"/>
    <w:rsid w:val="00991907"/>
    <w:rsid w:val="00991929"/>
    <w:rsid w:val="0099195E"/>
    <w:rsid w:val="00991A13"/>
    <w:rsid w:val="00991A34"/>
    <w:rsid w:val="00991AC4"/>
    <w:rsid w:val="00991AD1"/>
    <w:rsid w:val="00991B08"/>
    <w:rsid w:val="00991E6B"/>
    <w:rsid w:val="00991E81"/>
    <w:rsid w:val="0099203B"/>
    <w:rsid w:val="009920E7"/>
    <w:rsid w:val="00992251"/>
    <w:rsid w:val="009922CC"/>
    <w:rsid w:val="009922FD"/>
    <w:rsid w:val="0099231C"/>
    <w:rsid w:val="0099236E"/>
    <w:rsid w:val="00992401"/>
    <w:rsid w:val="00992443"/>
    <w:rsid w:val="00992480"/>
    <w:rsid w:val="0099255A"/>
    <w:rsid w:val="00992581"/>
    <w:rsid w:val="0099262C"/>
    <w:rsid w:val="0099291C"/>
    <w:rsid w:val="00992A76"/>
    <w:rsid w:val="00992C98"/>
    <w:rsid w:val="00992D8C"/>
    <w:rsid w:val="00992DB5"/>
    <w:rsid w:val="00992E50"/>
    <w:rsid w:val="00993033"/>
    <w:rsid w:val="009930F5"/>
    <w:rsid w:val="009932D5"/>
    <w:rsid w:val="009932E1"/>
    <w:rsid w:val="009932F2"/>
    <w:rsid w:val="00993411"/>
    <w:rsid w:val="00993437"/>
    <w:rsid w:val="00993521"/>
    <w:rsid w:val="00993598"/>
    <w:rsid w:val="00993645"/>
    <w:rsid w:val="00993652"/>
    <w:rsid w:val="009936A7"/>
    <w:rsid w:val="009936CE"/>
    <w:rsid w:val="00993727"/>
    <w:rsid w:val="0099376F"/>
    <w:rsid w:val="009937EC"/>
    <w:rsid w:val="009938DC"/>
    <w:rsid w:val="009939A4"/>
    <w:rsid w:val="00993A79"/>
    <w:rsid w:val="00993AC0"/>
    <w:rsid w:val="00993B17"/>
    <w:rsid w:val="00993B42"/>
    <w:rsid w:val="00993BBF"/>
    <w:rsid w:val="00993BD0"/>
    <w:rsid w:val="00993C4E"/>
    <w:rsid w:val="00993D12"/>
    <w:rsid w:val="00993DA4"/>
    <w:rsid w:val="00993E7C"/>
    <w:rsid w:val="00993F71"/>
    <w:rsid w:val="009940B5"/>
    <w:rsid w:val="00994222"/>
    <w:rsid w:val="00994246"/>
    <w:rsid w:val="00994408"/>
    <w:rsid w:val="0099451D"/>
    <w:rsid w:val="00994563"/>
    <w:rsid w:val="009946F3"/>
    <w:rsid w:val="009948A0"/>
    <w:rsid w:val="009948E0"/>
    <w:rsid w:val="009949E2"/>
    <w:rsid w:val="00994B18"/>
    <w:rsid w:val="00994C26"/>
    <w:rsid w:val="00994D45"/>
    <w:rsid w:val="00994E0E"/>
    <w:rsid w:val="00994F7D"/>
    <w:rsid w:val="00994FAE"/>
    <w:rsid w:val="0099511C"/>
    <w:rsid w:val="009951AF"/>
    <w:rsid w:val="009951B0"/>
    <w:rsid w:val="009951B5"/>
    <w:rsid w:val="0099538C"/>
    <w:rsid w:val="009954F5"/>
    <w:rsid w:val="0099552F"/>
    <w:rsid w:val="0099559A"/>
    <w:rsid w:val="00995694"/>
    <w:rsid w:val="0099580F"/>
    <w:rsid w:val="0099585E"/>
    <w:rsid w:val="009958DF"/>
    <w:rsid w:val="00995998"/>
    <w:rsid w:val="00995A49"/>
    <w:rsid w:val="00995AB9"/>
    <w:rsid w:val="00995AF0"/>
    <w:rsid w:val="00995C43"/>
    <w:rsid w:val="00995D12"/>
    <w:rsid w:val="00995DE4"/>
    <w:rsid w:val="00995E8C"/>
    <w:rsid w:val="00995EB0"/>
    <w:rsid w:val="00995F11"/>
    <w:rsid w:val="00995FAD"/>
    <w:rsid w:val="0099610F"/>
    <w:rsid w:val="00996173"/>
    <w:rsid w:val="009962C0"/>
    <w:rsid w:val="0099658A"/>
    <w:rsid w:val="009966B2"/>
    <w:rsid w:val="009967CA"/>
    <w:rsid w:val="009968C6"/>
    <w:rsid w:val="00996961"/>
    <w:rsid w:val="00996A2C"/>
    <w:rsid w:val="00996AC5"/>
    <w:rsid w:val="00996B35"/>
    <w:rsid w:val="00996B3A"/>
    <w:rsid w:val="00996C34"/>
    <w:rsid w:val="00996CAB"/>
    <w:rsid w:val="00996E62"/>
    <w:rsid w:val="00996ED4"/>
    <w:rsid w:val="00996F23"/>
    <w:rsid w:val="00996F69"/>
    <w:rsid w:val="00996F95"/>
    <w:rsid w:val="00997195"/>
    <w:rsid w:val="0099720A"/>
    <w:rsid w:val="0099729A"/>
    <w:rsid w:val="00997367"/>
    <w:rsid w:val="00997418"/>
    <w:rsid w:val="00997511"/>
    <w:rsid w:val="00997557"/>
    <w:rsid w:val="009975C2"/>
    <w:rsid w:val="00997694"/>
    <w:rsid w:val="009976AA"/>
    <w:rsid w:val="0099790D"/>
    <w:rsid w:val="00997966"/>
    <w:rsid w:val="00997A79"/>
    <w:rsid w:val="00997B0A"/>
    <w:rsid w:val="00997BF9"/>
    <w:rsid w:val="00997C85"/>
    <w:rsid w:val="00997C88"/>
    <w:rsid w:val="00997D8B"/>
    <w:rsid w:val="00997DF0"/>
    <w:rsid w:val="00997E2C"/>
    <w:rsid w:val="00997ED1"/>
    <w:rsid w:val="00997F6A"/>
    <w:rsid w:val="00997F6E"/>
    <w:rsid w:val="009A005E"/>
    <w:rsid w:val="009A018C"/>
    <w:rsid w:val="009A025B"/>
    <w:rsid w:val="009A032E"/>
    <w:rsid w:val="009A0333"/>
    <w:rsid w:val="009A035F"/>
    <w:rsid w:val="009A04C5"/>
    <w:rsid w:val="009A069A"/>
    <w:rsid w:val="009A0889"/>
    <w:rsid w:val="009A08BF"/>
    <w:rsid w:val="009A08CF"/>
    <w:rsid w:val="009A098D"/>
    <w:rsid w:val="009A0A30"/>
    <w:rsid w:val="009A0BCC"/>
    <w:rsid w:val="009A0C07"/>
    <w:rsid w:val="009A0DCF"/>
    <w:rsid w:val="009A0E00"/>
    <w:rsid w:val="009A0E55"/>
    <w:rsid w:val="009A0E64"/>
    <w:rsid w:val="009A0ED6"/>
    <w:rsid w:val="009A0EF4"/>
    <w:rsid w:val="009A0F79"/>
    <w:rsid w:val="009A0FC1"/>
    <w:rsid w:val="009A100E"/>
    <w:rsid w:val="009A10B3"/>
    <w:rsid w:val="009A12F0"/>
    <w:rsid w:val="009A1314"/>
    <w:rsid w:val="009A13B1"/>
    <w:rsid w:val="009A1523"/>
    <w:rsid w:val="009A15BB"/>
    <w:rsid w:val="009A172B"/>
    <w:rsid w:val="009A1759"/>
    <w:rsid w:val="009A17C1"/>
    <w:rsid w:val="009A19BC"/>
    <w:rsid w:val="009A1A97"/>
    <w:rsid w:val="009A1C32"/>
    <w:rsid w:val="009A1DE2"/>
    <w:rsid w:val="009A1E4E"/>
    <w:rsid w:val="009A1F48"/>
    <w:rsid w:val="009A1FF9"/>
    <w:rsid w:val="009A2086"/>
    <w:rsid w:val="009A20D0"/>
    <w:rsid w:val="009A21FA"/>
    <w:rsid w:val="009A22A6"/>
    <w:rsid w:val="009A2500"/>
    <w:rsid w:val="009A2514"/>
    <w:rsid w:val="009A25A6"/>
    <w:rsid w:val="009A25D2"/>
    <w:rsid w:val="009A2684"/>
    <w:rsid w:val="009A279B"/>
    <w:rsid w:val="009A27A1"/>
    <w:rsid w:val="009A298C"/>
    <w:rsid w:val="009A2A21"/>
    <w:rsid w:val="009A2A53"/>
    <w:rsid w:val="009A2C30"/>
    <w:rsid w:val="009A2E5D"/>
    <w:rsid w:val="009A2EFC"/>
    <w:rsid w:val="009A2F31"/>
    <w:rsid w:val="009A2F6A"/>
    <w:rsid w:val="009A3003"/>
    <w:rsid w:val="009A300D"/>
    <w:rsid w:val="009A3025"/>
    <w:rsid w:val="009A3179"/>
    <w:rsid w:val="009A3326"/>
    <w:rsid w:val="009A333A"/>
    <w:rsid w:val="009A33C1"/>
    <w:rsid w:val="009A3465"/>
    <w:rsid w:val="009A3476"/>
    <w:rsid w:val="009A3664"/>
    <w:rsid w:val="009A36D1"/>
    <w:rsid w:val="009A3716"/>
    <w:rsid w:val="009A37A4"/>
    <w:rsid w:val="009A399A"/>
    <w:rsid w:val="009A3A93"/>
    <w:rsid w:val="009A3AF5"/>
    <w:rsid w:val="009A3B0F"/>
    <w:rsid w:val="009A3B1B"/>
    <w:rsid w:val="009A3B39"/>
    <w:rsid w:val="009A3B8C"/>
    <w:rsid w:val="009A3DC5"/>
    <w:rsid w:val="009A3FF3"/>
    <w:rsid w:val="009A411E"/>
    <w:rsid w:val="009A4244"/>
    <w:rsid w:val="009A42C5"/>
    <w:rsid w:val="009A42D7"/>
    <w:rsid w:val="009A42FF"/>
    <w:rsid w:val="009A4344"/>
    <w:rsid w:val="009A4529"/>
    <w:rsid w:val="009A4712"/>
    <w:rsid w:val="009A4BAD"/>
    <w:rsid w:val="009A4C4C"/>
    <w:rsid w:val="009A4D51"/>
    <w:rsid w:val="009A4DD5"/>
    <w:rsid w:val="009A4EC3"/>
    <w:rsid w:val="009A5006"/>
    <w:rsid w:val="009A5021"/>
    <w:rsid w:val="009A5049"/>
    <w:rsid w:val="009A505C"/>
    <w:rsid w:val="009A50E6"/>
    <w:rsid w:val="009A5191"/>
    <w:rsid w:val="009A539A"/>
    <w:rsid w:val="009A53A6"/>
    <w:rsid w:val="009A53E0"/>
    <w:rsid w:val="009A54B1"/>
    <w:rsid w:val="009A5662"/>
    <w:rsid w:val="009A5938"/>
    <w:rsid w:val="009A5998"/>
    <w:rsid w:val="009A5A7C"/>
    <w:rsid w:val="009A5A8E"/>
    <w:rsid w:val="009A5AF6"/>
    <w:rsid w:val="009A5C08"/>
    <w:rsid w:val="009A5C6C"/>
    <w:rsid w:val="009A5CDF"/>
    <w:rsid w:val="009A5E3B"/>
    <w:rsid w:val="009A5E82"/>
    <w:rsid w:val="009A5F02"/>
    <w:rsid w:val="009A5FD2"/>
    <w:rsid w:val="009A609D"/>
    <w:rsid w:val="009A629E"/>
    <w:rsid w:val="009A63C9"/>
    <w:rsid w:val="009A6421"/>
    <w:rsid w:val="009A646F"/>
    <w:rsid w:val="009A654E"/>
    <w:rsid w:val="009A65BD"/>
    <w:rsid w:val="009A65C5"/>
    <w:rsid w:val="009A667E"/>
    <w:rsid w:val="009A676E"/>
    <w:rsid w:val="009A67FC"/>
    <w:rsid w:val="009A6809"/>
    <w:rsid w:val="009A6848"/>
    <w:rsid w:val="009A6912"/>
    <w:rsid w:val="009A6B3C"/>
    <w:rsid w:val="009A6C04"/>
    <w:rsid w:val="009A6CDF"/>
    <w:rsid w:val="009A6E91"/>
    <w:rsid w:val="009A6EFB"/>
    <w:rsid w:val="009A6F00"/>
    <w:rsid w:val="009A6F35"/>
    <w:rsid w:val="009A6FCE"/>
    <w:rsid w:val="009A6FDE"/>
    <w:rsid w:val="009A7048"/>
    <w:rsid w:val="009A71B3"/>
    <w:rsid w:val="009A71B5"/>
    <w:rsid w:val="009A72E2"/>
    <w:rsid w:val="009A7367"/>
    <w:rsid w:val="009A738F"/>
    <w:rsid w:val="009A73FA"/>
    <w:rsid w:val="009A7530"/>
    <w:rsid w:val="009A75A0"/>
    <w:rsid w:val="009A75AD"/>
    <w:rsid w:val="009A7701"/>
    <w:rsid w:val="009A78DD"/>
    <w:rsid w:val="009A793B"/>
    <w:rsid w:val="009A7A1D"/>
    <w:rsid w:val="009A7AA1"/>
    <w:rsid w:val="009A7AF9"/>
    <w:rsid w:val="009A7BBE"/>
    <w:rsid w:val="009A7C30"/>
    <w:rsid w:val="009A7C5A"/>
    <w:rsid w:val="009A7D9F"/>
    <w:rsid w:val="009A7DAB"/>
    <w:rsid w:val="009A7E49"/>
    <w:rsid w:val="009A7E7C"/>
    <w:rsid w:val="009A7EF0"/>
    <w:rsid w:val="009B007B"/>
    <w:rsid w:val="009B00F1"/>
    <w:rsid w:val="009B010F"/>
    <w:rsid w:val="009B0135"/>
    <w:rsid w:val="009B013A"/>
    <w:rsid w:val="009B01F4"/>
    <w:rsid w:val="009B0211"/>
    <w:rsid w:val="009B0242"/>
    <w:rsid w:val="009B028D"/>
    <w:rsid w:val="009B032B"/>
    <w:rsid w:val="009B0488"/>
    <w:rsid w:val="009B04F3"/>
    <w:rsid w:val="009B0713"/>
    <w:rsid w:val="009B073F"/>
    <w:rsid w:val="009B0801"/>
    <w:rsid w:val="009B08B5"/>
    <w:rsid w:val="009B0B36"/>
    <w:rsid w:val="009B0B74"/>
    <w:rsid w:val="009B0C06"/>
    <w:rsid w:val="009B0DC9"/>
    <w:rsid w:val="009B0F5D"/>
    <w:rsid w:val="009B101B"/>
    <w:rsid w:val="009B1033"/>
    <w:rsid w:val="009B106F"/>
    <w:rsid w:val="009B119C"/>
    <w:rsid w:val="009B121F"/>
    <w:rsid w:val="009B125E"/>
    <w:rsid w:val="009B12E6"/>
    <w:rsid w:val="009B1335"/>
    <w:rsid w:val="009B1419"/>
    <w:rsid w:val="009B1782"/>
    <w:rsid w:val="009B195A"/>
    <w:rsid w:val="009B1A38"/>
    <w:rsid w:val="009B1A51"/>
    <w:rsid w:val="009B1AD6"/>
    <w:rsid w:val="009B1B9B"/>
    <w:rsid w:val="009B1D1A"/>
    <w:rsid w:val="009B1D69"/>
    <w:rsid w:val="009B1DBB"/>
    <w:rsid w:val="009B1E32"/>
    <w:rsid w:val="009B1ECE"/>
    <w:rsid w:val="009B1EEC"/>
    <w:rsid w:val="009B1F09"/>
    <w:rsid w:val="009B2217"/>
    <w:rsid w:val="009B2264"/>
    <w:rsid w:val="009B2302"/>
    <w:rsid w:val="009B236D"/>
    <w:rsid w:val="009B240C"/>
    <w:rsid w:val="009B2617"/>
    <w:rsid w:val="009B261B"/>
    <w:rsid w:val="009B27EB"/>
    <w:rsid w:val="009B28D5"/>
    <w:rsid w:val="009B294A"/>
    <w:rsid w:val="009B2987"/>
    <w:rsid w:val="009B29A0"/>
    <w:rsid w:val="009B2A57"/>
    <w:rsid w:val="009B2A92"/>
    <w:rsid w:val="009B2C63"/>
    <w:rsid w:val="009B2C6B"/>
    <w:rsid w:val="009B2C82"/>
    <w:rsid w:val="009B2D48"/>
    <w:rsid w:val="009B2D4F"/>
    <w:rsid w:val="009B2E7A"/>
    <w:rsid w:val="009B2E9A"/>
    <w:rsid w:val="009B2EFE"/>
    <w:rsid w:val="009B2F89"/>
    <w:rsid w:val="009B2FDD"/>
    <w:rsid w:val="009B2FFD"/>
    <w:rsid w:val="009B3036"/>
    <w:rsid w:val="009B3052"/>
    <w:rsid w:val="009B3344"/>
    <w:rsid w:val="009B33E5"/>
    <w:rsid w:val="009B3475"/>
    <w:rsid w:val="009B3578"/>
    <w:rsid w:val="009B360C"/>
    <w:rsid w:val="009B387F"/>
    <w:rsid w:val="009B3972"/>
    <w:rsid w:val="009B3C22"/>
    <w:rsid w:val="009B3D56"/>
    <w:rsid w:val="009B3D7F"/>
    <w:rsid w:val="009B3DA6"/>
    <w:rsid w:val="009B3E11"/>
    <w:rsid w:val="009B3F96"/>
    <w:rsid w:val="009B3FAF"/>
    <w:rsid w:val="009B40D1"/>
    <w:rsid w:val="009B41FB"/>
    <w:rsid w:val="009B4270"/>
    <w:rsid w:val="009B4308"/>
    <w:rsid w:val="009B453C"/>
    <w:rsid w:val="009B45E5"/>
    <w:rsid w:val="009B4660"/>
    <w:rsid w:val="009B4754"/>
    <w:rsid w:val="009B47EB"/>
    <w:rsid w:val="009B484F"/>
    <w:rsid w:val="009B488A"/>
    <w:rsid w:val="009B493D"/>
    <w:rsid w:val="009B4B54"/>
    <w:rsid w:val="009B4C8E"/>
    <w:rsid w:val="009B4CFF"/>
    <w:rsid w:val="009B4ECB"/>
    <w:rsid w:val="009B505A"/>
    <w:rsid w:val="009B5126"/>
    <w:rsid w:val="009B51B1"/>
    <w:rsid w:val="009B51B3"/>
    <w:rsid w:val="009B51D5"/>
    <w:rsid w:val="009B52EA"/>
    <w:rsid w:val="009B52F2"/>
    <w:rsid w:val="009B531B"/>
    <w:rsid w:val="009B5ACF"/>
    <w:rsid w:val="009B5B69"/>
    <w:rsid w:val="009B5BA0"/>
    <w:rsid w:val="009B5D3C"/>
    <w:rsid w:val="009B5DD6"/>
    <w:rsid w:val="009B5F69"/>
    <w:rsid w:val="009B5FB7"/>
    <w:rsid w:val="009B608B"/>
    <w:rsid w:val="009B612D"/>
    <w:rsid w:val="009B622C"/>
    <w:rsid w:val="009B623F"/>
    <w:rsid w:val="009B63E7"/>
    <w:rsid w:val="009B6586"/>
    <w:rsid w:val="009B6592"/>
    <w:rsid w:val="009B65E5"/>
    <w:rsid w:val="009B66B8"/>
    <w:rsid w:val="009B677C"/>
    <w:rsid w:val="009B6A49"/>
    <w:rsid w:val="009B6ABD"/>
    <w:rsid w:val="009B6CA9"/>
    <w:rsid w:val="009B6D4C"/>
    <w:rsid w:val="009B6D9C"/>
    <w:rsid w:val="009B6E1A"/>
    <w:rsid w:val="009B6F12"/>
    <w:rsid w:val="009B6F3B"/>
    <w:rsid w:val="009B7020"/>
    <w:rsid w:val="009B7155"/>
    <w:rsid w:val="009B71E5"/>
    <w:rsid w:val="009B7252"/>
    <w:rsid w:val="009B727D"/>
    <w:rsid w:val="009B732D"/>
    <w:rsid w:val="009B7396"/>
    <w:rsid w:val="009B751B"/>
    <w:rsid w:val="009B7693"/>
    <w:rsid w:val="009B76B5"/>
    <w:rsid w:val="009B779A"/>
    <w:rsid w:val="009B7837"/>
    <w:rsid w:val="009B78F9"/>
    <w:rsid w:val="009B794D"/>
    <w:rsid w:val="009B7A11"/>
    <w:rsid w:val="009B7ADA"/>
    <w:rsid w:val="009B7C64"/>
    <w:rsid w:val="009B7CFB"/>
    <w:rsid w:val="009B7D38"/>
    <w:rsid w:val="009B7DFA"/>
    <w:rsid w:val="009B7E8B"/>
    <w:rsid w:val="009C0334"/>
    <w:rsid w:val="009C0692"/>
    <w:rsid w:val="009C0711"/>
    <w:rsid w:val="009C0741"/>
    <w:rsid w:val="009C0786"/>
    <w:rsid w:val="009C07EB"/>
    <w:rsid w:val="009C0AAD"/>
    <w:rsid w:val="009C0AC4"/>
    <w:rsid w:val="009C0AFC"/>
    <w:rsid w:val="009C0B70"/>
    <w:rsid w:val="009C0C40"/>
    <w:rsid w:val="009C0C79"/>
    <w:rsid w:val="009C0D57"/>
    <w:rsid w:val="009C0E43"/>
    <w:rsid w:val="009C0E68"/>
    <w:rsid w:val="009C0F06"/>
    <w:rsid w:val="009C0FBB"/>
    <w:rsid w:val="009C0FCD"/>
    <w:rsid w:val="009C107B"/>
    <w:rsid w:val="009C10C6"/>
    <w:rsid w:val="009C1197"/>
    <w:rsid w:val="009C11DE"/>
    <w:rsid w:val="009C12DD"/>
    <w:rsid w:val="009C12ED"/>
    <w:rsid w:val="009C135B"/>
    <w:rsid w:val="009C1486"/>
    <w:rsid w:val="009C14EC"/>
    <w:rsid w:val="009C1550"/>
    <w:rsid w:val="009C15A9"/>
    <w:rsid w:val="009C15AB"/>
    <w:rsid w:val="009C163E"/>
    <w:rsid w:val="009C1696"/>
    <w:rsid w:val="009C17D4"/>
    <w:rsid w:val="009C17DC"/>
    <w:rsid w:val="009C1835"/>
    <w:rsid w:val="009C1847"/>
    <w:rsid w:val="009C1927"/>
    <w:rsid w:val="009C1960"/>
    <w:rsid w:val="009C1A83"/>
    <w:rsid w:val="009C1B05"/>
    <w:rsid w:val="009C1B75"/>
    <w:rsid w:val="009C1BDF"/>
    <w:rsid w:val="009C1C84"/>
    <w:rsid w:val="009C1C90"/>
    <w:rsid w:val="009C1CA3"/>
    <w:rsid w:val="009C206A"/>
    <w:rsid w:val="009C2133"/>
    <w:rsid w:val="009C217F"/>
    <w:rsid w:val="009C223D"/>
    <w:rsid w:val="009C23B6"/>
    <w:rsid w:val="009C2487"/>
    <w:rsid w:val="009C24C7"/>
    <w:rsid w:val="009C2625"/>
    <w:rsid w:val="009C263C"/>
    <w:rsid w:val="009C264B"/>
    <w:rsid w:val="009C26BB"/>
    <w:rsid w:val="009C2737"/>
    <w:rsid w:val="009C273B"/>
    <w:rsid w:val="009C2787"/>
    <w:rsid w:val="009C2893"/>
    <w:rsid w:val="009C2980"/>
    <w:rsid w:val="009C2B10"/>
    <w:rsid w:val="009C2B12"/>
    <w:rsid w:val="009C2B79"/>
    <w:rsid w:val="009C2BB3"/>
    <w:rsid w:val="009C2BFD"/>
    <w:rsid w:val="009C2C37"/>
    <w:rsid w:val="009C2CC7"/>
    <w:rsid w:val="009C2DE1"/>
    <w:rsid w:val="009C2E9C"/>
    <w:rsid w:val="009C31AC"/>
    <w:rsid w:val="009C3224"/>
    <w:rsid w:val="009C327A"/>
    <w:rsid w:val="009C3316"/>
    <w:rsid w:val="009C334A"/>
    <w:rsid w:val="009C336F"/>
    <w:rsid w:val="009C3409"/>
    <w:rsid w:val="009C3421"/>
    <w:rsid w:val="009C3438"/>
    <w:rsid w:val="009C3461"/>
    <w:rsid w:val="009C36DD"/>
    <w:rsid w:val="009C3748"/>
    <w:rsid w:val="009C3823"/>
    <w:rsid w:val="009C3ABC"/>
    <w:rsid w:val="009C3AC9"/>
    <w:rsid w:val="009C3B20"/>
    <w:rsid w:val="009C3B70"/>
    <w:rsid w:val="009C3DEF"/>
    <w:rsid w:val="009C3E2B"/>
    <w:rsid w:val="009C3EB4"/>
    <w:rsid w:val="009C3F00"/>
    <w:rsid w:val="009C3F15"/>
    <w:rsid w:val="009C3F3A"/>
    <w:rsid w:val="009C3F67"/>
    <w:rsid w:val="009C4146"/>
    <w:rsid w:val="009C4155"/>
    <w:rsid w:val="009C417F"/>
    <w:rsid w:val="009C428D"/>
    <w:rsid w:val="009C4300"/>
    <w:rsid w:val="009C43AB"/>
    <w:rsid w:val="009C43E1"/>
    <w:rsid w:val="009C45C7"/>
    <w:rsid w:val="009C469F"/>
    <w:rsid w:val="009C474C"/>
    <w:rsid w:val="009C486E"/>
    <w:rsid w:val="009C4909"/>
    <w:rsid w:val="009C4995"/>
    <w:rsid w:val="009C4AE0"/>
    <w:rsid w:val="009C4ED8"/>
    <w:rsid w:val="009C4EFF"/>
    <w:rsid w:val="009C4FB7"/>
    <w:rsid w:val="009C5005"/>
    <w:rsid w:val="009C51C1"/>
    <w:rsid w:val="009C51FA"/>
    <w:rsid w:val="009C523E"/>
    <w:rsid w:val="009C5369"/>
    <w:rsid w:val="009C5426"/>
    <w:rsid w:val="009C579B"/>
    <w:rsid w:val="009C5912"/>
    <w:rsid w:val="009C5921"/>
    <w:rsid w:val="009C5948"/>
    <w:rsid w:val="009C5A17"/>
    <w:rsid w:val="009C5A47"/>
    <w:rsid w:val="009C5A69"/>
    <w:rsid w:val="009C5A6A"/>
    <w:rsid w:val="009C5B3F"/>
    <w:rsid w:val="009C5B4C"/>
    <w:rsid w:val="009C5BBD"/>
    <w:rsid w:val="009C5BDF"/>
    <w:rsid w:val="009C5C50"/>
    <w:rsid w:val="009C5FC7"/>
    <w:rsid w:val="009C5FF2"/>
    <w:rsid w:val="009C60B8"/>
    <w:rsid w:val="009C620F"/>
    <w:rsid w:val="009C6387"/>
    <w:rsid w:val="009C63B1"/>
    <w:rsid w:val="009C645C"/>
    <w:rsid w:val="009C6496"/>
    <w:rsid w:val="009C6612"/>
    <w:rsid w:val="009C6681"/>
    <w:rsid w:val="009C66B1"/>
    <w:rsid w:val="009C66BD"/>
    <w:rsid w:val="009C6706"/>
    <w:rsid w:val="009C6741"/>
    <w:rsid w:val="009C6845"/>
    <w:rsid w:val="009C6905"/>
    <w:rsid w:val="009C6931"/>
    <w:rsid w:val="009C695C"/>
    <w:rsid w:val="009C69A9"/>
    <w:rsid w:val="009C6B2B"/>
    <w:rsid w:val="009C6BF3"/>
    <w:rsid w:val="009C6C60"/>
    <w:rsid w:val="009C6CA2"/>
    <w:rsid w:val="009C6CF4"/>
    <w:rsid w:val="009C6D95"/>
    <w:rsid w:val="009C6DE7"/>
    <w:rsid w:val="009C6E63"/>
    <w:rsid w:val="009C6F4E"/>
    <w:rsid w:val="009C70C6"/>
    <w:rsid w:val="009C70D2"/>
    <w:rsid w:val="009C723E"/>
    <w:rsid w:val="009C72B1"/>
    <w:rsid w:val="009C72C3"/>
    <w:rsid w:val="009C744A"/>
    <w:rsid w:val="009C7469"/>
    <w:rsid w:val="009C7598"/>
    <w:rsid w:val="009C780D"/>
    <w:rsid w:val="009C78D6"/>
    <w:rsid w:val="009C7A26"/>
    <w:rsid w:val="009C7A55"/>
    <w:rsid w:val="009C7A69"/>
    <w:rsid w:val="009C7B7A"/>
    <w:rsid w:val="009C7DC0"/>
    <w:rsid w:val="009C7DEE"/>
    <w:rsid w:val="009C7F38"/>
    <w:rsid w:val="009D003D"/>
    <w:rsid w:val="009D0115"/>
    <w:rsid w:val="009D0146"/>
    <w:rsid w:val="009D01B1"/>
    <w:rsid w:val="009D01E5"/>
    <w:rsid w:val="009D0409"/>
    <w:rsid w:val="009D05EC"/>
    <w:rsid w:val="009D0654"/>
    <w:rsid w:val="009D091A"/>
    <w:rsid w:val="009D0942"/>
    <w:rsid w:val="009D094A"/>
    <w:rsid w:val="009D0A18"/>
    <w:rsid w:val="009D0A87"/>
    <w:rsid w:val="009D0A8E"/>
    <w:rsid w:val="009D0BAE"/>
    <w:rsid w:val="009D0BC5"/>
    <w:rsid w:val="009D0C6A"/>
    <w:rsid w:val="009D0D2E"/>
    <w:rsid w:val="009D0DC8"/>
    <w:rsid w:val="009D0EA0"/>
    <w:rsid w:val="009D0FD6"/>
    <w:rsid w:val="009D100E"/>
    <w:rsid w:val="009D10D7"/>
    <w:rsid w:val="009D10F0"/>
    <w:rsid w:val="009D12F7"/>
    <w:rsid w:val="009D1446"/>
    <w:rsid w:val="009D153B"/>
    <w:rsid w:val="009D15AB"/>
    <w:rsid w:val="009D15BF"/>
    <w:rsid w:val="009D1601"/>
    <w:rsid w:val="009D165C"/>
    <w:rsid w:val="009D1803"/>
    <w:rsid w:val="009D1823"/>
    <w:rsid w:val="009D19A9"/>
    <w:rsid w:val="009D19C4"/>
    <w:rsid w:val="009D1A1D"/>
    <w:rsid w:val="009D1C67"/>
    <w:rsid w:val="009D1CF2"/>
    <w:rsid w:val="009D1E50"/>
    <w:rsid w:val="009D1FEF"/>
    <w:rsid w:val="009D21DC"/>
    <w:rsid w:val="009D21FE"/>
    <w:rsid w:val="009D2245"/>
    <w:rsid w:val="009D2277"/>
    <w:rsid w:val="009D2461"/>
    <w:rsid w:val="009D247A"/>
    <w:rsid w:val="009D2506"/>
    <w:rsid w:val="009D273C"/>
    <w:rsid w:val="009D2747"/>
    <w:rsid w:val="009D2787"/>
    <w:rsid w:val="009D29B2"/>
    <w:rsid w:val="009D29CB"/>
    <w:rsid w:val="009D29F9"/>
    <w:rsid w:val="009D2C7C"/>
    <w:rsid w:val="009D2D13"/>
    <w:rsid w:val="009D2D44"/>
    <w:rsid w:val="009D2D75"/>
    <w:rsid w:val="009D2D82"/>
    <w:rsid w:val="009D2DB5"/>
    <w:rsid w:val="009D2DE7"/>
    <w:rsid w:val="009D2DEF"/>
    <w:rsid w:val="009D2FA7"/>
    <w:rsid w:val="009D30CB"/>
    <w:rsid w:val="009D31E6"/>
    <w:rsid w:val="009D328D"/>
    <w:rsid w:val="009D339A"/>
    <w:rsid w:val="009D33FB"/>
    <w:rsid w:val="009D343D"/>
    <w:rsid w:val="009D346B"/>
    <w:rsid w:val="009D369F"/>
    <w:rsid w:val="009D3758"/>
    <w:rsid w:val="009D376D"/>
    <w:rsid w:val="009D3823"/>
    <w:rsid w:val="009D382D"/>
    <w:rsid w:val="009D38C1"/>
    <w:rsid w:val="009D38C7"/>
    <w:rsid w:val="009D39CD"/>
    <w:rsid w:val="009D3AB5"/>
    <w:rsid w:val="009D3B83"/>
    <w:rsid w:val="009D3B8A"/>
    <w:rsid w:val="009D3BCB"/>
    <w:rsid w:val="009D3F82"/>
    <w:rsid w:val="009D3F98"/>
    <w:rsid w:val="009D3FE0"/>
    <w:rsid w:val="009D3FEB"/>
    <w:rsid w:val="009D3FF0"/>
    <w:rsid w:val="009D3FF3"/>
    <w:rsid w:val="009D4068"/>
    <w:rsid w:val="009D424F"/>
    <w:rsid w:val="009D44EF"/>
    <w:rsid w:val="009D4607"/>
    <w:rsid w:val="009D47A6"/>
    <w:rsid w:val="009D47FF"/>
    <w:rsid w:val="009D480E"/>
    <w:rsid w:val="009D486B"/>
    <w:rsid w:val="009D48BF"/>
    <w:rsid w:val="009D48FF"/>
    <w:rsid w:val="009D4915"/>
    <w:rsid w:val="009D4A5E"/>
    <w:rsid w:val="009D4A8C"/>
    <w:rsid w:val="009D4B17"/>
    <w:rsid w:val="009D4C38"/>
    <w:rsid w:val="009D4C7F"/>
    <w:rsid w:val="009D4C98"/>
    <w:rsid w:val="009D4E61"/>
    <w:rsid w:val="009D4E93"/>
    <w:rsid w:val="009D4F6C"/>
    <w:rsid w:val="009D4FD1"/>
    <w:rsid w:val="009D5100"/>
    <w:rsid w:val="009D52E6"/>
    <w:rsid w:val="009D533F"/>
    <w:rsid w:val="009D5391"/>
    <w:rsid w:val="009D5481"/>
    <w:rsid w:val="009D5492"/>
    <w:rsid w:val="009D5534"/>
    <w:rsid w:val="009D5594"/>
    <w:rsid w:val="009D5598"/>
    <w:rsid w:val="009D55AA"/>
    <w:rsid w:val="009D55B6"/>
    <w:rsid w:val="009D5642"/>
    <w:rsid w:val="009D57FC"/>
    <w:rsid w:val="009D5964"/>
    <w:rsid w:val="009D5975"/>
    <w:rsid w:val="009D59AD"/>
    <w:rsid w:val="009D59C7"/>
    <w:rsid w:val="009D5BBC"/>
    <w:rsid w:val="009D5C02"/>
    <w:rsid w:val="009D5C05"/>
    <w:rsid w:val="009D5C29"/>
    <w:rsid w:val="009D5C93"/>
    <w:rsid w:val="009D5CB5"/>
    <w:rsid w:val="009D5CD3"/>
    <w:rsid w:val="009D6079"/>
    <w:rsid w:val="009D611B"/>
    <w:rsid w:val="009D612A"/>
    <w:rsid w:val="009D61A8"/>
    <w:rsid w:val="009D61F6"/>
    <w:rsid w:val="009D6205"/>
    <w:rsid w:val="009D6246"/>
    <w:rsid w:val="009D632F"/>
    <w:rsid w:val="009D6370"/>
    <w:rsid w:val="009D639D"/>
    <w:rsid w:val="009D6414"/>
    <w:rsid w:val="009D649F"/>
    <w:rsid w:val="009D64A8"/>
    <w:rsid w:val="009D64C0"/>
    <w:rsid w:val="009D64CC"/>
    <w:rsid w:val="009D650D"/>
    <w:rsid w:val="009D659F"/>
    <w:rsid w:val="009D6670"/>
    <w:rsid w:val="009D66DF"/>
    <w:rsid w:val="009D66FF"/>
    <w:rsid w:val="009D6889"/>
    <w:rsid w:val="009D6922"/>
    <w:rsid w:val="009D692E"/>
    <w:rsid w:val="009D697B"/>
    <w:rsid w:val="009D69B8"/>
    <w:rsid w:val="009D6A85"/>
    <w:rsid w:val="009D6BB1"/>
    <w:rsid w:val="009D6C53"/>
    <w:rsid w:val="009D6CCC"/>
    <w:rsid w:val="009D6CD8"/>
    <w:rsid w:val="009D6CF3"/>
    <w:rsid w:val="009D6D03"/>
    <w:rsid w:val="009D6E03"/>
    <w:rsid w:val="009D6F63"/>
    <w:rsid w:val="009D6FD5"/>
    <w:rsid w:val="009D6FF2"/>
    <w:rsid w:val="009D70C7"/>
    <w:rsid w:val="009D7177"/>
    <w:rsid w:val="009D718F"/>
    <w:rsid w:val="009D72CE"/>
    <w:rsid w:val="009D7448"/>
    <w:rsid w:val="009D7483"/>
    <w:rsid w:val="009D75DA"/>
    <w:rsid w:val="009D76E5"/>
    <w:rsid w:val="009D7753"/>
    <w:rsid w:val="009D776D"/>
    <w:rsid w:val="009D77B0"/>
    <w:rsid w:val="009D7829"/>
    <w:rsid w:val="009D7A1E"/>
    <w:rsid w:val="009D7A7D"/>
    <w:rsid w:val="009D7BD8"/>
    <w:rsid w:val="009D7C3E"/>
    <w:rsid w:val="009D7CC2"/>
    <w:rsid w:val="009D7D0F"/>
    <w:rsid w:val="009D7D5C"/>
    <w:rsid w:val="009D7D66"/>
    <w:rsid w:val="009D7E67"/>
    <w:rsid w:val="009E01E9"/>
    <w:rsid w:val="009E025D"/>
    <w:rsid w:val="009E02B4"/>
    <w:rsid w:val="009E02C0"/>
    <w:rsid w:val="009E02D1"/>
    <w:rsid w:val="009E051C"/>
    <w:rsid w:val="009E06A3"/>
    <w:rsid w:val="009E074B"/>
    <w:rsid w:val="009E07AF"/>
    <w:rsid w:val="009E080E"/>
    <w:rsid w:val="009E0908"/>
    <w:rsid w:val="009E0924"/>
    <w:rsid w:val="009E0B6D"/>
    <w:rsid w:val="009E0B99"/>
    <w:rsid w:val="009E0E4D"/>
    <w:rsid w:val="009E0F86"/>
    <w:rsid w:val="009E1003"/>
    <w:rsid w:val="009E10E8"/>
    <w:rsid w:val="009E1167"/>
    <w:rsid w:val="009E11C2"/>
    <w:rsid w:val="009E11D3"/>
    <w:rsid w:val="009E11E1"/>
    <w:rsid w:val="009E129B"/>
    <w:rsid w:val="009E12A2"/>
    <w:rsid w:val="009E12F7"/>
    <w:rsid w:val="009E1310"/>
    <w:rsid w:val="009E1444"/>
    <w:rsid w:val="009E1713"/>
    <w:rsid w:val="009E17C3"/>
    <w:rsid w:val="009E1864"/>
    <w:rsid w:val="009E18B6"/>
    <w:rsid w:val="009E19D7"/>
    <w:rsid w:val="009E1AC4"/>
    <w:rsid w:val="009E1B4A"/>
    <w:rsid w:val="009E1B8F"/>
    <w:rsid w:val="009E1B9F"/>
    <w:rsid w:val="009E1BFC"/>
    <w:rsid w:val="009E1C29"/>
    <w:rsid w:val="009E1D2B"/>
    <w:rsid w:val="009E1F44"/>
    <w:rsid w:val="009E1F77"/>
    <w:rsid w:val="009E1FCB"/>
    <w:rsid w:val="009E1FFC"/>
    <w:rsid w:val="009E203A"/>
    <w:rsid w:val="009E214D"/>
    <w:rsid w:val="009E2527"/>
    <w:rsid w:val="009E2605"/>
    <w:rsid w:val="009E26CC"/>
    <w:rsid w:val="009E274C"/>
    <w:rsid w:val="009E2794"/>
    <w:rsid w:val="009E28AF"/>
    <w:rsid w:val="009E29E2"/>
    <w:rsid w:val="009E29FF"/>
    <w:rsid w:val="009E2B19"/>
    <w:rsid w:val="009E2C0D"/>
    <w:rsid w:val="009E2C42"/>
    <w:rsid w:val="009E2C99"/>
    <w:rsid w:val="009E2CCB"/>
    <w:rsid w:val="009E2D72"/>
    <w:rsid w:val="009E2E13"/>
    <w:rsid w:val="009E2EDC"/>
    <w:rsid w:val="009E317E"/>
    <w:rsid w:val="009E31C2"/>
    <w:rsid w:val="009E31F9"/>
    <w:rsid w:val="009E356C"/>
    <w:rsid w:val="009E364F"/>
    <w:rsid w:val="009E36A0"/>
    <w:rsid w:val="009E3703"/>
    <w:rsid w:val="009E3846"/>
    <w:rsid w:val="009E387E"/>
    <w:rsid w:val="009E39AC"/>
    <w:rsid w:val="009E3A00"/>
    <w:rsid w:val="009E3A66"/>
    <w:rsid w:val="009E3A84"/>
    <w:rsid w:val="009E3AA9"/>
    <w:rsid w:val="009E3B66"/>
    <w:rsid w:val="009E3BA0"/>
    <w:rsid w:val="009E3BDC"/>
    <w:rsid w:val="009E3BEB"/>
    <w:rsid w:val="009E3CF6"/>
    <w:rsid w:val="009E3D21"/>
    <w:rsid w:val="009E3D26"/>
    <w:rsid w:val="009E3DA1"/>
    <w:rsid w:val="009E3E3F"/>
    <w:rsid w:val="009E3EB3"/>
    <w:rsid w:val="009E420C"/>
    <w:rsid w:val="009E4212"/>
    <w:rsid w:val="009E44FC"/>
    <w:rsid w:val="009E4538"/>
    <w:rsid w:val="009E4633"/>
    <w:rsid w:val="009E4646"/>
    <w:rsid w:val="009E4649"/>
    <w:rsid w:val="009E46B9"/>
    <w:rsid w:val="009E475B"/>
    <w:rsid w:val="009E484F"/>
    <w:rsid w:val="009E489D"/>
    <w:rsid w:val="009E48D2"/>
    <w:rsid w:val="009E48F3"/>
    <w:rsid w:val="009E4910"/>
    <w:rsid w:val="009E49AC"/>
    <w:rsid w:val="009E49C3"/>
    <w:rsid w:val="009E49C8"/>
    <w:rsid w:val="009E4A4F"/>
    <w:rsid w:val="009E4C09"/>
    <w:rsid w:val="009E4C6B"/>
    <w:rsid w:val="009E4D3F"/>
    <w:rsid w:val="009E4D93"/>
    <w:rsid w:val="009E4D94"/>
    <w:rsid w:val="009E4DC3"/>
    <w:rsid w:val="009E4E5B"/>
    <w:rsid w:val="009E4F0D"/>
    <w:rsid w:val="009E4F55"/>
    <w:rsid w:val="009E4FB3"/>
    <w:rsid w:val="009E4FBB"/>
    <w:rsid w:val="009E50F3"/>
    <w:rsid w:val="009E513E"/>
    <w:rsid w:val="009E52C6"/>
    <w:rsid w:val="009E52DA"/>
    <w:rsid w:val="009E53CC"/>
    <w:rsid w:val="009E53D5"/>
    <w:rsid w:val="009E53D8"/>
    <w:rsid w:val="009E54AA"/>
    <w:rsid w:val="009E550B"/>
    <w:rsid w:val="009E56CA"/>
    <w:rsid w:val="009E57BE"/>
    <w:rsid w:val="009E584B"/>
    <w:rsid w:val="009E5920"/>
    <w:rsid w:val="009E598D"/>
    <w:rsid w:val="009E59CB"/>
    <w:rsid w:val="009E59FB"/>
    <w:rsid w:val="009E5A7B"/>
    <w:rsid w:val="009E5A7F"/>
    <w:rsid w:val="009E5AF0"/>
    <w:rsid w:val="009E5B38"/>
    <w:rsid w:val="009E5C72"/>
    <w:rsid w:val="009E5D28"/>
    <w:rsid w:val="009E5DE1"/>
    <w:rsid w:val="009E5E5A"/>
    <w:rsid w:val="009E6064"/>
    <w:rsid w:val="009E613E"/>
    <w:rsid w:val="009E6150"/>
    <w:rsid w:val="009E616D"/>
    <w:rsid w:val="009E61A4"/>
    <w:rsid w:val="009E61C9"/>
    <w:rsid w:val="009E61D2"/>
    <w:rsid w:val="009E6363"/>
    <w:rsid w:val="009E6452"/>
    <w:rsid w:val="009E6455"/>
    <w:rsid w:val="009E656B"/>
    <w:rsid w:val="009E65E4"/>
    <w:rsid w:val="009E65FE"/>
    <w:rsid w:val="009E66FA"/>
    <w:rsid w:val="009E67F4"/>
    <w:rsid w:val="009E69A8"/>
    <w:rsid w:val="009E6A19"/>
    <w:rsid w:val="009E6AED"/>
    <w:rsid w:val="009E6AF3"/>
    <w:rsid w:val="009E6B99"/>
    <w:rsid w:val="009E6CBA"/>
    <w:rsid w:val="009E6D14"/>
    <w:rsid w:val="009E6D1A"/>
    <w:rsid w:val="009E6D55"/>
    <w:rsid w:val="009E6D6A"/>
    <w:rsid w:val="009E6F22"/>
    <w:rsid w:val="009E6FF9"/>
    <w:rsid w:val="009E7008"/>
    <w:rsid w:val="009E707B"/>
    <w:rsid w:val="009E7102"/>
    <w:rsid w:val="009E7111"/>
    <w:rsid w:val="009E7176"/>
    <w:rsid w:val="009E7181"/>
    <w:rsid w:val="009E72B6"/>
    <w:rsid w:val="009E7416"/>
    <w:rsid w:val="009E742F"/>
    <w:rsid w:val="009E74ED"/>
    <w:rsid w:val="009E7585"/>
    <w:rsid w:val="009E7636"/>
    <w:rsid w:val="009E76CC"/>
    <w:rsid w:val="009E7843"/>
    <w:rsid w:val="009E7912"/>
    <w:rsid w:val="009E7A7E"/>
    <w:rsid w:val="009E7B22"/>
    <w:rsid w:val="009E7B4F"/>
    <w:rsid w:val="009E7BC7"/>
    <w:rsid w:val="009E7C2D"/>
    <w:rsid w:val="009E7CC0"/>
    <w:rsid w:val="009E7D0E"/>
    <w:rsid w:val="009E7D8F"/>
    <w:rsid w:val="009E7DE7"/>
    <w:rsid w:val="009E7DFB"/>
    <w:rsid w:val="009E7EF8"/>
    <w:rsid w:val="009F001C"/>
    <w:rsid w:val="009F0182"/>
    <w:rsid w:val="009F01F7"/>
    <w:rsid w:val="009F026B"/>
    <w:rsid w:val="009F0371"/>
    <w:rsid w:val="009F03A4"/>
    <w:rsid w:val="009F03F7"/>
    <w:rsid w:val="009F052F"/>
    <w:rsid w:val="009F059A"/>
    <w:rsid w:val="009F0950"/>
    <w:rsid w:val="009F0983"/>
    <w:rsid w:val="009F0A87"/>
    <w:rsid w:val="009F0C04"/>
    <w:rsid w:val="009F0D0F"/>
    <w:rsid w:val="009F0D11"/>
    <w:rsid w:val="009F0E0B"/>
    <w:rsid w:val="009F0F4C"/>
    <w:rsid w:val="009F0F5E"/>
    <w:rsid w:val="009F1090"/>
    <w:rsid w:val="009F10C8"/>
    <w:rsid w:val="009F1166"/>
    <w:rsid w:val="009F136B"/>
    <w:rsid w:val="009F13B4"/>
    <w:rsid w:val="009F13CE"/>
    <w:rsid w:val="009F13F3"/>
    <w:rsid w:val="009F1425"/>
    <w:rsid w:val="009F1461"/>
    <w:rsid w:val="009F14EE"/>
    <w:rsid w:val="009F1507"/>
    <w:rsid w:val="009F162D"/>
    <w:rsid w:val="009F16AD"/>
    <w:rsid w:val="009F1845"/>
    <w:rsid w:val="009F1874"/>
    <w:rsid w:val="009F1A6B"/>
    <w:rsid w:val="009F1A7C"/>
    <w:rsid w:val="009F1BF5"/>
    <w:rsid w:val="009F1C21"/>
    <w:rsid w:val="009F1C8F"/>
    <w:rsid w:val="009F1DF3"/>
    <w:rsid w:val="009F1E62"/>
    <w:rsid w:val="009F1F52"/>
    <w:rsid w:val="009F2028"/>
    <w:rsid w:val="009F217B"/>
    <w:rsid w:val="009F2182"/>
    <w:rsid w:val="009F21F3"/>
    <w:rsid w:val="009F2298"/>
    <w:rsid w:val="009F251A"/>
    <w:rsid w:val="009F252E"/>
    <w:rsid w:val="009F27AB"/>
    <w:rsid w:val="009F28A2"/>
    <w:rsid w:val="009F28CF"/>
    <w:rsid w:val="009F28E4"/>
    <w:rsid w:val="009F29C1"/>
    <w:rsid w:val="009F2A40"/>
    <w:rsid w:val="009F2AA4"/>
    <w:rsid w:val="009F2B82"/>
    <w:rsid w:val="009F2BA7"/>
    <w:rsid w:val="009F2D60"/>
    <w:rsid w:val="009F2E4E"/>
    <w:rsid w:val="009F2E5C"/>
    <w:rsid w:val="009F2E5E"/>
    <w:rsid w:val="009F2E64"/>
    <w:rsid w:val="009F2FF9"/>
    <w:rsid w:val="009F326E"/>
    <w:rsid w:val="009F32F0"/>
    <w:rsid w:val="009F3341"/>
    <w:rsid w:val="009F33AF"/>
    <w:rsid w:val="009F350F"/>
    <w:rsid w:val="009F3651"/>
    <w:rsid w:val="009F36EC"/>
    <w:rsid w:val="009F379C"/>
    <w:rsid w:val="009F37B9"/>
    <w:rsid w:val="009F38C2"/>
    <w:rsid w:val="009F38D1"/>
    <w:rsid w:val="009F3AAF"/>
    <w:rsid w:val="009F3AE7"/>
    <w:rsid w:val="009F3BEA"/>
    <w:rsid w:val="009F3E6C"/>
    <w:rsid w:val="009F3E75"/>
    <w:rsid w:val="009F3E9A"/>
    <w:rsid w:val="009F4046"/>
    <w:rsid w:val="009F409C"/>
    <w:rsid w:val="009F4178"/>
    <w:rsid w:val="009F428B"/>
    <w:rsid w:val="009F42ED"/>
    <w:rsid w:val="009F4361"/>
    <w:rsid w:val="009F44CD"/>
    <w:rsid w:val="009F4565"/>
    <w:rsid w:val="009F45DB"/>
    <w:rsid w:val="009F46A2"/>
    <w:rsid w:val="009F4809"/>
    <w:rsid w:val="009F4842"/>
    <w:rsid w:val="009F4893"/>
    <w:rsid w:val="009F496A"/>
    <w:rsid w:val="009F499F"/>
    <w:rsid w:val="009F49A1"/>
    <w:rsid w:val="009F4A88"/>
    <w:rsid w:val="009F4BAC"/>
    <w:rsid w:val="009F4C2B"/>
    <w:rsid w:val="009F4C3D"/>
    <w:rsid w:val="009F4C5E"/>
    <w:rsid w:val="009F4D12"/>
    <w:rsid w:val="009F4DBB"/>
    <w:rsid w:val="009F4EA4"/>
    <w:rsid w:val="009F4EF3"/>
    <w:rsid w:val="009F4F40"/>
    <w:rsid w:val="009F4FED"/>
    <w:rsid w:val="009F5157"/>
    <w:rsid w:val="009F517E"/>
    <w:rsid w:val="009F519B"/>
    <w:rsid w:val="009F53D8"/>
    <w:rsid w:val="009F5416"/>
    <w:rsid w:val="009F5417"/>
    <w:rsid w:val="009F5524"/>
    <w:rsid w:val="009F5577"/>
    <w:rsid w:val="009F5590"/>
    <w:rsid w:val="009F56F1"/>
    <w:rsid w:val="009F5836"/>
    <w:rsid w:val="009F585D"/>
    <w:rsid w:val="009F58B4"/>
    <w:rsid w:val="009F5AD8"/>
    <w:rsid w:val="009F5AE4"/>
    <w:rsid w:val="009F5DC8"/>
    <w:rsid w:val="009F5DD0"/>
    <w:rsid w:val="009F5FDB"/>
    <w:rsid w:val="009F60FA"/>
    <w:rsid w:val="009F61A4"/>
    <w:rsid w:val="009F6236"/>
    <w:rsid w:val="009F6258"/>
    <w:rsid w:val="009F62E1"/>
    <w:rsid w:val="009F635A"/>
    <w:rsid w:val="009F63A4"/>
    <w:rsid w:val="009F63FC"/>
    <w:rsid w:val="009F6473"/>
    <w:rsid w:val="009F64D2"/>
    <w:rsid w:val="009F64F9"/>
    <w:rsid w:val="009F6575"/>
    <w:rsid w:val="009F668E"/>
    <w:rsid w:val="009F66CE"/>
    <w:rsid w:val="009F66F5"/>
    <w:rsid w:val="009F6710"/>
    <w:rsid w:val="009F68DE"/>
    <w:rsid w:val="009F69FD"/>
    <w:rsid w:val="009F6A02"/>
    <w:rsid w:val="009F6A5B"/>
    <w:rsid w:val="009F6BD2"/>
    <w:rsid w:val="009F6BDA"/>
    <w:rsid w:val="009F6D01"/>
    <w:rsid w:val="009F6DC2"/>
    <w:rsid w:val="009F6E1B"/>
    <w:rsid w:val="009F6E91"/>
    <w:rsid w:val="009F6F9E"/>
    <w:rsid w:val="009F6FB1"/>
    <w:rsid w:val="009F6FDB"/>
    <w:rsid w:val="009F70E2"/>
    <w:rsid w:val="009F7100"/>
    <w:rsid w:val="009F7220"/>
    <w:rsid w:val="009F7238"/>
    <w:rsid w:val="009F7377"/>
    <w:rsid w:val="009F73B4"/>
    <w:rsid w:val="009F7433"/>
    <w:rsid w:val="009F7463"/>
    <w:rsid w:val="009F746B"/>
    <w:rsid w:val="009F749F"/>
    <w:rsid w:val="009F7592"/>
    <w:rsid w:val="009F75F8"/>
    <w:rsid w:val="009F7928"/>
    <w:rsid w:val="009F7987"/>
    <w:rsid w:val="009F7A6D"/>
    <w:rsid w:val="009F7ABF"/>
    <w:rsid w:val="009F7B85"/>
    <w:rsid w:val="009F7DEE"/>
    <w:rsid w:val="009F7F3C"/>
    <w:rsid w:val="009F7F95"/>
    <w:rsid w:val="00A00114"/>
    <w:rsid w:val="00A003A8"/>
    <w:rsid w:val="00A003B9"/>
    <w:rsid w:val="00A003F5"/>
    <w:rsid w:val="00A00423"/>
    <w:rsid w:val="00A00440"/>
    <w:rsid w:val="00A0044A"/>
    <w:rsid w:val="00A004A9"/>
    <w:rsid w:val="00A004FB"/>
    <w:rsid w:val="00A00679"/>
    <w:rsid w:val="00A006BF"/>
    <w:rsid w:val="00A006E7"/>
    <w:rsid w:val="00A0085E"/>
    <w:rsid w:val="00A00879"/>
    <w:rsid w:val="00A00922"/>
    <w:rsid w:val="00A00AC7"/>
    <w:rsid w:val="00A00AED"/>
    <w:rsid w:val="00A00BB4"/>
    <w:rsid w:val="00A00C48"/>
    <w:rsid w:val="00A00C9A"/>
    <w:rsid w:val="00A00CE8"/>
    <w:rsid w:val="00A00D67"/>
    <w:rsid w:val="00A00E1E"/>
    <w:rsid w:val="00A00FB1"/>
    <w:rsid w:val="00A0107C"/>
    <w:rsid w:val="00A01153"/>
    <w:rsid w:val="00A011E8"/>
    <w:rsid w:val="00A0121E"/>
    <w:rsid w:val="00A0122D"/>
    <w:rsid w:val="00A0145F"/>
    <w:rsid w:val="00A01674"/>
    <w:rsid w:val="00A01686"/>
    <w:rsid w:val="00A016DE"/>
    <w:rsid w:val="00A016DF"/>
    <w:rsid w:val="00A01752"/>
    <w:rsid w:val="00A018DC"/>
    <w:rsid w:val="00A019D1"/>
    <w:rsid w:val="00A01A64"/>
    <w:rsid w:val="00A01B03"/>
    <w:rsid w:val="00A01C8E"/>
    <w:rsid w:val="00A01D4B"/>
    <w:rsid w:val="00A01DFC"/>
    <w:rsid w:val="00A01E12"/>
    <w:rsid w:val="00A01E83"/>
    <w:rsid w:val="00A01EB5"/>
    <w:rsid w:val="00A02058"/>
    <w:rsid w:val="00A020C9"/>
    <w:rsid w:val="00A020F3"/>
    <w:rsid w:val="00A02239"/>
    <w:rsid w:val="00A0252C"/>
    <w:rsid w:val="00A02538"/>
    <w:rsid w:val="00A02672"/>
    <w:rsid w:val="00A026A4"/>
    <w:rsid w:val="00A026F5"/>
    <w:rsid w:val="00A026F6"/>
    <w:rsid w:val="00A0284F"/>
    <w:rsid w:val="00A02861"/>
    <w:rsid w:val="00A029A5"/>
    <w:rsid w:val="00A02A70"/>
    <w:rsid w:val="00A02AE4"/>
    <w:rsid w:val="00A02B09"/>
    <w:rsid w:val="00A02DF9"/>
    <w:rsid w:val="00A02F71"/>
    <w:rsid w:val="00A03002"/>
    <w:rsid w:val="00A0306A"/>
    <w:rsid w:val="00A03152"/>
    <w:rsid w:val="00A0315B"/>
    <w:rsid w:val="00A031C2"/>
    <w:rsid w:val="00A03229"/>
    <w:rsid w:val="00A033AB"/>
    <w:rsid w:val="00A033BF"/>
    <w:rsid w:val="00A033D2"/>
    <w:rsid w:val="00A03418"/>
    <w:rsid w:val="00A0364D"/>
    <w:rsid w:val="00A0377B"/>
    <w:rsid w:val="00A03813"/>
    <w:rsid w:val="00A038AF"/>
    <w:rsid w:val="00A03A54"/>
    <w:rsid w:val="00A03A6A"/>
    <w:rsid w:val="00A03ACA"/>
    <w:rsid w:val="00A03B1E"/>
    <w:rsid w:val="00A03C3F"/>
    <w:rsid w:val="00A03D10"/>
    <w:rsid w:val="00A03DB5"/>
    <w:rsid w:val="00A03DE8"/>
    <w:rsid w:val="00A03E45"/>
    <w:rsid w:val="00A03E60"/>
    <w:rsid w:val="00A03EBA"/>
    <w:rsid w:val="00A03FBB"/>
    <w:rsid w:val="00A0400B"/>
    <w:rsid w:val="00A042AA"/>
    <w:rsid w:val="00A042E4"/>
    <w:rsid w:val="00A043FA"/>
    <w:rsid w:val="00A04448"/>
    <w:rsid w:val="00A044A9"/>
    <w:rsid w:val="00A04662"/>
    <w:rsid w:val="00A046C7"/>
    <w:rsid w:val="00A047C9"/>
    <w:rsid w:val="00A04951"/>
    <w:rsid w:val="00A04A81"/>
    <w:rsid w:val="00A04B5C"/>
    <w:rsid w:val="00A04BF6"/>
    <w:rsid w:val="00A04C97"/>
    <w:rsid w:val="00A04D3E"/>
    <w:rsid w:val="00A04D64"/>
    <w:rsid w:val="00A04E83"/>
    <w:rsid w:val="00A05005"/>
    <w:rsid w:val="00A050BD"/>
    <w:rsid w:val="00A0512E"/>
    <w:rsid w:val="00A05179"/>
    <w:rsid w:val="00A051FE"/>
    <w:rsid w:val="00A05260"/>
    <w:rsid w:val="00A052C0"/>
    <w:rsid w:val="00A05300"/>
    <w:rsid w:val="00A05316"/>
    <w:rsid w:val="00A05322"/>
    <w:rsid w:val="00A05461"/>
    <w:rsid w:val="00A055EB"/>
    <w:rsid w:val="00A056A9"/>
    <w:rsid w:val="00A0597F"/>
    <w:rsid w:val="00A05A71"/>
    <w:rsid w:val="00A05B1E"/>
    <w:rsid w:val="00A05B7D"/>
    <w:rsid w:val="00A05D03"/>
    <w:rsid w:val="00A05ECB"/>
    <w:rsid w:val="00A0605D"/>
    <w:rsid w:val="00A0610A"/>
    <w:rsid w:val="00A061CF"/>
    <w:rsid w:val="00A062D9"/>
    <w:rsid w:val="00A0631C"/>
    <w:rsid w:val="00A06325"/>
    <w:rsid w:val="00A06335"/>
    <w:rsid w:val="00A06395"/>
    <w:rsid w:val="00A063EC"/>
    <w:rsid w:val="00A063F3"/>
    <w:rsid w:val="00A06441"/>
    <w:rsid w:val="00A06560"/>
    <w:rsid w:val="00A065FA"/>
    <w:rsid w:val="00A0670C"/>
    <w:rsid w:val="00A067F1"/>
    <w:rsid w:val="00A06940"/>
    <w:rsid w:val="00A069A5"/>
    <w:rsid w:val="00A069AE"/>
    <w:rsid w:val="00A069EF"/>
    <w:rsid w:val="00A06B8D"/>
    <w:rsid w:val="00A06C2B"/>
    <w:rsid w:val="00A06C9F"/>
    <w:rsid w:val="00A06D39"/>
    <w:rsid w:val="00A06D9F"/>
    <w:rsid w:val="00A06E05"/>
    <w:rsid w:val="00A06F42"/>
    <w:rsid w:val="00A06F5D"/>
    <w:rsid w:val="00A06F84"/>
    <w:rsid w:val="00A0706F"/>
    <w:rsid w:val="00A07087"/>
    <w:rsid w:val="00A071AD"/>
    <w:rsid w:val="00A07335"/>
    <w:rsid w:val="00A07482"/>
    <w:rsid w:val="00A07518"/>
    <w:rsid w:val="00A07573"/>
    <w:rsid w:val="00A075E7"/>
    <w:rsid w:val="00A07643"/>
    <w:rsid w:val="00A0773A"/>
    <w:rsid w:val="00A0779D"/>
    <w:rsid w:val="00A0780F"/>
    <w:rsid w:val="00A07831"/>
    <w:rsid w:val="00A07879"/>
    <w:rsid w:val="00A07904"/>
    <w:rsid w:val="00A079D1"/>
    <w:rsid w:val="00A079D4"/>
    <w:rsid w:val="00A079FE"/>
    <w:rsid w:val="00A07A35"/>
    <w:rsid w:val="00A07B1E"/>
    <w:rsid w:val="00A07B4A"/>
    <w:rsid w:val="00A07BAC"/>
    <w:rsid w:val="00A07CEE"/>
    <w:rsid w:val="00A07DCD"/>
    <w:rsid w:val="00A07E71"/>
    <w:rsid w:val="00A07F52"/>
    <w:rsid w:val="00A07FCF"/>
    <w:rsid w:val="00A100DA"/>
    <w:rsid w:val="00A10244"/>
    <w:rsid w:val="00A103A3"/>
    <w:rsid w:val="00A10401"/>
    <w:rsid w:val="00A10475"/>
    <w:rsid w:val="00A10556"/>
    <w:rsid w:val="00A1056C"/>
    <w:rsid w:val="00A1075E"/>
    <w:rsid w:val="00A107FC"/>
    <w:rsid w:val="00A10856"/>
    <w:rsid w:val="00A108B2"/>
    <w:rsid w:val="00A10913"/>
    <w:rsid w:val="00A10A12"/>
    <w:rsid w:val="00A10A81"/>
    <w:rsid w:val="00A10ABC"/>
    <w:rsid w:val="00A10B0F"/>
    <w:rsid w:val="00A10B7D"/>
    <w:rsid w:val="00A10C5D"/>
    <w:rsid w:val="00A10F45"/>
    <w:rsid w:val="00A10F53"/>
    <w:rsid w:val="00A110AF"/>
    <w:rsid w:val="00A1128C"/>
    <w:rsid w:val="00A113D0"/>
    <w:rsid w:val="00A11499"/>
    <w:rsid w:val="00A11500"/>
    <w:rsid w:val="00A11537"/>
    <w:rsid w:val="00A11556"/>
    <w:rsid w:val="00A1189E"/>
    <w:rsid w:val="00A11A15"/>
    <w:rsid w:val="00A11A2A"/>
    <w:rsid w:val="00A11A74"/>
    <w:rsid w:val="00A11AA0"/>
    <w:rsid w:val="00A11BA3"/>
    <w:rsid w:val="00A11BF9"/>
    <w:rsid w:val="00A11C1A"/>
    <w:rsid w:val="00A11F09"/>
    <w:rsid w:val="00A11F91"/>
    <w:rsid w:val="00A11FCA"/>
    <w:rsid w:val="00A121FC"/>
    <w:rsid w:val="00A1225D"/>
    <w:rsid w:val="00A12459"/>
    <w:rsid w:val="00A1245B"/>
    <w:rsid w:val="00A1254B"/>
    <w:rsid w:val="00A129DA"/>
    <w:rsid w:val="00A12A05"/>
    <w:rsid w:val="00A12ADE"/>
    <w:rsid w:val="00A12B65"/>
    <w:rsid w:val="00A12B9F"/>
    <w:rsid w:val="00A12CC0"/>
    <w:rsid w:val="00A12DBA"/>
    <w:rsid w:val="00A12F3D"/>
    <w:rsid w:val="00A12F7B"/>
    <w:rsid w:val="00A1302F"/>
    <w:rsid w:val="00A1319C"/>
    <w:rsid w:val="00A1343F"/>
    <w:rsid w:val="00A13494"/>
    <w:rsid w:val="00A134CB"/>
    <w:rsid w:val="00A135E2"/>
    <w:rsid w:val="00A135FD"/>
    <w:rsid w:val="00A13760"/>
    <w:rsid w:val="00A1387D"/>
    <w:rsid w:val="00A13960"/>
    <w:rsid w:val="00A13A8A"/>
    <w:rsid w:val="00A13BA1"/>
    <w:rsid w:val="00A13BDB"/>
    <w:rsid w:val="00A13D0F"/>
    <w:rsid w:val="00A13F8B"/>
    <w:rsid w:val="00A13FF2"/>
    <w:rsid w:val="00A13FF9"/>
    <w:rsid w:val="00A14101"/>
    <w:rsid w:val="00A14138"/>
    <w:rsid w:val="00A14187"/>
    <w:rsid w:val="00A141CE"/>
    <w:rsid w:val="00A14216"/>
    <w:rsid w:val="00A14237"/>
    <w:rsid w:val="00A1432E"/>
    <w:rsid w:val="00A143E4"/>
    <w:rsid w:val="00A14466"/>
    <w:rsid w:val="00A144DE"/>
    <w:rsid w:val="00A144F3"/>
    <w:rsid w:val="00A145D3"/>
    <w:rsid w:val="00A1479A"/>
    <w:rsid w:val="00A1480F"/>
    <w:rsid w:val="00A14897"/>
    <w:rsid w:val="00A14952"/>
    <w:rsid w:val="00A149BA"/>
    <w:rsid w:val="00A14A07"/>
    <w:rsid w:val="00A14B18"/>
    <w:rsid w:val="00A14B6C"/>
    <w:rsid w:val="00A14C64"/>
    <w:rsid w:val="00A14CD0"/>
    <w:rsid w:val="00A14DB1"/>
    <w:rsid w:val="00A14DB5"/>
    <w:rsid w:val="00A14E62"/>
    <w:rsid w:val="00A14E73"/>
    <w:rsid w:val="00A14FC4"/>
    <w:rsid w:val="00A150C4"/>
    <w:rsid w:val="00A15194"/>
    <w:rsid w:val="00A15287"/>
    <w:rsid w:val="00A1534F"/>
    <w:rsid w:val="00A1540F"/>
    <w:rsid w:val="00A154F3"/>
    <w:rsid w:val="00A155B2"/>
    <w:rsid w:val="00A155FF"/>
    <w:rsid w:val="00A15621"/>
    <w:rsid w:val="00A15630"/>
    <w:rsid w:val="00A1563E"/>
    <w:rsid w:val="00A1575F"/>
    <w:rsid w:val="00A1580B"/>
    <w:rsid w:val="00A1592C"/>
    <w:rsid w:val="00A159AD"/>
    <w:rsid w:val="00A15A4B"/>
    <w:rsid w:val="00A15AED"/>
    <w:rsid w:val="00A15B12"/>
    <w:rsid w:val="00A15B7C"/>
    <w:rsid w:val="00A15C8A"/>
    <w:rsid w:val="00A15D34"/>
    <w:rsid w:val="00A15D46"/>
    <w:rsid w:val="00A15DF9"/>
    <w:rsid w:val="00A15E1E"/>
    <w:rsid w:val="00A15E20"/>
    <w:rsid w:val="00A15FA5"/>
    <w:rsid w:val="00A160C8"/>
    <w:rsid w:val="00A160F7"/>
    <w:rsid w:val="00A16227"/>
    <w:rsid w:val="00A16253"/>
    <w:rsid w:val="00A1625C"/>
    <w:rsid w:val="00A162A0"/>
    <w:rsid w:val="00A162C6"/>
    <w:rsid w:val="00A162CB"/>
    <w:rsid w:val="00A162CF"/>
    <w:rsid w:val="00A1636C"/>
    <w:rsid w:val="00A164DE"/>
    <w:rsid w:val="00A16567"/>
    <w:rsid w:val="00A166E3"/>
    <w:rsid w:val="00A167B2"/>
    <w:rsid w:val="00A16819"/>
    <w:rsid w:val="00A16823"/>
    <w:rsid w:val="00A16AD2"/>
    <w:rsid w:val="00A16B84"/>
    <w:rsid w:val="00A16BB1"/>
    <w:rsid w:val="00A16BF5"/>
    <w:rsid w:val="00A16BF8"/>
    <w:rsid w:val="00A16C0A"/>
    <w:rsid w:val="00A16C21"/>
    <w:rsid w:val="00A16D53"/>
    <w:rsid w:val="00A16D56"/>
    <w:rsid w:val="00A16E29"/>
    <w:rsid w:val="00A16FB2"/>
    <w:rsid w:val="00A17037"/>
    <w:rsid w:val="00A1716B"/>
    <w:rsid w:val="00A172CA"/>
    <w:rsid w:val="00A1744F"/>
    <w:rsid w:val="00A174C5"/>
    <w:rsid w:val="00A1765F"/>
    <w:rsid w:val="00A17735"/>
    <w:rsid w:val="00A177C7"/>
    <w:rsid w:val="00A1788F"/>
    <w:rsid w:val="00A178F4"/>
    <w:rsid w:val="00A17A86"/>
    <w:rsid w:val="00A17A9B"/>
    <w:rsid w:val="00A17D3F"/>
    <w:rsid w:val="00A17F49"/>
    <w:rsid w:val="00A17FF9"/>
    <w:rsid w:val="00A20161"/>
    <w:rsid w:val="00A20162"/>
    <w:rsid w:val="00A201EA"/>
    <w:rsid w:val="00A201FA"/>
    <w:rsid w:val="00A201FD"/>
    <w:rsid w:val="00A2031D"/>
    <w:rsid w:val="00A2039A"/>
    <w:rsid w:val="00A20502"/>
    <w:rsid w:val="00A20577"/>
    <w:rsid w:val="00A205E7"/>
    <w:rsid w:val="00A2065D"/>
    <w:rsid w:val="00A206E9"/>
    <w:rsid w:val="00A20744"/>
    <w:rsid w:val="00A2088A"/>
    <w:rsid w:val="00A2094D"/>
    <w:rsid w:val="00A20C27"/>
    <w:rsid w:val="00A20DA9"/>
    <w:rsid w:val="00A20F0B"/>
    <w:rsid w:val="00A20FFE"/>
    <w:rsid w:val="00A21080"/>
    <w:rsid w:val="00A211AC"/>
    <w:rsid w:val="00A2128B"/>
    <w:rsid w:val="00A21290"/>
    <w:rsid w:val="00A21298"/>
    <w:rsid w:val="00A2134D"/>
    <w:rsid w:val="00A21389"/>
    <w:rsid w:val="00A21505"/>
    <w:rsid w:val="00A215AF"/>
    <w:rsid w:val="00A215B0"/>
    <w:rsid w:val="00A217D2"/>
    <w:rsid w:val="00A21847"/>
    <w:rsid w:val="00A21B09"/>
    <w:rsid w:val="00A21C1A"/>
    <w:rsid w:val="00A21CFD"/>
    <w:rsid w:val="00A21D5D"/>
    <w:rsid w:val="00A21EB1"/>
    <w:rsid w:val="00A21F40"/>
    <w:rsid w:val="00A220C0"/>
    <w:rsid w:val="00A221BF"/>
    <w:rsid w:val="00A22287"/>
    <w:rsid w:val="00A22326"/>
    <w:rsid w:val="00A224C4"/>
    <w:rsid w:val="00A226CC"/>
    <w:rsid w:val="00A22723"/>
    <w:rsid w:val="00A227B1"/>
    <w:rsid w:val="00A22805"/>
    <w:rsid w:val="00A229A6"/>
    <w:rsid w:val="00A22A53"/>
    <w:rsid w:val="00A22AB5"/>
    <w:rsid w:val="00A22AF9"/>
    <w:rsid w:val="00A22B0D"/>
    <w:rsid w:val="00A22B36"/>
    <w:rsid w:val="00A22C17"/>
    <w:rsid w:val="00A22CC5"/>
    <w:rsid w:val="00A22CD9"/>
    <w:rsid w:val="00A22DDA"/>
    <w:rsid w:val="00A22E30"/>
    <w:rsid w:val="00A22F9A"/>
    <w:rsid w:val="00A22FF2"/>
    <w:rsid w:val="00A2302C"/>
    <w:rsid w:val="00A230A6"/>
    <w:rsid w:val="00A230E9"/>
    <w:rsid w:val="00A231CB"/>
    <w:rsid w:val="00A232E5"/>
    <w:rsid w:val="00A23407"/>
    <w:rsid w:val="00A23608"/>
    <w:rsid w:val="00A23680"/>
    <w:rsid w:val="00A23739"/>
    <w:rsid w:val="00A237AF"/>
    <w:rsid w:val="00A2388B"/>
    <w:rsid w:val="00A239A4"/>
    <w:rsid w:val="00A23D90"/>
    <w:rsid w:val="00A23DAB"/>
    <w:rsid w:val="00A23DAD"/>
    <w:rsid w:val="00A24082"/>
    <w:rsid w:val="00A241E9"/>
    <w:rsid w:val="00A242AC"/>
    <w:rsid w:val="00A24397"/>
    <w:rsid w:val="00A24452"/>
    <w:rsid w:val="00A245AE"/>
    <w:rsid w:val="00A246D3"/>
    <w:rsid w:val="00A247AF"/>
    <w:rsid w:val="00A24814"/>
    <w:rsid w:val="00A2488E"/>
    <w:rsid w:val="00A248C5"/>
    <w:rsid w:val="00A24A30"/>
    <w:rsid w:val="00A24A59"/>
    <w:rsid w:val="00A24B91"/>
    <w:rsid w:val="00A24BDD"/>
    <w:rsid w:val="00A24BEA"/>
    <w:rsid w:val="00A24C54"/>
    <w:rsid w:val="00A24D90"/>
    <w:rsid w:val="00A24E3C"/>
    <w:rsid w:val="00A24E52"/>
    <w:rsid w:val="00A24E57"/>
    <w:rsid w:val="00A24F68"/>
    <w:rsid w:val="00A24FA1"/>
    <w:rsid w:val="00A24FB8"/>
    <w:rsid w:val="00A24FE2"/>
    <w:rsid w:val="00A24FF3"/>
    <w:rsid w:val="00A250C0"/>
    <w:rsid w:val="00A25134"/>
    <w:rsid w:val="00A251A8"/>
    <w:rsid w:val="00A25206"/>
    <w:rsid w:val="00A252C5"/>
    <w:rsid w:val="00A252E2"/>
    <w:rsid w:val="00A25333"/>
    <w:rsid w:val="00A25401"/>
    <w:rsid w:val="00A254DE"/>
    <w:rsid w:val="00A2558C"/>
    <w:rsid w:val="00A255B0"/>
    <w:rsid w:val="00A255C9"/>
    <w:rsid w:val="00A2568C"/>
    <w:rsid w:val="00A256DC"/>
    <w:rsid w:val="00A25714"/>
    <w:rsid w:val="00A258FE"/>
    <w:rsid w:val="00A25900"/>
    <w:rsid w:val="00A2591E"/>
    <w:rsid w:val="00A25A3D"/>
    <w:rsid w:val="00A25A6E"/>
    <w:rsid w:val="00A25AFF"/>
    <w:rsid w:val="00A25B3C"/>
    <w:rsid w:val="00A25C1F"/>
    <w:rsid w:val="00A25D33"/>
    <w:rsid w:val="00A25D6A"/>
    <w:rsid w:val="00A25E8F"/>
    <w:rsid w:val="00A25F85"/>
    <w:rsid w:val="00A26082"/>
    <w:rsid w:val="00A2613E"/>
    <w:rsid w:val="00A26153"/>
    <w:rsid w:val="00A261F3"/>
    <w:rsid w:val="00A26232"/>
    <w:rsid w:val="00A26385"/>
    <w:rsid w:val="00A26396"/>
    <w:rsid w:val="00A263CB"/>
    <w:rsid w:val="00A26456"/>
    <w:rsid w:val="00A264D3"/>
    <w:rsid w:val="00A266F4"/>
    <w:rsid w:val="00A26767"/>
    <w:rsid w:val="00A2676C"/>
    <w:rsid w:val="00A26775"/>
    <w:rsid w:val="00A26888"/>
    <w:rsid w:val="00A268AA"/>
    <w:rsid w:val="00A26963"/>
    <w:rsid w:val="00A26AFE"/>
    <w:rsid w:val="00A26B99"/>
    <w:rsid w:val="00A26C37"/>
    <w:rsid w:val="00A26D17"/>
    <w:rsid w:val="00A26D52"/>
    <w:rsid w:val="00A26D67"/>
    <w:rsid w:val="00A26DAA"/>
    <w:rsid w:val="00A26DD3"/>
    <w:rsid w:val="00A26E7B"/>
    <w:rsid w:val="00A26E81"/>
    <w:rsid w:val="00A26EA7"/>
    <w:rsid w:val="00A26EEC"/>
    <w:rsid w:val="00A26F07"/>
    <w:rsid w:val="00A26F86"/>
    <w:rsid w:val="00A26FF2"/>
    <w:rsid w:val="00A2707C"/>
    <w:rsid w:val="00A270A5"/>
    <w:rsid w:val="00A270BC"/>
    <w:rsid w:val="00A270CC"/>
    <w:rsid w:val="00A270CD"/>
    <w:rsid w:val="00A27185"/>
    <w:rsid w:val="00A271B8"/>
    <w:rsid w:val="00A272EA"/>
    <w:rsid w:val="00A273C0"/>
    <w:rsid w:val="00A273EF"/>
    <w:rsid w:val="00A27498"/>
    <w:rsid w:val="00A27533"/>
    <w:rsid w:val="00A275D6"/>
    <w:rsid w:val="00A2762F"/>
    <w:rsid w:val="00A277C7"/>
    <w:rsid w:val="00A27896"/>
    <w:rsid w:val="00A2791C"/>
    <w:rsid w:val="00A27937"/>
    <w:rsid w:val="00A2794C"/>
    <w:rsid w:val="00A279AB"/>
    <w:rsid w:val="00A27CEE"/>
    <w:rsid w:val="00A27D8A"/>
    <w:rsid w:val="00A27E15"/>
    <w:rsid w:val="00A27F17"/>
    <w:rsid w:val="00A27F61"/>
    <w:rsid w:val="00A27F92"/>
    <w:rsid w:val="00A30138"/>
    <w:rsid w:val="00A301D0"/>
    <w:rsid w:val="00A30353"/>
    <w:rsid w:val="00A30386"/>
    <w:rsid w:val="00A30417"/>
    <w:rsid w:val="00A305EE"/>
    <w:rsid w:val="00A3065F"/>
    <w:rsid w:val="00A30678"/>
    <w:rsid w:val="00A3069F"/>
    <w:rsid w:val="00A30721"/>
    <w:rsid w:val="00A30798"/>
    <w:rsid w:val="00A30814"/>
    <w:rsid w:val="00A30A4B"/>
    <w:rsid w:val="00A30AF1"/>
    <w:rsid w:val="00A30BB1"/>
    <w:rsid w:val="00A30C94"/>
    <w:rsid w:val="00A30D4B"/>
    <w:rsid w:val="00A30D9E"/>
    <w:rsid w:val="00A30E13"/>
    <w:rsid w:val="00A30E91"/>
    <w:rsid w:val="00A30EA5"/>
    <w:rsid w:val="00A30ECD"/>
    <w:rsid w:val="00A311EB"/>
    <w:rsid w:val="00A31358"/>
    <w:rsid w:val="00A3144A"/>
    <w:rsid w:val="00A31461"/>
    <w:rsid w:val="00A314A3"/>
    <w:rsid w:val="00A316CF"/>
    <w:rsid w:val="00A317F1"/>
    <w:rsid w:val="00A31809"/>
    <w:rsid w:val="00A31996"/>
    <w:rsid w:val="00A319C5"/>
    <w:rsid w:val="00A319DF"/>
    <w:rsid w:val="00A31B64"/>
    <w:rsid w:val="00A31BF9"/>
    <w:rsid w:val="00A31D86"/>
    <w:rsid w:val="00A31DFA"/>
    <w:rsid w:val="00A31E2A"/>
    <w:rsid w:val="00A31EDF"/>
    <w:rsid w:val="00A32008"/>
    <w:rsid w:val="00A32069"/>
    <w:rsid w:val="00A3212D"/>
    <w:rsid w:val="00A3241F"/>
    <w:rsid w:val="00A32447"/>
    <w:rsid w:val="00A324C0"/>
    <w:rsid w:val="00A324E6"/>
    <w:rsid w:val="00A325B0"/>
    <w:rsid w:val="00A326CB"/>
    <w:rsid w:val="00A32766"/>
    <w:rsid w:val="00A3287A"/>
    <w:rsid w:val="00A328B6"/>
    <w:rsid w:val="00A328F7"/>
    <w:rsid w:val="00A328FF"/>
    <w:rsid w:val="00A32A62"/>
    <w:rsid w:val="00A32AE1"/>
    <w:rsid w:val="00A32B56"/>
    <w:rsid w:val="00A32BC1"/>
    <w:rsid w:val="00A32C62"/>
    <w:rsid w:val="00A32C9E"/>
    <w:rsid w:val="00A32CE8"/>
    <w:rsid w:val="00A32D26"/>
    <w:rsid w:val="00A32D7A"/>
    <w:rsid w:val="00A32F8F"/>
    <w:rsid w:val="00A32FA0"/>
    <w:rsid w:val="00A33022"/>
    <w:rsid w:val="00A331BF"/>
    <w:rsid w:val="00A33201"/>
    <w:rsid w:val="00A3320B"/>
    <w:rsid w:val="00A332C4"/>
    <w:rsid w:val="00A33397"/>
    <w:rsid w:val="00A333AB"/>
    <w:rsid w:val="00A333AE"/>
    <w:rsid w:val="00A33465"/>
    <w:rsid w:val="00A33471"/>
    <w:rsid w:val="00A335D4"/>
    <w:rsid w:val="00A3373A"/>
    <w:rsid w:val="00A338FD"/>
    <w:rsid w:val="00A33A13"/>
    <w:rsid w:val="00A33BCA"/>
    <w:rsid w:val="00A33CDF"/>
    <w:rsid w:val="00A33D2D"/>
    <w:rsid w:val="00A33E76"/>
    <w:rsid w:val="00A33E7F"/>
    <w:rsid w:val="00A34026"/>
    <w:rsid w:val="00A3406D"/>
    <w:rsid w:val="00A34189"/>
    <w:rsid w:val="00A34194"/>
    <w:rsid w:val="00A34363"/>
    <w:rsid w:val="00A3436B"/>
    <w:rsid w:val="00A344FE"/>
    <w:rsid w:val="00A34507"/>
    <w:rsid w:val="00A34580"/>
    <w:rsid w:val="00A345FF"/>
    <w:rsid w:val="00A347B0"/>
    <w:rsid w:val="00A3480D"/>
    <w:rsid w:val="00A348B3"/>
    <w:rsid w:val="00A348BD"/>
    <w:rsid w:val="00A34A08"/>
    <w:rsid w:val="00A34BCB"/>
    <w:rsid w:val="00A34BE9"/>
    <w:rsid w:val="00A34DCD"/>
    <w:rsid w:val="00A34E81"/>
    <w:rsid w:val="00A34E82"/>
    <w:rsid w:val="00A34F35"/>
    <w:rsid w:val="00A34F75"/>
    <w:rsid w:val="00A34FC4"/>
    <w:rsid w:val="00A34FC8"/>
    <w:rsid w:val="00A34FD8"/>
    <w:rsid w:val="00A35000"/>
    <w:rsid w:val="00A35081"/>
    <w:rsid w:val="00A350A9"/>
    <w:rsid w:val="00A353CB"/>
    <w:rsid w:val="00A35496"/>
    <w:rsid w:val="00A355AE"/>
    <w:rsid w:val="00A355BA"/>
    <w:rsid w:val="00A356C3"/>
    <w:rsid w:val="00A357A7"/>
    <w:rsid w:val="00A358B0"/>
    <w:rsid w:val="00A35926"/>
    <w:rsid w:val="00A35A61"/>
    <w:rsid w:val="00A35B52"/>
    <w:rsid w:val="00A35BAE"/>
    <w:rsid w:val="00A35BD7"/>
    <w:rsid w:val="00A35C69"/>
    <w:rsid w:val="00A35E02"/>
    <w:rsid w:val="00A35E7D"/>
    <w:rsid w:val="00A35E82"/>
    <w:rsid w:val="00A35EFF"/>
    <w:rsid w:val="00A35F38"/>
    <w:rsid w:val="00A35FBA"/>
    <w:rsid w:val="00A36120"/>
    <w:rsid w:val="00A36208"/>
    <w:rsid w:val="00A3624E"/>
    <w:rsid w:val="00A36263"/>
    <w:rsid w:val="00A362D3"/>
    <w:rsid w:val="00A363CD"/>
    <w:rsid w:val="00A36407"/>
    <w:rsid w:val="00A364BE"/>
    <w:rsid w:val="00A36537"/>
    <w:rsid w:val="00A3660E"/>
    <w:rsid w:val="00A367CB"/>
    <w:rsid w:val="00A36971"/>
    <w:rsid w:val="00A369A4"/>
    <w:rsid w:val="00A369FB"/>
    <w:rsid w:val="00A36C6D"/>
    <w:rsid w:val="00A36CBD"/>
    <w:rsid w:val="00A36DFC"/>
    <w:rsid w:val="00A36E40"/>
    <w:rsid w:val="00A36FA9"/>
    <w:rsid w:val="00A370A7"/>
    <w:rsid w:val="00A37191"/>
    <w:rsid w:val="00A372B5"/>
    <w:rsid w:val="00A37389"/>
    <w:rsid w:val="00A373DC"/>
    <w:rsid w:val="00A373EE"/>
    <w:rsid w:val="00A3742E"/>
    <w:rsid w:val="00A37528"/>
    <w:rsid w:val="00A37583"/>
    <w:rsid w:val="00A375CD"/>
    <w:rsid w:val="00A375CF"/>
    <w:rsid w:val="00A3775F"/>
    <w:rsid w:val="00A3776D"/>
    <w:rsid w:val="00A378E4"/>
    <w:rsid w:val="00A37926"/>
    <w:rsid w:val="00A37B43"/>
    <w:rsid w:val="00A37B6D"/>
    <w:rsid w:val="00A37D9C"/>
    <w:rsid w:val="00A37E49"/>
    <w:rsid w:val="00A37EBF"/>
    <w:rsid w:val="00A37F65"/>
    <w:rsid w:val="00A40086"/>
    <w:rsid w:val="00A400FD"/>
    <w:rsid w:val="00A40222"/>
    <w:rsid w:val="00A4025D"/>
    <w:rsid w:val="00A4028E"/>
    <w:rsid w:val="00A403C4"/>
    <w:rsid w:val="00A403EB"/>
    <w:rsid w:val="00A40424"/>
    <w:rsid w:val="00A40436"/>
    <w:rsid w:val="00A4047C"/>
    <w:rsid w:val="00A405B4"/>
    <w:rsid w:val="00A40739"/>
    <w:rsid w:val="00A40768"/>
    <w:rsid w:val="00A407FA"/>
    <w:rsid w:val="00A4085B"/>
    <w:rsid w:val="00A40899"/>
    <w:rsid w:val="00A4089A"/>
    <w:rsid w:val="00A40925"/>
    <w:rsid w:val="00A409FF"/>
    <w:rsid w:val="00A40A7A"/>
    <w:rsid w:val="00A40AB8"/>
    <w:rsid w:val="00A40B30"/>
    <w:rsid w:val="00A40B5F"/>
    <w:rsid w:val="00A40C07"/>
    <w:rsid w:val="00A40C16"/>
    <w:rsid w:val="00A40C65"/>
    <w:rsid w:val="00A40EFF"/>
    <w:rsid w:val="00A40F9D"/>
    <w:rsid w:val="00A4102B"/>
    <w:rsid w:val="00A4105F"/>
    <w:rsid w:val="00A410CC"/>
    <w:rsid w:val="00A41168"/>
    <w:rsid w:val="00A4116A"/>
    <w:rsid w:val="00A41374"/>
    <w:rsid w:val="00A414D5"/>
    <w:rsid w:val="00A41567"/>
    <w:rsid w:val="00A415CF"/>
    <w:rsid w:val="00A416BF"/>
    <w:rsid w:val="00A417AF"/>
    <w:rsid w:val="00A41874"/>
    <w:rsid w:val="00A418F2"/>
    <w:rsid w:val="00A41909"/>
    <w:rsid w:val="00A41A1E"/>
    <w:rsid w:val="00A41A37"/>
    <w:rsid w:val="00A41C12"/>
    <w:rsid w:val="00A41C1D"/>
    <w:rsid w:val="00A41C97"/>
    <w:rsid w:val="00A41F8C"/>
    <w:rsid w:val="00A41FF8"/>
    <w:rsid w:val="00A4203E"/>
    <w:rsid w:val="00A42127"/>
    <w:rsid w:val="00A421C8"/>
    <w:rsid w:val="00A4223C"/>
    <w:rsid w:val="00A42266"/>
    <w:rsid w:val="00A422DC"/>
    <w:rsid w:val="00A423C7"/>
    <w:rsid w:val="00A42671"/>
    <w:rsid w:val="00A426F1"/>
    <w:rsid w:val="00A42774"/>
    <w:rsid w:val="00A42835"/>
    <w:rsid w:val="00A4294E"/>
    <w:rsid w:val="00A42D49"/>
    <w:rsid w:val="00A42D52"/>
    <w:rsid w:val="00A42DA5"/>
    <w:rsid w:val="00A42DFF"/>
    <w:rsid w:val="00A42E5C"/>
    <w:rsid w:val="00A42EB6"/>
    <w:rsid w:val="00A42EC0"/>
    <w:rsid w:val="00A42FBD"/>
    <w:rsid w:val="00A431CF"/>
    <w:rsid w:val="00A43270"/>
    <w:rsid w:val="00A43292"/>
    <w:rsid w:val="00A43391"/>
    <w:rsid w:val="00A43429"/>
    <w:rsid w:val="00A43432"/>
    <w:rsid w:val="00A434FC"/>
    <w:rsid w:val="00A434FF"/>
    <w:rsid w:val="00A43515"/>
    <w:rsid w:val="00A43601"/>
    <w:rsid w:val="00A43668"/>
    <w:rsid w:val="00A436AF"/>
    <w:rsid w:val="00A437BD"/>
    <w:rsid w:val="00A4393B"/>
    <w:rsid w:val="00A4394F"/>
    <w:rsid w:val="00A4397B"/>
    <w:rsid w:val="00A43AFD"/>
    <w:rsid w:val="00A43B3E"/>
    <w:rsid w:val="00A43D3A"/>
    <w:rsid w:val="00A43DC4"/>
    <w:rsid w:val="00A43E2A"/>
    <w:rsid w:val="00A43E79"/>
    <w:rsid w:val="00A43F10"/>
    <w:rsid w:val="00A44030"/>
    <w:rsid w:val="00A4412E"/>
    <w:rsid w:val="00A44136"/>
    <w:rsid w:val="00A443E6"/>
    <w:rsid w:val="00A44461"/>
    <w:rsid w:val="00A4469E"/>
    <w:rsid w:val="00A4488D"/>
    <w:rsid w:val="00A44894"/>
    <w:rsid w:val="00A449AB"/>
    <w:rsid w:val="00A44A15"/>
    <w:rsid w:val="00A44A1D"/>
    <w:rsid w:val="00A44A9C"/>
    <w:rsid w:val="00A44AD0"/>
    <w:rsid w:val="00A44C1B"/>
    <w:rsid w:val="00A44D2D"/>
    <w:rsid w:val="00A44D93"/>
    <w:rsid w:val="00A44DCF"/>
    <w:rsid w:val="00A44EBD"/>
    <w:rsid w:val="00A44EF9"/>
    <w:rsid w:val="00A44F24"/>
    <w:rsid w:val="00A45262"/>
    <w:rsid w:val="00A45268"/>
    <w:rsid w:val="00A4532F"/>
    <w:rsid w:val="00A45676"/>
    <w:rsid w:val="00A456E9"/>
    <w:rsid w:val="00A456F8"/>
    <w:rsid w:val="00A45766"/>
    <w:rsid w:val="00A45784"/>
    <w:rsid w:val="00A457FB"/>
    <w:rsid w:val="00A458B2"/>
    <w:rsid w:val="00A45A31"/>
    <w:rsid w:val="00A45B42"/>
    <w:rsid w:val="00A45CF5"/>
    <w:rsid w:val="00A45D3A"/>
    <w:rsid w:val="00A45DC2"/>
    <w:rsid w:val="00A45DDA"/>
    <w:rsid w:val="00A4611C"/>
    <w:rsid w:val="00A461AA"/>
    <w:rsid w:val="00A463A5"/>
    <w:rsid w:val="00A463B2"/>
    <w:rsid w:val="00A4642F"/>
    <w:rsid w:val="00A465BF"/>
    <w:rsid w:val="00A465CB"/>
    <w:rsid w:val="00A4668D"/>
    <w:rsid w:val="00A46793"/>
    <w:rsid w:val="00A467AE"/>
    <w:rsid w:val="00A46841"/>
    <w:rsid w:val="00A46982"/>
    <w:rsid w:val="00A46A14"/>
    <w:rsid w:val="00A46B9C"/>
    <w:rsid w:val="00A46C07"/>
    <w:rsid w:val="00A46DED"/>
    <w:rsid w:val="00A46F2B"/>
    <w:rsid w:val="00A47046"/>
    <w:rsid w:val="00A4711F"/>
    <w:rsid w:val="00A47152"/>
    <w:rsid w:val="00A4715D"/>
    <w:rsid w:val="00A47162"/>
    <w:rsid w:val="00A47219"/>
    <w:rsid w:val="00A473F7"/>
    <w:rsid w:val="00A4745F"/>
    <w:rsid w:val="00A4746B"/>
    <w:rsid w:val="00A47475"/>
    <w:rsid w:val="00A47485"/>
    <w:rsid w:val="00A47493"/>
    <w:rsid w:val="00A47505"/>
    <w:rsid w:val="00A47649"/>
    <w:rsid w:val="00A476A5"/>
    <w:rsid w:val="00A47763"/>
    <w:rsid w:val="00A4782D"/>
    <w:rsid w:val="00A47933"/>
    <w:rsid w:val="00A47B65"/>
    <w:rsid w:val="00A47BEC"/>
    <w:rsid w:val="00A47CA5"/>
    <w:rsid w:val="00A47CF6"/>
    <w:rsid w:val="00A47D01"/>
    <w:rsid w:val="00A47DA9"/>
    <w:rsid w:val="00A47EF2"/>
    <w:rsid w:val="00A47F22"/>
    <w:rsid w:val="00A47F2F"/>
    <w:rsid w:val="00A47F7A"/>
    <w:rsid w:val="00A47F86"/>
    <w:rsid w:val="00A47FA4"/>
    <w:rsid w:val="00A5005A"/>
    <w:rsid w:val="00A50073"/>
    <w:rsid w:val="00A50180"/>
    <w:rsid w:val="00A50277"/>
    <w:rsid w:val="00A502F2"/>
    <w:rsid w:val="00A502F6"/>
    <w:rsid w:val="00A50362"/>
    <w:rsid w:val="00A503E5"/>
    <w:rsid w:val="00A504E7"/>
    <w:rsid w:val="00A50505"/>
    <w:rsid w:val="00A5059C"/>
    <w:rsid w:val="00A506A0"/>
    <w:rsid w:val="00A506A1"/>
    <w:rsid w:val="00A50711"/>
    <w:rsid w:val="00A50713"/>
    <w:rsid w:val="00A50739"/>
    <w:rsid w:val="00A5085C"/>
    <w:rsid w:val="00A5096A"/>
    <w:rsid w:val="00A509EF"/>
    <w:rsid w:val="00A50A46"/>
    <w:rsid w:val="00A50AA7"/>
    <w:rsid w:val="00A50C42"/>
    <w:rsid w:val="00A50DDA"/>
    <w:rsid w:val="00A50ECF"/>
    <w:rsid w:val="00A50FC3"/>
    <w:rsid w:val="00A50FFC"/>
    <w:rsid w:val="00A51014"/>
    <w:rsid w:val="00A51084"/>
    <w:rsid w:val="00A51121"/>
    <w:rsid w:val="00A51162"/>
    <w:rsid w:val="00A511B4"/>
    <w:rsid w:val="00A5125D"/>
    <w:rsid w:val="00A512BD"/>
    <w:rsid w:val="00A513D0"/>
    <w:rsid w:val="00A51532"/>
    <w:rsid w:val="00A51543"/>
    <w:rsid w:val="00A516BF"/>
    <w:rsid w:val="00A5172D"/>
    <w:rsid w:val="00A517A1"/>
    <w:rsid w:val="00A517E3"/>
    <w:rsid w:val="00A5182E"/>
    <w:rsid w:val="00A51866"/>
    <w:rsid w:val="00A5196D"/>
    <w:rsid w:val="00A51A17"/>
    <w:rsid w:val="00A51BF9"/>
    <w:rsid w:val="00A51C64"/>
    <w:rsid w:val="00A51CD4"/>
    <w:rsid w:val="00A51DFA"/>
    <w:rsid w:val="00A51E3F"/>
    <w:rsid w:val="00A51EA2"/>
    <w:rsid w:val="00A51EC3"/>
    <w:rsid w:val="00A51F24"/>
    <w:rsid w:val="00A51FEA"/>
    <w:rsid w:val="00A52013"/>
    <w:rsid w:val="00A52020"/>
    <w:rsid w:val="00A5205E"/>
    <w:rsid w:val="00A520FA"/>
    <w:rsid w:val="00A52213"/>
    <w:rsid w:val="00A52319"/>
    <w:rsid w:val="00A5231D"/>
    <w:rsid w:val="00A52714"/>
    <w:rsid w:val="00A5271A"/>
    <w:rsid w:val="00A5292E"/>
    <w:rsid w:val="00A5293F"/>
    <w:rsid w:val="00A529C6"/>
    <w:rsid w:val="00A52D1D"/>
    <w:rsid w:val="00A53024"/>
    <w:rsid w:val="00A53042"/>
    <w:rsid w:val="00A53126"/>
    <w:rsid w:val="00A53129"/>
    <w:rsid w:val="00A5317F"/>
    <w:rsid w:val="00A5318E"/>
    <w:rsid w:val="00A5324C"/>
    <w:rsid w:val="00A5327C"/>
    <w:rsid w:val="00A532F4"/>
    <w:rsid w:val="00A5331F"/>
    <w:rsid w:val="00A53485"/>
    <w:rsid w:val="00A5356A"/>
    <w:rsid w:val="00A535F4"/>
    <w:rsid w:val="00A53605"/>
    <w:rsid w:val="00A53775"/>
    <w:rsid w:val="00A53856"/>
    <w:rsid w:val="00A538B2"/>
    <w:rsid w:val="00A5392A"/>
    <w:rsid w:val="00A539F2"/>
    <w:rsid w:val="00A53ACD"/>
    <w:rsid w:val="00A53BA8"/>
    <w:rsid w:val="00A53BD9"/>
    <w:rsid w:val="00A53CAB"/>
    <w:rsid w:val="00A53CC3"/>
    <w:rsid w:val="00A53F30"/>
    <w:rsid w:val="00A53FC2"/>
    <w:rsid w:val="00A53FFA"/>
    <w:rsid w:val="00A5401E"/>
    <w:rsid w:val="00A54061"/>
    <w:rsid w:val="00A540F0"/>
    <w:rsid w:val="00A54117"/>
    <w:rsid w:val="00A54250"/>
    <w:rsid w:val="00A542E7"/>
    <w:rsid w:val="00A54397"/>
    <w:rsid w:val="00A54458"/>
    <w:rsid w:val="00A544A5"/>
    <w:rsid w:val="00A54534"/>
    <w:rsid w:val="00A5453D"/>
    <w:rsid w:val="00A5462E"/>
    <w:rsid w:val="00A54823"/>
    <w:rsid w:val="00A54874"/>
    <w:rsid w:val="00A54891"/>
    <w:rsid w:val="00A54934"/>
    <w:rsid w:val="00A549BB"/>
    <w:rsid w:val="00A549E3"/>
    <w:rsid w:val="00A54B4B"/>
    <w:rsid w:val="00A54C53"/>
    <w:rsid w:val="00A54C69"/>
    <w:rsid w:val="00A54C85"/>
    <w:rsid w:val="00A54CA8"/>
    <w:rsid w:val="00A54DE3"/>
    <w:rsid w:val="00A54E76"/>
    <w:rsid w:val="00A54E89"/>
    <w:rsid w:val="00A54EFC"/>
    <w:rsid w:val="00A54FA7"/>
    <w:rsid w:val="00A54FC4"/>
    <w:rsid w:val="00A5501A"/>
    <w:rsid w:val="00A5516C"/>
    <w:rsid w:val="00A5517B"/>
    <w:rsid w:val="00A552C5"/>
    <w:rsid w:val="00A552CD"/>
    <w:rsid w:val="00A5534C"/>
    <w:rsid w:val="00A55350"/>
    <w:rsid w:val="00A5535E"/>
    <w:rsid w:val="00A55370"/>
    <w:rsid w:val="00A554FB"/>
    <w:rsid w:val="00A55604"/>
    <w:rsid w:val="00A55631"/>
    <w:rsid w:val="00A5563F"/>
    <w:rsid w:val="00A55723"/>
    <w:rsid w:val="00A5572F"/>
    <w:rsid w:val="00A557C2"/>
    <w:rsid w:val="00A557C3"/>
    <w:rsid w:val="00A5581A"/>
    <w:rsid w:val="00A55892"/>
    <w:rsid w:val="00A5596C"/>
    <w:rsid w:val="00A559FF"/>
    <w:rsid w:val="00A55A33"/>
    <w:rsid w:val="00A55B10"/>
    <w:rsid w:val="00A55C17"/>
    <w:rsid w:val="00A55CCC"/>
    <w:rsid w:val="00A55D54"/>
    <w:rsid w:val="00A55DB4"/>
    <w:rsid w:val="00A55FDF"/>
    <w:rsid w:val="00A56139"/>
    <w:rsid w:val="00A56188"/>
    <w:rsid w:val="00A561EA"/>
    <w:rsid w:val="00A56304"/>
    <w:rsid w:val="00A56341"/>
    <w:rsid w:val="00A563F6"/>
    <w:rsid w:val="00A565A0"/>
    <w:rsid w:val="00A565FC"/>
    <w:rsid w:val="00A56649"/>
    <w:rsid w:val="00A56672"/>
    <w:rsid w:val="00A56689"/>
    <w:rsid w:val="00A566CA"/>
    <w:rsid w:val="00A5673D"/>
    <w:rsid w:val="00A56776"/>
    <w:rsid w:val="00A567D9"/>
    <w:rsid w:val="00A567ED"/>
    <w:rsid w:val="00A56810"/>
    <w:rsid w:val="00A56B67"/>
    <w:rsid w:val="00A56D32"/>
    <w:rsid w:val="00A570DB"/>
    <w:rsid w:val="00A57378"/>
    <w:rsid w:val="00A573E1"/>
    <w:rsid w:val="00A573F2"/>
    <w:rsid w:val="00A576AD"/>
    <w:rsid w:val="00A5782B"/>
    <w:rsid w:val="00A57A9C"/>
    <w:rsid w:val="00A57AD0"/>
    <w:rsid w:val="00A57AE2"/>
    <w:rsid w:val="00A57B1E"/>
    <w:rsid w:val="00A57B64"/>
    <w:rsid w:val="00A57B76"/>
    <w:rsid w:val="00A57D7B"/>
    <w:rsid w:val="00A57E62"/>
    <w:rsid w:val="00A57F94"/>
    <w:rsid w:val="00A57F9C"/>
    <w:rsid w:val="00A6004B"/>
    <w:rsid w:val="00A60199"/>
    <w:rsid w:val="00A60256"/>
    <w:rsid w:val="00A60549"/>
    <w:rsid w:val="00A6054A"/>
    <w:rsid w:val="00A606E4"/>
    <w:rsid w:val="00A608E5"/>
    <w:rsid w:val="00A60957"/>
    <w:rsid w:val="00A60B7A"/>
    <w:rsid w:val="00A60BC5"/>
    <w:rsid w:val="00A60BC6"/>
    <w:rsid w:val="00A60C2A"/>
    <w:rsid w:val="00A60E8A"/>
    <w:rsid w:val="00A60EA0"/>
    <w:rsid w:val="00A60EF2"/>
    <w:rsid w:val="00A6102B"/>
    <w:rsid w:val="00A61102"/>
    <w:rsid w:val="00A61132"/>
    <w:rsid w:val="00A61178"/>
    <w:rsid w:val="00A611D5"/>
    <w:rsid w:val="00A6120D"/>
    <w:rsid w:val="00A612E2"/>
    <w:rsid w:val="00A6138E"/>
    <w:rsid w:val="00A61422"/>
    <w:rsid w:val="00A615DE"/>
    <w:rsid w:val="00A617A9"/>
    <w:rsid w:val="00A6180D"/>
    <w:rsid w:val="00A618FC"/>
    <w:rsid w:val="00A6190F"/>
    <w:rsid w:val="00A61921"/>
    <w:rsid w:val="00A61965"/>
    <w:rsid w:val="00A619AD"/>
    <w:rsid w:val="00A619B2"/>
    <w:rsid w:val="00A61B74"/>
    <w:rsid w:val="00A61BB6"/>
    <w:rsid w:val="00A61E1E"/>
    <w:rsid w:val="00A61E5F"/>
    <w:rsid w:val="00A61FCE"/>
    <w:rsid w:val="00A620C9"/>
    <w:rsid w:val="00A62103"/>
    <w:rsid w:val="00A62162"/>
    <w:rsid w:val="00A6218A"/>
    <w:rsid w:val="00A621AA"/>
    <w:rsid w:val="00A62269"/>
    <w:rsid w:val="00A6227B"/>
    <w:rsid w:val="00A62451"/>
    <w:rsid w:val="00A624D5"/>
    <w:rsid w:val="00A62590"/>
    <w:rsid w:val="00A6275F"/>
    <w:rsid w:val="00A627AF"/>
    <w:rsid w:val="00A62831"/>
    <w:rsid w:val="00A62875"/>
    <w:rsid w:val="00A62986"/>
    <w:rsid w:val="00A62A49"/>
    <w:rsid w:val="00A62BBD"/>
    <w:rsid w:val="00A62BCB"/>
    <w:rsid w:val="00A62F2C"/>
    <w:rsid w:val="00A630D2"/>
    <w:rsid w:val="00A63108"/>
    <w:rsid w:val="00A631B3"/>
    <w:rsid w:val="00A632D7"/>
    <w:rsid w:val="00A633D7"/>
    <w:rsid w:val="00A635C8"/>
    <w:rsid w:val="00A636DE"/>
    <w:rsid w:val="00A63758"/>
    <w:rsid w:val="00A6382D"/>
    <w:rsid w:val="00A63842"/>
    <w:rsid w:val="00A639A2"/>
    <w:rsid w:val="00A63B07"/>
    <w:rsid w:val="00A63BDE"/>
    <w:rsid w:val="00A63C2B"/>
    <w:rsid w:val="00A63C4B"/>
    <w:rsid w:val="00A63CAA"/>
    <w:rsid w:val="00A63D2E"/>
    <w:rsid w:val="00A63DB6"/>
    <w:rsid w:val="00A63DED"/>
    <w:rsid w:val="00A63E5C"/>
    <w:rsid w:val="00A63F48"/>
    <w:rsid w:val="00A63FB3"/>
    <w:rsid w:val="00A64004"/>
    <w:rsid w:val="00A64109"/>
    <w:rsid w:val="00A6414E"/>
    <w:rsid w:val="00A6427D"/>
    <w:rsid w:val="00A643D3"/>
    <w:rsid w:val="00A64404"/>
    <w:rsid w:val="00A6442E"/>
    <w:rsid w:val="00A645A8"/>
    <w:rsid w:val="00A6468A"/>
    <w:rsid w:val="00A648C2"/>
    <w:rsid w:val="00A649BB"/>
    <w:rsid w:val="00A64AD2"/>
    <w:rsid w:val="00A64B2A"/>
    <w:rsid w:val="00A64B34"/>
    <w:rsid w:val="00A64BCE"/>
    <w:rsid w:val="00A64C68"/>
    <w:rsid w:val="00A64D38"/>
    <w:rsid w:val="00A64DCA"/>
    <w:rsid w:val="00A64E57"/>
    <w:rsid w:val="00A64E6E"/>
    <w:rsid w:val="00A64E9D"/>
    <w:rsid w:val="00A64F54"/>
    <w:rsid w:val="00A64FCC"/>
    <w:rsid w:val="00A65078"/>
    <w:rsid w:val="00A65175"/>
    <w:rsid w:val="00A651D7"/>
    <w:rsid w:val="00A651E4"/>
    <w:rsid w:val="00A65459"/>
    <w:rsid w:val="00A6569A"/>
    <w:rsid w:val="00A656E0"/>
    <w:rsid w:val="00A657DB"/>
    <w:rsid w:val="00A65803"/>
    <w:rsid w:val="00A65827"/>
    <w:rsid w:val="00A65844"/>
    <w:rsid w:val="00A658B5"/>
    <w:rsid w:val="00A658BB"/>
    <w:rsid w:val="00A65904"/>
    <w:rsid w:val="00A65A39"/>
    <w:rsid w:val="00A65AB9"/>
    <w:rsid w:val="00A65B5B"/>
    <w:rsid w:val="00A65BAB"/>
    <w:rsid w:val="00A65D02"/>
    <w:rsid w:val="00A65D26"/>
    <w:rsid w:val="00A65D95"/>
    <w:rsid w:val="00A65E98"/>
    <w:rsid w:val="00A65F00"/>
    <w:rsid w:val="00A660FF"/>
    <w:rsid w:val="00A661C3"/>
    <w:rsid w:val="00A661D8"/>
    <w:rsid w:val="00A66291"/>
    <w:rsid w:val="00A662F3"/>
    <w:rsid w:val="00A6646D"/>
    <w:rsid w:val="00A6649F"/>
    <w:rsid w:val="00A664E7"/>
    <w:rsid w:val="00A665FF"/>
    <w:rsid w:val="00A666AC"/>
    <w:rsid w:val="00A66747"/>
    <w:rsid w:val="00A667C8"/>
    <w:rsid w:val="00A66810"/>
    <w:rsid w:val="00A66927"/>
    <w:rsid w:val="00A66948"/>
    <w:rsid w:val="00A66A4A"/>
    <w:rsid w:val="00A66ACE"/>
    <w:rsid w:val="00A66B7D"/>
    <w:rsid w:val="00A66D07"/>
    <w:rsid w:val="00A66DD1"/>
    <w:rsid w:val="00A66FC8"/>
    <w:rsid w:val="00A67002"/>
    <w:rsid w:val="00A67245"/>
    <w:rsid w:val="00A67297"/>
    <w:rsid w:val="00A67551"/>
    <w:rsid w:val="00A67612"/>
    <w:rsid w:val="00A6767A"/>
    <w:rsid w:val="00A6777C"/>
    <w:rsid w:val="00A6779F"/>
    <w:rsid w:val="00A677CE"/>
    <w:rsid w:val="00A67834"/>
    <w:rsid w:val="00A6791D"/>
    <w:rsid w:val="00A67A8C"/>
    <w:rsid w:val="00A67AB3"/>
    <w:rsid w:val="00A67B1F"/>
    <w:rsid w:val="00A67B35"/>
    <w:rsid w:val="00A67BBD"/>
    <w:rsid w:val="00A67BC1"/>
    <w:rsid w:val="00A67C0A"/>
    <w:rsid w:val="00A67CDA"/>
    <w:rsid w:val="00A67D3B"/>
    <w:rsid w:val="00A67E4D"/>
    <w:rsid w:val="00A70077"/>
    <w:rsid w:val="00A70186"/>
    <w:rsid w:val="00A701A7"/>
    <w:rsid w:val="00A7020E"/>
    <w:rsid w:val="00A7024A"/>
    <w:rsid w:val="00A70285"/>
    <w:rsid w:val="00A703A3"/>
    <w:rsid w:val="00A70525"/>
    <w:rsid w:val="00A70629"/>
    <w:rsid w:val="00A7080F"/>
    <w:rsid w:val="00A70A28"/>
    <w:rsid w:val="00A70AD0"/>
    <w:rsid w:val="00A70B7C"/>
    <w:rsid w:val="00A70BAA"/>
    <w:rsid w:val="00A70D4C"/>
    <w:rsid w:val="00A70DDD"/>
    <w:rsid w:val="00A70EE3"/>
    <w:rsid w:val="00A70F8A"/>
    <w:rsid w:val="00A70FD1"/>
    <w:rsid w:val="00A71048"/>
    <w:rsid w:val="00A71088"/>
    <w:rsid w:val="00A7111F"/>
    <w:rsid w:val="00A71229"/>
    <w:rsid w:val="00A71251"/>
    <w:rsid w:val="00A712B0"/>
    <w:rsid w:val="00A712CE"/>
    <w:rsid w:val="00A71433"/>
    <w:rsid w:val="00A71462"/>
    <w:rsid w:val="00A7150D"/>
    <w:rsid w:val="00A71634"/>
    <w:rsid w:val="00A71736"/>
    <w:rsid w:val="00A717BA"/>
    <w:rsid w:val="00A71846"/>
    <w:rsid w:val="00A718E3"/>
    <w:rsid w:val="00A71A67"/>
    <w:rsid w:val="00A71B8C"/>
    <w:rsid w:val="00A71C03"/>
    <w:rsid w:val="00A71C08"/>
    <w:rsid w:val="00A71C8B"/>
    <w:rsid w:val="00A71DDF"/>
    <w:rsid w:val="00A71DE8"/>
    <w:rsid w:val="00A7208F"/>
    <w:rsid w:val="00A720EC"/>
    <w:rsid w:val="00A7217E"/>
    <w:rsid w:val="00A7229C"/>
    <w:rsid w:val="00A725C0"/>
    <w:rsid w:val="00A725E2"/>
    <w:rsid w:val="00A72751"/>
    <w:rsid w:val="00A72757"/>
    <w:rsid w:val="00A7276E"/>
    <w:rsid w:val="00A72830"/>
    <w:rsid w:val="00A72850"/>
    <w:rsid w:val="00A7291B"/>
    <w:rsid w:val="00A7292A"/>
    <w:rsid w:val="00A7296E"/>
    <w:rsid w:val="00A729F6"/>
    <w:rsid w:val="00A72A96"/>
    <w:rsid w:val="00A72AC4"/>
    <w:rsid w:val="00A72B1F"/>
    <w:rsid w:val="00A72DA9"/>
    <w:rsid w:val="00A72F99"/>
    <w:rsid w:val="00A73131"/>
    <w:rsid w:val="00A73208"/>
    <w:rsid w:val="00A73285"/>
    <w:rsid w:val="00A73588"/>
    <w:rsid w:val="00A735A5"/>
    <w:rsid w:val="00A7361E"/>
    <w:rsid w:val="00A737DB"/>
    <w:rsid w:val="00A738A8"/>
    <w:rsid w:val="00A738CA"/>
    <w:rsid w:val="00A7391C"/>
    <w:rsid w:val="00A73946"/>
    <w:rsid w:val="00A739BE"/>
    <w:rsid w:val="00A739ED"/>
    <w:rsid w:val="00A739F8"/>
    <w:rsid w:val="00A73A86"/>
    <w:rsid w:val="00A73B89"/>
    <w:rsid w:val="00A73C3E"/>
    <w:rsid w:val="00A73C65"/>
    <w:rsid w:val="00A73F89"/>
    <w:rsid w:val="00A73FDB"/>
    <w:rsid w:val="00A73FEB"/>
    <w:rsid w:val="00A74070"/>
    <w:rsid w:val="00A7414E"/>
    <w:rsid w:val="00A74228"/>
    <w:rsid w:val="00A74265"/>
    <w:rsid w:val="00A74348"/>
    <w:rsid w:val="00A74452"/>
    <w:rsid w:val="00A74461"/>
    <w:rsid w:val="00A744FD"/>
    <w:rsid w:val="00A74535"/>
    <w:rsid w:val="00A745A7"/>
    <w:rsid w:val="00A7460C"/>
    <w:rsid w:val="00A74633"/>
    <w:rsid w:val="00A74883"/>
    <w:rsid w:val="00A74A76"/>
    <w:rsid w:val="00A74AF4"/>
    <w:rsid w:val="00A74B0A"/>
    <w:rsid w:val="00A74B16"/>
    <w:rsid w:val="00A74BF1"/>
    <w:rsid w:val="00A74BFA"/>
    <w:rsid w:val="00A74C2D"/>
    <w:rsid w:val="00A74D0F"/>
    <w:rsid w:val="00A74DB1"/>
    <w:rsid w:val="00A74EB1"/>
    <w:rsid w:val="00A7502D"/>
    <w:rsid w:val="00A750F0"/>
    <w:rsid w:val="00A7511F"/>
    <w:rsid w:val="00A75315"/>
    <w:rsid w:val="00A7535B"/>
    <w:rsid w:val="00A753A5"/>
    <w:rsid w:val="00A75455"/>
    <w:rsid w:val="00A75605"/>
    <w:rsid w:val="00A7566C"/>
    <w:rsid w:val="00A75675"/>
    <w:rsid w:val="00A75854"/>
    <w:rsid w:val="00A7595A"/>
    <w:rsid w:val="00A75A11"/>
    <w:rsid w:val="00A75BDE"/>
    <w:rsid w:val="00A75D2D"/>
    <w:rsid w:val="00A75D5C"/>
    <w:rsid w:val="00A75DA5"/>
    <w:rsid w:val="00A75E22"/>
    <w:rsid w:val="00A75F5D"/>
    <w:rsid w:val="00A76118"/>
    <w:rsid w:val="00A7611C"/>
    <w:rsid w:val="00A76133"/>
    <w:rsid w:val="00A762BB"/>
    <w:rsid w:val="00A763A9"/>
    <w:rsid w:val="00A76419"/>
    <w:rsid w:val="00A765E9"/>
    <w:rsid w:val="00A76630"/>
    <w:rsid w:val="00A7667F"/>
    <w:rsid w:val="00A766BA"/>
    <w:rsid w:val="00A76725"/>
    <w:rsid w:val="00A76825"/>
    <w:rsid w:val="00A76924"/>
    <w:rsid w:val="00A76AB5"/>
    <w:rsid w:val="00A76ADE"/>
    <w:rsid w:val="00A76AFE"/>
    <w:rsid w:val="00A76B08"/>
    <w:rsid w:val="00A76B46"/>
    <w:rsid w:val="00A76B81"/>
    <w:rsid w:val="00A76BB5"/>
    <w:rsid w:val="00A76C0D"/>
    <w:rsid w:val="00A76C2C"/>
    <w:rsid w:val="00A76E34"/>
    <w:rsid w:val="00A76ED7"/>
    <w:rsid w:val="00A76F57"/>
    <w:rsid w:val="00A76FB0"/>
    <w:rsid w:val="00A76FD0"/>
    <w:rsid w:val="00A77048"/>
    <w:rsid w:val="00A7704A"/>
    <w:rsid w:val="00A77123"/>
    <w:rsid w:val="00A771A7"/>
    <w:rsid w:val="00A772BF"/>
    <w:rsid w:val="00A77334"/>
    <w:rsid w:val="00A77340"/>
    <w:rsid w:val="00A773B7"/>
    <w:rsid w:val="00A773BD"/>
    <w:rsid w:val="00A77448"/>
    <w:rsid w:val="00A774E4"/>
    <w:rsid w:val="00A77567"/>
    <w:rsid w:val="00A77681"/>
    <w:rsid w:val="00A7771A"/>
    <w:rsid w:val="00A7774B"/>
    <w:rsid w:val="00A777C6"/>
    <w:rsid w:val="00A777F2"/>
    <w:rsid w:val="00A777F6"/>
    <w:rsid w:val="00A77800"/>
    <w:rsid w:val="00A77A74"/>
    <w:rsid w:val="00A77B4E"/>
    <w:rsid w:val="00A77B5D"/>
    <w:rsid w:val="00A77DB2"/>
    <w:rsid w:val="00A77E1E"/>
    <w:rsid w:val="00A77E51"/>
    <w:rsid w:val="00A77EAA"/>
    <w:rsid w:val="00A77F1D"/>
    <w:rsid w:val="00A77FF0"/>
    <w:rsid w:val="00A80070"/>
    <w:rsid w:val="00A8012B"/>
    <w:rsid w:val="00A80182"/>
    <w:rsid w:val="00A80237"/>
    <w:rsid w:val="00A80250"/>
    <w:rsid w:val="00A80474"/>
    <w:rsid w:val="00A8055C"/>
    <w:rsid w:val="00A805D8"/>
    <w:rsid w:val="00A80628"/>
    <w:rsid w:val="00A80645"/>
    <w:rsid w:val="00A8071A"/>
    <w:rsid w:val="00A80785"/>
    <w:rsid w:val="00A807FA"/>
    <w:rsid w:val="00A808F0"/>
    <w:rsid w:val="00A80998"/>
    <w:rsid w:val="00A80B59"/>
    <w:rsid w:val="00A80C28"/>
    <w:rsid w:val="00A80C4D"/>
    <w:rsid w:val="00A80C6C"/>
    <w:rsid w:val="00A80CFE"/>
    <w:rsid w:val="00A80D7C"/>
    <w:rsid w:val="00A80E16"/>
    <w:rsid w:val="00A80F68"/>
    <w:rsid w:val="00A810D8"/>
    <w:rsid w:val="00A810F4"/>
    <w:rsid w:val="00A81146"/>
    <w:rsid w:val="00A81183"/>
    <w:rsid w:val="00A81220"/>
    <w:rsid w:val="00A812E8"/>
    <w:rsid w:val="00A81469"/>
    <w:rsid w:val="00A81512"/>
    <w:rsid w:val="00A81662"/>
    <w:rsid w:val="00A81698"/>
    <w:rsid w:val="00A817CB"/>
    <w:rsid w:val="00A817DF"/>
    <w:rsid w:val="00A817E8"/>
    <w:rsid w:val="00A8197F"/>
    <w:rsid w:val="00A81A20"/>
    <w:rsid w:val="00A81B54"/>
    <w:rsid w:val="00A81C12"/>
    <w:rsid w:val="00A81C15"/>
    <w:rsid w:val="00A81C37"/>
    <w:rsid w:val="00A81DF4"/>
    <w:rsid w:val="00A81E84"/>
    <w:rsid w:val="00A81EA0"/>
    <w:rsid w:val="00A81EAF"/>
    <w:rsid w:val="00A81ED2"/>
    <w:rsid w:val="00A81EFC"/>
    <w:rsid w:val="00A81F10"/>
    <w:rsid w:val="00A81FCB"/>
    <w:rsid w:val="00A82028"/>
    <w:rsid w:val="00A8206F"/>
    <w:rsid w:val="00A82089"/>
    <w:rsid w:val="00A82119"/>
    <w:rsid w:val="00A8219A"/>
    <w:rsid w:val="00A82296"/>
    <w:rsid w:val="00A825EF"/>
    <w:rsid w:val="00A82684"/>
    <w:rsid w:val="00A8284C"/>
    <w:rsid w:val="00A828DB"/>
    <w:rsid w:val="00A82929"/>
    <w:rsid w:val="00A82941"/>
    <w:rsid w:val="00A829D9"/>
    <w:rsid w:val="00A829E5"/>
    <w:rsid w:val="00A82B5F"/>
    <w:rsid w:val="00A82C93"/>
    <w:rsid w:val="00A82CA6"/>
    <w:rsid w:val="00A82CED"/>
    <w:rsid w:val="00A82D32"/>
    <w:rsid w:val="00A82D84"/>
    <w:rsid w:val="00A82E59"/>
    <w:rsid w:val="00A82E8C"/>
    <w:rsid w:val="00A82EB7"/>
    <w:rsid w:val="00A83148"/>
    <w:rsid w:val="00A8318E"/>
    <w:rsid w:val="00A83200"/>
    <w:rsid w:val="00A83366"/>
    <w:rsid w:val="00A83379"/>
    <w:rsid w:val="00A833C5"/>
    <w:rsid w:val="00A833D7"/>
    <w:rsid w:val="00A833EF"/>
    <w:rsid w:val="00A83584"/>
    <w:rsid w:val="00A83606"/>
    <w:rsid w:val="00A8361B"/>
    <w:rsid w:val="00A83675"/>
    <w:rsid w:val="00A8368E"/>
    <w:rsid w:val="00A8369A"/>
    <w:rsid w:val="00A836DB"/>
    <w:rsid w:val="00A8377D"/>
    <w:rsid w:val="00A8389E"/>
    <w:rsid w:val="00A83971"/>
    <w:rsid w:val="00A83985"/>
    <w:rsid w:val="00A839CF"/>
    <w:rsid w:val="00A83B92"/>
    <w:rsid w:val="00A83CF6"/>
    <w:rsid w:val="00A83DBC"/>
    <w:rsid w:val="00A83DC9"/>
    <w:rsid w:val="00A83F2B"/>
    <w:rsid w:val="00A83F35"/>
    <w:rsid w:val="00A840DE"/>
    <w:rsid w:val="00A840F1"/>
    <w:rsid w:val="00A84112"/>
    <w:rsid w:val="00A84135"/>
    <w:rsid w:val="00A84251"/>
    <w:rsid w:val="00A84346"/>
    <w:rsid w:val="00A8434E"/>
    <w:rsid w:val="00A8435E"/>
    <w:rsid w:val="00A843CE"/>
    <w:rsid w:val="00A84454"/>
    <w:rsid w:val="00A84535"/>
    <w:rsid w:val="00A84772"/>
    <w:rsid w:val="00A84894"/>
    <w:rsid w:val="00A8499A"/>
    <w:rsid w:val="00A84AA6"/>
    <w:rsid w:val="00A84AC3"/>
    <w:rsid w:val="00A84B97"/>
    <w:rsid w:val="00A84BC9"/>
    <w:rsid w:val="00A84C0C"/>
    <w:rsid w:val="00A84D2D"/>
    <w:rsid w:val="00A84DC8"/>
    <w:rsid w:val="00A84EF9"/>
    <w:rsid w:val="00A84F0B"/>
    <w:rsid w:val="00A84FFA"/>
    <w:rsid w:val="00A8501E"/>
    <w:rsid w:val="00A850CF"/>
    <w:rsid w:val="00A850E3"/>
    <w:rsid w:val="00A85362"/>
    <w:rsid w:val="00A85456"/>
    <w:rsid w:val="00A854F1"/>
    <w:rsid w:val="00A855DA"/>
    <w:rsid w:val="00A85611"/>
    <w:rsid w:val="00A85730"/>
    <w:rsid w:val="00A85742"/>
    <w:rsid w:val="00A85794"/>
    <w:rsid w:val="00A857D1"/>
    <w:rsid w:val="00A858CB"/>
    <w:rsid w:val="00A85B12"/>
    <w:rsid w:val="00A85BC1"/>
    <w:rsid w:val="00A85C4D"/>
    <w:rsid w:val="00A85D08"/>
    <w:rsid w:val="00A85D9E"/>
    <w:rsid w:val="00A85DEA"/>
    <w:rsid w:val="00A85E74"/>
    <w:rsid w:val="00A85EC0"/>
    <w:rsid w:val="00A85F16"/>
    <w:rsid w:val="00A86119"/>
    <w:rsid w:val="00A8612F"/>
    <w:rsid w:val="00A86179"/>
    <w:rsid w:val="00A86332"/>
    <w:rsid w:val="00A863B4"/>
    <w:rsid w:val="00A863F9"/>
    <w:rsid w:val="00A86665"/>
    <w:rsid w:val="00A86694"/>
    <w:rsid w:val="00A8669E"/>
    <w:rsid w:val="00A866DF"/>
    <w:rsid w:val="00A8670A"/>
    <w:rsid w:val="00A867DB"/>
    <w:rsid w:val="00A86818"/>
    <w:rsid w:val="00A86842"/>
    <w:rsid w:val="00A86856"/>
    <w:rsid w:val="00A869CC"/>
    <w:rsid w:val="00A869D0"/>
    <w:rsid w:val="00A86AB9"/>
    <w:rsid w:val="00A86ABD"/>
    <w:rsid w:val="00A86CCA"/>
    <w:rsid w:val="00A86E28"/>
    <w:rsid w:val="00A86E40"/>
    <w:rsid w:val="00A86E67"/>
    <w:rsid w:val="00A86E70"/>
    <w:rsid w:val="00A87220"/>
    <w:rsid w:val="00A872ED"/>
    <w:rsid w:val="00A874F9"/>
    <w:rsid w:val="00A87596"/>
    <w:rsid w:val="00A875AB"/>
    <w:rsid w:val="00A8772E"/>
    <w:rsid w:val="00A87780"/>
    <w:rsid w:val="00A877F6"/>
    <w:rsid w:val="00A87835"/>
    <w:rsid w:val="00A87837"/>
    <w:rsid w:val="00A878CD"/>
    <w:rsid w:val="00A87AD9"/>
    <w:rsid w:val="00A87CCE"/>
    <w:rsid w:val="00A87D16"/>
    <w:rsid w:val="00A87D81"/>
    <w:rsid w:val="00A87E57"/>
    <w:rsid w:val="00A900D3"/>
    <w:rsid w:val="00A90194"/>
    <w:rsid w:val="00A902DF"/>
    <w:rsid w:val="00A9034C"/>
    <w:rsid w:val="00A903D4"/>
    <w:rsid w:val="00A903E1"/>
    <w:rsid w:val="00A90511"/>
    <w:rsid w:val="00A90786"/>
    <w:rsid w:val="00A907DB"/>
    <w:rsid w:val="00A90834"/>
    <w:rsid w:val="00A9084F"/>
    <w:rsid w:val="00A90944"/>
    <w:rsid w:val="00A90977"/>
    <w:rsid w:val="00A909A1"/>
    <w:rsid w:val="00A909EE"/>
    <w:rsid w:val="00A90A4E"/>
    <w:rsid w:val="00A90B03"/>
    <w:rsid w:val="00A90CAC"/>
    <w:rsid w:val="00A90CED"/>
    <w:rsid w:val="00A90CF1"/>
    <w:rsid w:val="00A90DE2"/>
    <w:rsid w:val="00A90E02"/>
    <w:rsid w:val="00A90F2F"/>
    <w:rsid w:val="00A90FDC"/>
    <w:rsid w:val="00A91097"/>
    <w:rsid w:val="00A910FF"/>
    <w:rsid w:val="00A91119"/>
    <w:rsid w:val="00A91146"/>
    <w:rsid w:val="00A91152"/>
    <w:rsid w:val="00A9123A"/>
    <w:rsid w:val="00A912AD"/>
    <w:rsid w:val="00A912C2"/>
    <w:rsid w:val="00A91453"/>
    <w:rsid w:val="00A91464"/>
    <w:rsid w:val="00A91480"/>
    <w:rsid w:val="00A91493"/>
    <w:rsid w:val="00A9151D"/>
    <w:rsid w:val="00A91559"/>
    <w:rsid w:val="00A915B2"/>
    <w:rsid w:val="00A915EC"/>
    <w:rsid w:val="00A91892"/>
    <w:rsid w:val="00A918C4"/>
    <w:rsid w:val="00A918DD"/>
    <w:rsid w:val="00A91948"/>
    <w:rsid w:val="00A91997"/>
    <w:rsid w:val="00A91AA0"/>
    <w:rsid w:val="00A91B6A"/>
    <w:rsid w:val="00A91BAB"/>
    <w:rsid w:val="00A91C77"/>
    <w:rsid w:val="00A91CA0"/>
    <w:rsid w:val="00A91CF6"/>
    <w:rsid w:val="00A91D6D"/>
    <w:rsid w:val="00A91D70"/>
    <w:rsid w:val="00A91DD3"/>
    <w:rsid w:val="00A91E83"/>
    <w:rsid w:val="00A91F35"/>
    <w:rsid w:val="00A91F4A"/>
    <w:rsid w:val="00A91F6F"/>
    <w:rsid w:val="00A91F7B"/>
    <w:rsid w:val="00A92077"/>
    <w:rsid w:val="00A9222D"/>
    <w:rsid w:val="00A92234"/>
    <w:rsid w:val="00A92328"/>
    <w:rsid w:val="00A924CC"/>
    <w:rsid w:val="00A9272A"/>
    <w:rsid w:val="00A928BE"/>
    <w:rsid w:val="00A92AA7"/>
    <w:rsid w:val="00A92AF3"/>
    <w:rsid w:val="00A92B14"/>
    <w:rsid w:val="00A92B60"/>
    <w:rsid w:val="00A92F69"/>
    <w:rsid w:val="00A92F76"/>
    <w:rsid w:val="00A930DA"/>
    <w:rsid w:val="00A931A5"/>
    <w:rsid w:val="00A9343B"/>
    <w:rsid w:val="00A9346D"/>
    <w:rsid w:val="00A93551"/>
    <w:rsid w:val="00A9369E"/>
    <w:rsid w:val="00A937D6"/>
    <w:rsid w:val="00A93860"/>
    <w:rsid w:val="00A9387A"/>
    <w:rsid w:val="00A9398D"/>
    <w:rsid w:val="00A93A94"/>
    <w:rsid w:val="00A93CC3"/>
    <w:rsid w:val="00A93D73"/>
    <w:rsid w:val="00A93E3F"/>
    <w:rsid w:val="00A93F6D"/>
    <w:rsid w:val="00A93FCA"/>
    <w:rsid w:val="00A9400C"/>
    <w:rsid w:val="00A94277"/>
    <w:rsid w:val="00A942D3"/>
    <w:rsid w:val="00A942EC"/>
    <w:rsid w:val="00A943C1"/>
    <w:rsid w:val="00A94443"/>
    <w:rsid w:val="00A94469"/>
    <w:rsid w:val="00A944EB"/>
    <w:rsid w:val="00A94815"/>
    <w:rsid w:val="00A9487F"/>
    <w:rsid w:val="00A949FC"/>
    <w:rsid w:val="00A94A7A"/>
    <w:rsid w:val="00A94AB2"/>
    <w:rsid w:val="00A94B40"/>
    <w:rsid w:val="00A94B57"/>
    <w:rsid w:val="00A94C6C"/>
    <w:rsid w:val="00A94C75"/>
    <w:rsid w:val="00A94CFD"/>
    <w:rsid w:val="00A94DBF"/>
    <w:rsid w:val="00A94ED6"/>
    <w:rsid w:val="00A95021"/>
    <w:rsid w:val="00A950B8"/>
    <w:rsid w:val="00A95313"/>
    <w:rsid w:val="00A95407"/>
    <w:rsid w:val="00A9546E"/>
    <w:rsid w:val="00A954B9"/>
    <w:rsid w:val="00A9556A"/>
    <w:rsid w:val="00A955E2"/>
    <w:rsid w:val="00A95A20"/>
    <w:rsid w:val="00A95A41"/>
    <w:rsid w:val="00A95BE4"/>
    <w:rsid w:val="00A95D7B"/>
    <w:rsid w:val="00A95D87"/>
    <w:rsid w:val="00A95DF4"/>
    <w:rsid w:val="00A95E99"/>
    <w:rsid w:val="00A9606F"/>
    <w:rsid w:val="00A960B4"/>
    <w:rsid w:val="00A96176"/>
    <w:rsid w:val="00A961B1"/>
    <w:rsid w:val="00A964CD"/>
    <w:rsid w:val="00A964FE"/>
    <w:rsid w:val="00A9652A"/>
    <w:rsid w:val="00A9654D"/>
    <w:rsid w:val="00A96580"/>
    <w:rsid w:val="00A96597"/>
    <w:rsid w:val="00A965CD"/>
    <w:rsid w:val="00A965D4"/>
    <w:rsid w:val="00A96674"/>
    <w:rsid w:val="00A969A8"/>
    <w:rsid w:val="00A96B53"/>
    <w:rsid w:val="00A96CC2"/>
    <w:rsid w:val="00A96DF3"/>
    <w:rsid w:val="00A96EC4"/>
    <w:rsid w:val="00A96F40"/>
    <w:rsid w:val="00A96F58"/>
    <w:rsid w:val="00A97093"/>
    <w:rsid w:val="00A970A5"/>
    <w:rsid w:val="00A970C2"/>
    <w:rsid w:val="00A970DD"/>
    <w:rsid w:val="00A9712F"/>
    <w:rsid w:val="00A97154"/>
    <w:rsid w:val="00A9715E"/>
    <w:rsid w:val="00A9725D"/>
    <w:rsid w:val="00A97356"/>
    <w:rsid w:val="00A9743E"/>
    <w:rsid w:val="00A9751B"/>
    <w:rsid w:val="00A97529"/>
    <w:rsid w:val="00A9786E"/>
    <w:rsid w:val="00A978C2"/>
    <w:rsid w:val="00A978D0"/>
    <w:rsid w:val="00A9796E"/>
    <w:rsid w:val="00A97AF7"/>
    <w:rsid w:val="00A97B3D"/>
    <w:rsid w:val="00A97CE2"/>
    <w:rsid w:val="00A97D93"/>
    <w:rsid w:val="00A97FE0"/>
    <w:rsid w:val="00AA0135"/>
    <w:rsid w:val="00AA02C3"/>
    <w:rsid w:val="00AA0378"/>
    <w:rsid w:val="00AA03E9"/>
    <w:rsid w:val="00AA0523"/>
    <w:rsid w:val="00AA0707"/>
    <w:rsid w:val="00AA07E1"/>
    <w:rsid w:val="00AA0866"/>
    <w:rsid w:val="00AA0877"/>
    <w:rsid w:val="00AA0B16"/>
    <w:rsid w:val="00AA0CD5"/>
    <w:rsid w:val="00AA0D4C"/>
    <w:rsid w:val="00AA0D71"/>
    <w:rsid w:val="00AA0DAF"/>
    <w:rsid w:val="00AA0EC5"/>
    <w:rsid w:val="00AA0F5E"/>
    <w:rsid w:val="00AA0F8D"/>
    <w:rsid w:val="00AA0FE9"/>
    <w:rsid w:val="00AA1201"/>
    <w:rsid w:val="00AA135B"/>
    <w:rsid w:val="00AA138A"/>
    <w:rsid w:val="00AA14BE"/>
    <w:rsid w:val="00AA14E5"/>
    <w:rsid w:val="00AA1522"/>
    <w:rsid w:val="00AA163A"/>
    <w:rsid w:val="00AA1756"/>
    <w:rsid w:val="00AA1828"/>
    <w:rsid w:val="00AA1937"/>
    <w:rsid w:val="00AA1948"/>
    <w:rsid w:val="00AA1A2D"/>
    <w:rsid w:val="00AA1A4F"/>
    <w:rsid w:val="00AA1A50"/>
    <w:rsid w:val="00AA1BBD"/>
    <w:rsid w:val="00AA1C04"/>
    <w:rsid w:val="00AA1E06"/>
    <w:rsid w:val="00AA1E13"/>
    <w:rsid w:val="00AA1E9F"/>
    <w:rsid w:val="00AA1F4D"/>
    <w:rsid w:val="00AA1F60"/>
    <w:rsid w:val="00AA1FAC"/>
    <w:rsid w:val="00AA1FB9"/>
    <w:rsid w:val="00AA206E"/>
    <w:rsid w:val="00AA209F"/>
    <w:rsid w:val="00AA20D7"/>
    <w:rsid w:val="00AA21D5"/>
    <w:rsid w:val="00AA22B9"/>
    <w:rsid w:val="00AA246A"/>
    <w:rsid w:val="00AA24C0"/>
    <w:rsid w:val="00AA24D4"/>
    <w:rsid w:val="00AA251E"/>
    <w:rsid w:val="00AA2540"/>
    <w:rsid w:val="00AA26A7"/>
    <w:rsid w:val="00AA2906"/>
    <w:rsid w:val="00AA29BF"/>
    <w:rsid w:val="00AA2A31"/>
    <w:rsid w:val="00AA2A39"/>
    <w:rsid w:val="00AA2ABF"/>
    <w:rsid w:val="00AA2B14"/>
    <w:rsid w:val="00AA2B75"/>
    <w:rsid w:val="00AA2BBF"/>
    <w:rsid w:val="00AA2D86"/>
    <w:rsid w:val="00AA2E74"/>
    <w:rsid w:val="00AA318C"/>
    <w:rsid w:val="00AA31B3"/>
    <w:rsid w:val="00AA31F9"/>
    <w:rsid w:val="00AA331F"/>
    <w:rsid w:val="00AA334A"/>
    <w:rsid w:val="00AA3399"/>
    <w:rsid w:val="00AA3456"/>
    <w:rsid w:val="00AA34F1"/>
    <w:rsid w:val="00AA3644"/>
    <w:rsid w:val="00AA3688"/>
    <w:rsid w:val="00AA36EF"/>
    <w:rsid w:val="00AA3722"/>
    <w:rsid w:val="00AA372B"/>
    <w:rsid w:val="00AA373D"/>
    <w:rsid w:val="00AA373F"/>
    <w:rsid w:val="00AA3794"/>
    <w:rsid w:val="00AA3834"/>
    <w:rsid w:val="00AA389C"/>
    <w:rsid w:val="00AA3A3A"/>
    <w:rsid w:val="00AA3A7B"/>
    <w:rsid w:val="00AA3AA0"/>
    <w:rsid w:val="00AA3BFA"/>
    <w:rsid w:val="00AA3C8D"/>
    <w:rsid w:val="00AA3DD9"/>
    <w:rsid w:val="00AA3E08"/>
    <w:rsid w:val="00AA3F70"/>
    <w:rsid w:val="00AA3FCA"/>
    <w:rsid w:val="00AA3FCB"/>
    <w:rsid w:val="00AA401B"/>
    <w:rsid w:val="00AA4281"/>
    <w:rsid w:val="00AA451F"/>
    <w:rsid w:val="00AA4622"/>
    <w:rsid w:val="00AA4661"/>
    <w:rsid w:val="00AA47BE"/>
    <w:rsid w:val="00AA47D1"/>
    <w:rsid w:val="00AA47D8"/>
    <w:rsid w:val="00AA48F1"/>
    <w:rsid w:val="00AA496D"/>
    <w:rsid w:val="00AA4A66"/>
    <w:rsid w:val="00AA4B2D"/>
    <w:rsid w:val="00AA4B3F"/>
    <w:rsid w:val="00AA4BC9"/>
    <w:rsid w:val="00AA4D31"/>
    <w:rsid w:val="00AA4DA9"/>
    <w:rsid w:val="00AA4E1E"/>
    <w:rsid w:val="00AA4EE6"/>
    <w:rsid w:val="00AA5065"/>
    <w:rsid w:val="00AA514B"/>
    <w:rsid w:val="00AA514E"/>
    <w:rsid w:val="00AA5241"/>
    <w:rsid w:val="00AA53CF"/>
    <w:rsid w:val="00AA543B"/>
    <w:rsid w:val="00AA54A3"/>
    <w:rsid w:val="00AA568A"/>
    <w:rsid w:val="00AA5891"/>
    <w:rsid w:val="00AA58D6"/>
    <w:rsid w:val="00AA5A75"/>
    <w:rsid w:val="00AA5ABF"/>
    <w:rsid w:val="00AA5B43"/>
    <w:rsid w:val="00AA5CD9"/>
    <w:rsid w:val="00AA5D50"/>
    <w:rsid w:val="00AA5D75"/>
    <w:rsid w:val="00AA5DAA"/>
    <w:rsid w:val="00AA5DF2"/>
    <w:rsid w:val="00AA5E4A"/>
    <w:rsid w:val="00AA5F30"/>
    <w:rsid w:val="00AA5F77"/>
    <w:rsid w:val="00AA617D"/>
    <w:rsid w:val="00AA61CD"/>
    <w:rsid w:val="00AA6292"/>
    <w:rsid w:val="00AA62AB"/>
    <w:rsid w:val="00AA6328"/>
    <w:rsid w:val="00AA6336"/>
    <w:rsid w:val="00AA639D"/>
    <w:rsid w:val="00AA6529"/>
    <w:rsid w:val="00AA65A4"/>
    <w:rsid w:val="00AA6663"/>
    <w:rsid w:val="00AA66F6"/>
    <w:rsid w:val="00AA6752"/>
    <w:rsid w:val="00AA687A"/>
    <w:rsid w:val="00AA6954"/>
    <w:rsid w:val="00AA6A09"/>
    <w:rsid w:val="00AA6B31"/>
    <w:rsid w:val="00AA6C9C"/>
    <w:rsid w:val="00AA6D19"/>
    <w:rsid w:val="00AA6E13"/>
    <w:rsid w:val="00AA6EFE"/>
    <w:rsid w:val="00AA6F8A"/>
    <w:rsid w:val="00AA6FB6"/>
    <w:rsid w:val="00AA70F8"/>
    <w:rsid w:val="00AA71AE"/>
    <w:rsid w:val="00AA7224"/>
    <w:rsid w:val="00AA738E"/>
    <w:rsid w:val="00AA73AE"/>
    <w:rsid w:val="00AA7411"/>
    <w:rsid w:val="00AA7606"/>
    <w:rsid w:val="00AA772E"/>
    <w:rsid w:val="00AA7851"/>
    <w:rsid w:val="00AA78BD"/>
    <w:rsid w:val="00AA7938"/>
    <w:rsid w:val="00AA7AA5"/>
    <w:rsid w:val="00AA7C29"/>
    <w:rsid w:val="00AA7C63"/>
    <w:rsid w:val="00AA7C85"/>
    <w:rsid w:val="00AB0016"/>
    <w:rsid w:val="00AB0218"/>
    <w:rsid w:val="00AB03F7"/>
    <w:rsid w:val="00AB0462"/>
    <w:rsid w:val="00AB0586"/>
    <w:rsid w:val="00AB05D7"/>
    <w:rsid w:val="00AB075A"/>
    <w:rsid w:val="00AB08C6"/>
    <w:rsid w:val="00AB09C5"/>
    <w:rsid w:val="00AB0A98"/>
    <w:rsid w:val="00AB0AEE"/>
    <w:rsid w:val="00AB0BFA"/>
    <w:rsid w:val="00AB0CD7"/>
    <w:rsid w:val="00AB0D00"/>
    <w:rsid w:val="00AB0E35"/>
    <w:rsid w:val="00AB0E9D"/>
    <w:rsid w:val="00AB0ED6"/>
    <w:rsid w:val="00AB0F03"/>
    <w:rsid w:val="00AB1076"/>
    <w:rsid w:val="00AB10A1"/>
    <w:rsid w:val="00AB114B"/>
    <w:rsid w:val="00AB11B2"/>
    <w:rsid w:val="00AB12FE"/>
    <w:rsid w:val="00AB1335"/>
    <w:rsid w:val="00AB136D"/>
    <w:rsid w:val="00AB1607"/>
    <w:rsid w:val="00AB1693"/>
    <w:rsid w:val="00AB187D"/>
    <w:rsid w:val="00AB1888"/>
    <w:rsid w:val="00AB1B44"/>
    <w:rsid w:val="00AB1C5D"/>
    <w:rsid w:val="00AB1C85"/>
    <w:rsid w:val="00AB1D15"/>
    <w:rsid w:val="00AB1D3D"/>
    <w:rsid w:val="00AB1DBB"/>
    <w:rsid w:val="00AB1E56"/>
    <w:rsid w:val="00AB1F2E"/>
    <w:rsid w:val="00AB1FE8"/>
    <w:rsid w:val="00AB1FFA"/>
    <w:rsid w:val="00AB2003"/>
    <w:rsid w:val="00AB2052"/>
    <w:rsid w:val="00AB211B"/>
    <w:rsid w:val="00AB2188"/>
    <w:rsid w:val="00AB21A4"/>
    <w:rsid w:val="00AB21B1"/>
    <w:rsid w:val="00AB21BB"/>
    <w:rsid w:val="00AB21CD"/>
    <w:rsid w:val="00AB2354"/>
    <w:rsid w:val="00AB23F7"/>
    <w:rsid w:val="00AB2471"/>
    <w:rsid w:val="00AB24B4"/>
    <w:rsid w:val="00AB24FA"/>
    <w:rsid w:val="00AB2509"/>
    <w:rsid w:val="00AB2556"/>
    <w:rsid w:val="00AB2587"/>
    <w:rsid w:val="00AB267B"/>
    <w:rsid w:val="00AB2769"/>
    <w:rsid w:val="00AB27CB"/>
    <w:rsid w:val="00AB2902"/>
    <w:rsid w:val="00AB2A26"/>
    <w:rsid w:val="00AB2B73"/>
    <w:rsid w:val="00AB2C26"/>
    <w:rsid w:val="00AB2CA2"/>
    <w:rsid w:val="00AB2D1B"/>
    <w:rsid w:val="00AB2D72"/>
    <w:rsid w:val="00AB2D9E"/>
    <w:rsid w:val="00AB2E1B"/>
    <w:rsid w:val="00AB2E34"/>
    <w:rsid w:val="00AB2E67"/>
    <w:rsid w:val="00AB2F2E"/>
    <w:rsid w:val="00AB2F84"/>
    <w:rsid w:val="00AB3055"/>
    <w:rsid w:val="00AB312D"/>
    <w:rsid w:val="00AB31DE"/>
    <w:rsid w:val="00AB3465"/>
    <w:rsid w:val="00AB346D"/>
    <w:rsid w:val="00AB34D7"/>
    <w:rsid w:val="00AB3555"/>
    <w:rsid w:val="00AB35C9"/>
    <w:rsid w:val="00AB35F6"/>
    <w:rsid w:val="00AB3763"/>
    <w:rsid w:val="00AB3808"/>
    <w:rsid w:val="00AB39C3"/>
    <w:rsid w:val="00AB3A75"/>
    <w:rsid w:val="00AB3AD5"/>
    <w:rsid w:val="00AB3BBC"/>
    <w:rsid w:val="00AB3CC0"/>
    <w:rsid w:val="00AB3CD0"/>
    <w:rsid w:val="00AB3CD7"/>
    <w:rsid w:val="00AB3CEE"/>
    <w:rsid w:val="00AB3D07"/>
    <w:rsid w:val="00AB3D57"/>
    <w:rsid w:val="00AB3DF9"/>
    <w:rsid w:val="00AB3F66"/>
    <w:rsid w:val="00AB406D"/>
    <w:rsid w:val="00AB40AC"/>
    <w:rsid w:val="00AB4107"/>
    <w:rsid w:val="00AB411E"/>
    <w:rsid w:val="00AB434B"/>
    <w:rsid w:val="00AB45CE"/>
    <w:rsid w:val="00AB45D7"/>
    <w:rsid w:val="00AB46B4"/>
    <w:rsid w:val="00AB46BD"/>
    <w:rsid w:val="00AB4846"/>
    <w:rsid w:val="00AB48B4"/>
    <w:rsid w:val="00AB48C8"/>
    <w:rsid w:val="00AB4998"/>
    <w:rsid w:val="00AB4A05"/>
    <w:rsid w:val="00AB4C5B"/>
    <w:rsid w:val="00AB4CC1"/>
    <w:rsid w:val="00AB4D4F"/>
    <w:rsid w:val="00AB4E25"/>
    <w:rsid w:val="00AB4F75"/>
    <w:rsid w:val="00AB4F7A"/>
    <w:rsid w:val="00AB4F8E"/>
    <w:rsid w:val="00AB520D"/>
    <w:rsid w:val="00AB5299"/>
    <w:rsid w:val="00AB5302"/>
    <w:rsid w:val="00AB53EE"/>
    <w:rsid w:val="00AB556E"/>
    <w:rsid w:val="00AB565C"/>
    <w:rsid w:val="00AB56F3"/>
    <w:rsid w:val="00AB579B"/>
    <w:rsid w:val="00AB57C2"/>
    <w:rsid w:val="00AB57EB"/>
    <w:rsid w:val="00AB592B"/>
    <w:rsid w:val="00AB5B05"/>
    <w:rsid w:val="00AB5B3E"/>
    <w:rsid w:val="00AB5C14"/>
    <w:rsid w:val="00AB5C44"/>
    <w:rsid w:val="00AB5D11"/>
    <w:rsid w:val="00AB5D48"/>
    <w:rsid w:val="00AB5ED9"/>
    <w:rsid w:val="00AB5F6F"/>
    <w:rsid w:val="00AB600E"/>
    <w:rsid w:val="00AB6069"/>
    <w:rsid w:val="00AB61C4"/>
    <w:rsid w:val="00AB62B9"/>
    <w:rsid w:val="00AB6383"/>
    <w:rsid w:val="00AB642E"/>
    <w:rsid w:val="00AB645F"/>
    <w:rsid w:val="00AB6484"/>
    <w:rsid w:val="00AB6593"/>
    <w:rsid w:val="00AB662C"/>
    <w:rsid w:val="00AB673E"/>
    <w:rsid w:val="00AB67DA"/>
    <w:rsid w:val="00AB68C8"/>
    <w:rsid w:val="00AB695E"/>
    <w:rsid w:val="00AB6A00"/>
    <w:rsid w:val="00AB6A5C"/>
    <w:rsid w:val="00AB6AA0"/>
    <w:rsid w:val="00AB6CEA"/>
    <w:rsid w:val="00AB6D25"/>
    <w:rsid w:val="00AB6D8C"/>
    <w:rsid w:val="00AB6F97"/>
    <w:rsid w:val="00AB6FB1"/>
    <w:rsid w:val="00AB6FDA"/>
    <w:rsid w:val="00AB7315"/>
    <w:rsid w:val="00AB745E"/>
    <w:rsid w:val="00AB76AC"/>
    <w:rsid w:val="00AB771C"/>
    <w:rsid w:val="00AB7AFB"/>
    <w:rsid w:val="00AB7D28"/>
    <w:rsid w:val="00AB7D4A"/>
    <w:rsid w:val="00AB7EF7"/>
    <w:rsid w:val="00AB7F17"/>
    <w:rsid w:val="00AC022B"/>
    <w:rsid w:val="00AC0278"/>
    <w:rsid w:val="00AC02C4"/>
    <w:rsid w:val="00AC039D"/>
    <w:rsid w:val="00AC048F"/>
    <w:rsid w:val="00AC05C7"/>
    <w:rsid w:val="00AC05F9"/>
    <w:rsid w:val="00AC074D"/>
    <w:rsid w:val="00AC0903"/>
    <w:rsid w:val="00AC0953"/>
    <w:rsid w:val="00AC0B06"/>
    <w:rsid w:val="00AC0B11"/>
    <w:rsid w:val="00AC0B4C"/>
    <w:rsid w:val="00AC0B6D"/>
    <w:rsid w:val="00AC0BF3"/>
    <w:rsid w:val="00AC0C68"/>
    <w:rsid w:val="00AC0CC0"/>
    <w:rsid w:val="00AC0D30"/>
    <w:rsid w:val="00AC0D67"/>
    <w:rsid w:val="00AC0DD7"/>
    <w:rsid w:val="00AC0EA4"/>
    <w:rsid w:val="00AC104A"/>
    <w:rsid w:val="00AC107C"/>
    <w:rsid w:val="00AC116C"/>
    <w:rsid w:val="00AC1220"/>
    <w:rsid w:val="00AC1407"/>
    <w:rsid w:val="00AC1688"/>
    <w:rsid w:val="00AC16B3"/>
    <w:rsid w:val="00AC16DA"/>
    <w:rsid w:val="00AC17F5"/>
    <w:rsid w:val="00AC1957"/>
    <w:rsid w:val="00AC1968"/>
    <w:rsid w:val="00AC19CC"/>
    <w:rsid w:val="00AC1A04"/>
    <w:rsid w:val="00AC1A7A"/>
    <w:rsid w:val="00AC1B31"/>
    <w:rsid w:val="00AC1D45"/>
    <w:rsid w:val="00AC1DA1"/>
    <w:rsid w:val="00AC1F03"/>
    <w:rsid w:val="00AC1F0E"/>
    <w:rsid w:val="00AC1FCD"/>
    <w:rsid w:val="00AC20BC"/>
    <w:rsid w:val="00AC20ED"/>
    <w:rsid w:val="00AC22E7"/>
    <w:rsid w:val="00AC2341"/>
    <w:rsid w:val="00AC2409"/>
    <w:rsid w:val="00AC24DC"/>
    <w:rsid w:val="00AC26C1"/>
    <w:rsid w:val="00AC279A"/>
    <w:rsid w:val="00AC27CA"/>
    <w:rsid w:val="00AC2800"/>
    <w:rsid w:val="00AC28B2"/>
    <w:rsid w:val="00AC28CA"/>
    <w:rsid w:val="00AC28D9"/>
    <w:rsid w:val="00AC2B43"/>
    <w:rsid w:val="00AC2C72"/>
    <w:rsid w:val="00AC2D17"/>
    <w:rsid w:val="00AC2E5C"/>
    <w:rsid w:val="00AC2FA9"/>
    <w:rsid w:val="00AC307A"/>
    <w:rsid w:val="00AC30BC"/>
    <w:rsid w:val="00AC31FA"/>
    <w:rsid w:val="00AC31FB"/>
    <w:rsid w:val="00AC3201"/>
    <w:rsid w:val="00AC3298"/>
    <w:rsid w:val="00AC32D3"/>
    <w:rsid w:val="00AC335C"/>
    <w:rsid w:val="00AC34E4"/>
    <w:rsid w:val="00AC3573"/>
    <w:rsid w:val="00AC3585"/>
    <w:rsid w:val="00AC3633"/>
    <w:rsid w:val="00AC36D0"/>
    <w:rsid w:val="00AC37F8"/>
    <w:rsid w:val="00AC380E"/>
    <w:rsid w:val="00AC38A4"/>
    <w:rsid w:val="00AC38EF"/>
    <w:rsid w:val="00AC3994"/>
    <w:rsid w:val="00AC39AE"/>
    <w:rsid w:val="00AC39F5"/>
    <w:rsid w:val="00AC3A13"/>
    <w:rsid w:val="00AC3A1B"/>
    <w:rsid w:val="00AC3A24"/>
    <w:rsid w:val="00AC3A4F"/>
    <w:rsid w:val="00AC3B49"/>
    <w:rsid w:val="00AC3B69"/>
    <w:rsid w:val="00AC3BC1"/>
    <w:rsid w:val="00AC3DB9"/>
    <w:rsid w:val="00AC3DC8"/>
    <w:rsid w:val="00AC3EA6"/>
    <w:rsid w:val="00AC3EC6"/>
    <w:rsid w:val="00AC3F5F"/>
    <w:rsid w:val="00AC3F66"/>
    <w:rsid w:val="00AC3F71"/>
    <w:rsid w:val="00AC40E2"/>
    <w:rsid w:val="00AC4265"/>
    <w:rsid w:val="00AC4271"/>
    <w:rsid w:val="00AC4286"/>
    <w:rsid w:val="00AC42E4"/>
    <w:rsid w:val="00AC43CC"/>
    <w:rsid w:val="00AC4458"/>
    <w:rsid w:val="00AC44C6"/>
    <w:rsid w:val="00AC4527"/>
    <w:rsid w:val="00AC45E6"/>
    <w:rsid w:val="00AC4641"/>
    <w:rsid w:val="00AC4649"/>
    <w:rsid w:val="00AC4751"/>
    <w:rsid w:val="00AC48B1"/>
    <w:rsid w:val="00AC48E7"/>
    <w:rsid w:val="00AC4A95"/>
    <w:rsid w:val="00AC4AD7"/>
    <w:rsid w:val="00AC4B64"/>
    <w:rsid w:val="00AC4CF9"/>
    <w:rsid w:val="00AC4DF1"/>
    <w:rsid w:val="00AC4E56"/>
    <w:rsid w:val="00AC4F10"/>
    <w:rsid w:val="00AC4F66"/>
    <w:rsid w:val="00AC4FA1"/>
    <w:rsid w:val="00AC4FA4"/>
    <w:rsid w:val="00AC5045"/>
    <w:rsid w:val="00AC505D"/>
    <w:rsid w:val="00AC50F3"/>
    <w:rsid w:val="00AC50F5"/>
    <w:rsid w:val="00AC51BD"/>
    <w:rsid w:val="00AC52A2"/>
    <w:rsid w:val="00AC52D8"/>
    <w:rsid w:val="00AC5492"/>
    <w:rsid w:val="00AC549B"/>
    <w:rsid w:val="00AC55DF"/>
    <w:rsid w:val="00AC567C"/>
    <w:rsid w:val="00AC5720"/>
    <w:rsid w:val="00AC5793"/>
    <w:rsid w:val="00AC5870"/>
    <w:rsid w:val="00AC5A61"/>
    <w:rsid w:val="00AC5AA7"/>
    <w:rsid w:val="00AC5C83"/>
    <w:rsid w:val="00AC5D67"/>
    <w:rsid w:val="00AC5EBE"/>
    <w:rsid w:val="00AC6095"/>
    <w:rsid w:val="00AC618A"/>
    <w:rsid w:val="00AC621B"/>
    <w:rsid w:val="00AC6275"/>
    <w:rsid w:val="00AC6285"/>
    <w:rsid w:val="00AC6299"/>
    <w:rsid w:val="00AC62AC"/>
    <w:rsid w:val="00AC62B9"/>
    <w:rsid w:val="00AC6458"/>
    <w:rsid w:val="00AC64E8"/>
    <w:rsid w:val="00AC65E5"/>
    <w:rsid w:val="00AC6645"/>
    <w:rsid w:val="00AC66B3"/>
    <w:rsid w:val="00AC67A7"/>
    <w:rsid w:val="00AC686C"/>
    <w:rsid w:val="00AC6880"/>
    <w:rsid w:val="00AC6899"/>
    <w:rsid w:val="00AC68F4"/>
    <w:rsid w:val="00AC68FD"/>
    <w:rsid w:val="00AC6955"/>
    <w:rsid w:val="00AC69AA"/>
    <w:rsid w:val="00AC69EB"/>
    <w:rsid w:val="00AC6A3D"/>
    <w:rsid w:val="00AC6B68"/>
    <w:rsid w:val="00AC6BF1"/>
    <w:rsid w:val="00AC6C5C"/>
    <w:rsid w:val="00AC6E57"/>
    <w:rsid w:val="00AC6E7E"/>
    <w:rsid w:val="00AC6EA3"/>
    <w:rsid w:val="00AC70A8"/>
    <w:rsid w:val="00AC70DE"/>
    <w:rsid w:val="00AC71CF"/>
    <w:rsid w:val="00AC7237"/>
    <w:rsid w:val="00AC72C2"/>
    <w:rsid w:val="00AC7313"/>
    <w:rsid w:val="00AC732A"/>
    <w:rsid w:val="00AC7529"/>
    <w:rsid w:val="00AC7639"/>
    <w:rsid w:val="00AC7736"/>
    <w:rsid w:val="00AC7807"/>
    <w:rsid w:val="00AC783C"/>
    <w:rsid w:val="00AC78C3"/>
    <w:rsid w:val="00AC7938"/>
    <w:rsid w:val="00AC7B5D"/>
    <w:rsid w:val="00AC7B60"/>
    <w:rsid w:val="00AC7B72"/>
    <w:rsid w:val="00AC7BC9"/>
    <w:rsid w:val="00AC7BF2"/>
    <w:rsid w:val="00AC7CE6"/>
    <w:rsid w:val="00AC7D4D"/>
    <w:rsid w:val="00AC7E14"/>
    <w:rsid w:val="00AC7F20"/>
    <w:rsid w:val="00AD0038"/>
    <w:rsid w:val="00AD00E0"/>
    <w:rsid w:val="00AD0109"/>
    <w:rsid w:val="00AD01D5"/>
    <w:rsid w:val="00AD028C"/>
    <w:rsid w:val="00AD02F6"/>
    <w:rsid w:val="00AD045C"/>
    <w:rsid w:val="00AD04D1"/>
    <w:rsid w:val="00AD04E9"/>
    <w:rsid w:val="00AD059B"/>
    <w:rsid w:val="00AD067B"/>
    <w:rsid w:val="00AD06DD"/>
    <w:rsid w:val="00AD06F3"/>
    <w:rsid w:val="00AD07D8"/>
    <w:rsid w:val="00AD08D4"/>
    <w:rsid w:val="00AD0931"/>
    <w:rsid w:val="00AD0985"/>
    <w:rsid w:val="00AD0AF2"/>
    <w:rsid w:val="00AD0C17"/>
    <w:rsid w:val="00AD0CAC"/>
    <w:rsid w:val="00AD0CDA"/>
    <w:rsid w:val="00AD0D3F"/>
    <w:rsid w:val="00AD0D88"/>
    <w:rsid w:val="00AD0EF9"/>
    <w:rsid w:val="00AD0F24"/>
    <w:rsid w:val="00AD0F59"/>
    <w:rsid w:val="00AD0F9D"/>
    <w:rsid w:val="00AD103C"/>
    <w:rsid w:val="00AD108D"/>
    <w:rsid w:val="00AD10C8"/>
    <w:rsid w:val="00AD1140"/>
    <w:rsid w:val="00AD114D"/>
    <w:rsid w:val="00AD116D"/>
    <w:rsid w:val="00AD11AE"/>
    <w:rsid w:val="00AD1293"/>
    <w:rsid w:val="00AD12FA"/>
    <w:rsid w:val="00AD13C4"/>
    <w:rsid w:val="00AD13E3"/>
    <w:rsid w:val="00AD14C6"/>
    <w:rsid w:val="00AD1558"/>
    <w:rsid w:val="00AD165F"/>
    <w:rsid w:val="00AD1681"/>
    <w:rsid w:val="00AD1700"/>
    <w:rsid w:val="00AD1B96"/>
    <w:rsid w:val="00AD1C1B"/>
    <w:rsid w:val="00AD1C53"/>
    <w:rsid w:val="00AD1CAE"/>
    <w:rsid w:val="00AD1CB9"/>
    <w:rsid w:val="00AD1CE5"/>
    <w:rsid w:val="00AD1D94"/>
    <w:rsid w:val="00AD1E33"/>
    <w:rsid w:val="00AD1EC8"/>
    <w:rsid w:val="00AD1FB8"/>
    <w:rsid w:val="00AD23B2"/>
    <w:rsid w:val="00AD23C1"/>
    <w:rsid w:val="00AD2427"/>
    <w:rsid w:val="00AD247F"/>
    <w:rsid w:val="00AD2519"/>
    <w:rsid w:val="00AD26D3"/>
    <w:rsid w:val="00AD2753"/>
    <w:rsid w:val="00AD289A"/>
    <w:rsid w:val="00AD295F"/>
    <w:rsid w:val="00AD2A46"/>
    <w:rsid w:val="00AD2A7B"/>
    <w:rsid w:val="00AD2C9F"/>
    <w:rsid w:val="00AD2CBA"/>
    <w:rsid w:val="00AD2E3C"/>
    <w:rsid w:val="00AD2E6B"/>
    <w:rsid w:val="00AD2EAC"/>
    <w:rsid w:val="00AD2F08"/>
    <w:rsid w:val="00AD2F33"/>
    <w:rsid w:val="00AD2FC1"/>
    <w:rsid w:val="00AD3039"/>
    <w:rsid w:val="00AD3069"/>
    <w:rsid w:val="00AD3173"/>
    <w:rsid w:val="00AD3192"/>
    <w:rsid w:val="00AD3226"/>
    <w:rsid w:val="00AD338E"/>
    <w:rsid w:val="00AD3498"/>
    <w:rsid w:val="00AD34AB"/>
    <w:rsid w:val="00AD34C1"/>
    <w:rsid w:val="00AD3693"/>
    <w:rsid w:val="00AD36B9"/>
    <w:rsid w:val="00AD377A"/>
    <w:rsid w:val="00AD37AA"/>
    <w:rsid w:val="00AD37ED"/>
    <w:rsid w:val="00AD384A"/>
    <w:rsid w:val="00AD3AFE"/>
    <w:rsid w:val="00AD3B0E"/>
    <w:rsid w:val="00AD3D2E"/>
    <w:rsid w:val="00AD3F0B"/>
    <w:rsid w:val="00AD3F5E"/>
    <w:rsid w:val="00AD40D3"/>
    <w:rsid w:val="00AD4266"/>
    <w:rsid w:val="00AD4275"/>
    <w:rsid w:val="00AD43DF"/>
    <w:rsid w:val="00AD44D6"/>
    <w:rsid w:val="00AD45E9"/>
    <w:rsid w:val="00AD46D1"/>
    <w:rsid w:val="00AD474C"/>
    <w:rsid w:val="00AD4857"/>
    <w:rsid w:val="00AD49AF"/>
    <w:rsid w:val="00AD4ADB"/>
    <w:rsid w:val="00AD4C3C"/>
    <w:rsid w:val="00AD4C98"/>
    <w:rsid w:val="00AD4E2A"/>
    <w:rsid w:val="00AD4ED2"/>
    <w:rsid w:val="00AD4F25"/>
    <w:rsid w:val="00AD4F3C"/>
    <w:rsid w:val="00AD4F73"/>
    <w:rsid w:val="00AD4F82"/>
    <w:rsid w:val="00AD4FB7"/>
    <w:rsid w:val="00AD5065"/>
    <w:rsid w:val="00AD5146"/>
    <w:rsid w:val="00AD523C"/>
    <w:rsid w:val="00AD52AF"/>
    <w:rsid w:val="00AD5397"/>
    <w:rsid w:val="00AD55D0"/>
    <w:rsid w:val="00AD5658"/>
    <w:rsid w:val="00AD56E8"/>
    <w:rsid w:val="00AD5704"/>
    <w:rsid w:val="00AD5775"/>
    <w:rsid w:val="00AD577E"/>
    <w:rsid w:val="00AD578C"/>
    <w:rsid w:val="00AD5861"/>
    <w:rsid w:val="00AD58D2"/>
    <w:rsid w:val="00AD599F"/>
    <w:rsid w:val="00AD5A74"/>
    <w:rsid w:val="00AD5B95"/>
    <w:rsid w:val="00AD5C1E"/>
    <w:rsid w:val="00AD5C2C"/>
    <w:rsid w:val="00AD5DC9"/>
    <w:rsid w:val="00AD5EFE"/>
    <w:rsid w:val="00AD5F44"/>
    <w:rsid w:val="00AD5F4F"/>
    <w:rsid w:val="00AD5FD0"/>
    <w:rsid w:val="00AD600C"/>
    <w:rsid w:val="00AD6083"/>
    <w:rsid w:val="00AD61EF"/>
    <w:rsid w:val="00AD62BA"/>
    <w:rsid w:val="00AD63D4"/>
    <w:rsid w:val="00AD63E4"/>
    <w:rsid w:val="00AD6607"/>
    <w:rsid w:val="00AD675E"/>
    <w:rsid w:val="00AD67D8"/>
    <w:rsid w:val="00AD687D"/>
    <w:rsid w:val="00AD6934"/>
    <w:rsid w:val="00AD6A9D"/>
    <w:rsid w:val="00AD6AF2"/>
    <w:rsid w:val="00AD6B77"/>
    <w:rsid w:val="00AD6B87"/>
    <w:rsid w:val="00AD6CB5"/>
    <w:rsid w:val="00AD6E24"/>
    <w:rsid w:val="00AD6ED1"/>
    <w:rsid w:val="00AD6EDD"/>
    <w:rsid w:val="00AD6F84"/>
    <w:rsid w:val="00AD7035"/>
    <w:rsid w:val="00AD7094"/>
    <w:rsid w:val="00AD7133"/>
    <w:rsid w:val="00AD71F5"/>
    <w:rsid w:val="00AD71FD"/>
    <w:rsid w:val="00AD7603"/>
    <w:rsid w:val="00AD7622"/>
    <w:rsid w:val="00AD7626"/>
    <w:rsid w:val="00AD76CD"/>
    <w:rsid w:val="00AD777A"/>
    <w:rsid w:val="00AD777F"/>
    <w:rsid w:val="00AD778A"/>
    <w:rsid w:val="00AD7798"/>
    <w:rsid w:val="00AD787F"/>
    <w:rsid w:val="00AD78A7"/>
    <w:rsid w:val="00AD7991"/>
    <w:rsid w:val="00AD7B85"/>
    <w:rsid w:val="00AD7BA5"/>
    <w:rsid w:val="00AD7CE2"/>
    <w:rsid w:val="00AD7D1C"/>
    <w:rsid w:val="00AD7DB2"/>
    <w:rsid w:val="00AD7E60"/>
    <w:rsid w:val="00AD7E9E"/>
    <w:rsid w:val="00AD7FAF"/>
    <w:rsid w:val="00AE027D"/>
    <w:rsid w:val="00AE02AD"/>
    <w:rsid w:val="00AE02EC"/>
    <w:rsid w:val="00AE0394"/>
    <w:rsid w:val="00AE03B6"/>
    <w:rsid w:val="00AE04A9"/>
    <w:rsid w:val="00AE0577"/>
    <w:rsid w:val="00AE0587"/>
    <w:rsid w:val="00AE0676"/>
    <w:rsid w:val="00AE0710"/>
    <w:rsid w:val="00AE0731"/>
    <w:rsid w:val="00AE07BD"/>
    <w:rsid w:val="00AE080D"/>
    <w:rsid w:val="00AE09A6"/>
    <w:rsid w:val="00AE09C5"/>
    <w:rsid w:val="00AE0A89"/>
    <w:rsid w:val="00AE0AAF"/>
    <w:rsid w:val="00AE0B0A"/>
    <w:rsid w:val="00AE0B1D"/>
    <w:rsid w:val="00AE0C32"/>
    <w:rsid w:val="00AE0D78"/>
    <w:rsid w:val="00AE0DEA"/>
    <w:rsid w:val="00AE0E3A"/>
    <w:rsid w:val="00AE0F40"/>
    <w:rsid w:val="00AE0F95"/>
    <w:rsid w:val="00AE1093"/>
    <w:rsid w:val="00AE1095"/>
    <w:rsid w:val="00AE115F"/>
    <w:rsid w:val="00AE1162"/>
    <w:rsid w:val="00AE11A5"/>
    <w:rsid w:val="00AE11C0"/>
    <w:rsid w:val="00AE11FD"/>
    <w:rsid w:val="00AE1471"/>
    <w:rsid w:val="00AE156A"/>
    <w:rsid w:val="00AE158F"/>
    <w:rsid w:val="00AE161E"/>
    <w:rsid w:val="00AE168E"/>
    <w:rsid w:val="00AE174B"/>
    <w:rsid w:val="00AE17B6"/>
    <w:rsid w:val="00AE18C5"/>
    <w:rsid w:val="00AE18D1"/>
    <w:rsid w:val="00AE19F7"/>
    <w:rsid w:val="00AE1A5C"/>
    <w:rsid w:val="00AE1AB5"/>
    <w:rsid w:val="00AE1B25"/>
    <w:rsid w:val="00AE1C69"/>
    <w:rsid w:val="00AE1C8A"/>
    <w:rsid w:val="00AE1CE8"/>
    <w:rsid w:val="00AE1D7C"/>
    <w:rsid w:val="00AE1E74"/>
    <w:rsid w:val="00AE1EAF"/>
    <w:rsid w:val="00AE1F7A"/>
    <w:rsid w:val="00AE2083"/>
    <w:rsid w:val="00AE22CD"/>
    <w:rsid w:val="00AE231B"/>
    <w:rsid w:val="00AE257E"/>
    <w:rsid w:val="00AE2637"/>
    <w:rsid w:val="00AE2887"/>
    <w:rsid w:val="00AE29E2"/>
    <w:rsid w:val="00AE2BB1"/>
    <w:rsid w:val="00AE2BE5"/>
    <w:rsid w:val="00AE2C90"/>
    <w:rsid w:val="00AE2D8C"/>
    <w:rsid w:val="00AE2E21"/>
    <w:rsid w:val="00AE2E4C"/>
    <w:rsid w:val="00AE2EFC"/>
    <w:rsid w:val="00AE303D"/>
    <w:rsid w:val="00AE30BD"/>
    <w:rsid w:val="00AE30E1"/>
    <w:rsid w:val="00AE3202"/>
    <w:rsid w:val="00AE3203"/>
    <w:rsid w:val="00AE3275"/>
    <w:rsid w:val="00AE33B2"/>
    <w:rsid w:val="00AE3461"/>
    <w:rsid w:val="00AE3481"/>
    <w:rsid w:val="00AE3502"/>
    <w:rsid w:val="00AE353C"/>
    <w:rsid w:val="00AE361C"/>
    <w:rsid w:val="00AE3736"/>
    <w:rsid w:val="00AE37F6"/>
    <w:rsid w:val="00AE3867"/>
    <w:rsid w:val="00AE389A"/>
    <w:rsid w:val="00AE3A6A"/>
    <w:rsid w:val="00AE3B89"/>
    <w:rsid w:val="00AE3BD3"/>
    <w:rsid w:val="00AE3BF1"/>
    <w:rsid w:val="00AE3C51"/>
    <w:rsid w:val="00AE3CA3"/>
    <w:rsid w:val="00AE3CBE"/>
    <w:rsid w:val="00AE3CFF"/>
    <w:rsid w:val="00AE3F04"/>
    <w:rsid w:val="00AE41C2"/>
    <w:rsid w:val="00AE427A"/>
    <w:rsid w:val="00AE432A"/>
    <w:rsid w:val="00AE4339"/>
    <w:rsid w:val="00AE4448"/>
    <w:rsid w:val="00AE44B9"/>
    <w:rsid w:val="00AE46A3"/>
    <w:rsid w:val="00AE4745"/>
    <w:rsid w:val="00AE48EA"/>
    <w:rsid w:val="00AE4A36"/>
    <w:rsid w:val="00AE4AB3"/>
    <w:rsid w:val="00AE4B7B"/>
    <w:rsid w:val="00AE4C0A"/>
    <w:rsid w:val="00AE4CE8"/>
    <w:rsid w:val="00AE4D6E"/>
    <w:rsid w:val="00AE4D98"/>
    <w:rsid w:val="00AE4DA9"/>
    <w:rsid w:val="00AE4F8C"/>
    <w:rsid w:val="00AE5070"/>
    <w:rsid w:val="00AE50C2"/>
    <w:rsid w:val="00AE50D7"/>
    <w:rsid w:val="00AE513A"/>
    <w:rsid w:val="00AE5264"/>
    <w:rsid w:val="00AE530F"/>
    <w:rsid w:val="00AE5384"/>
    <w:rsid w:val="00AE5388"/>
    <w:rsid w:val="00AE53B6"/>
    <w:rsid w:val="00AE53E4"/>
    <w:rsid w:val="00AE5478"/>
    <w:rsid w:val="00AE5533"/>
    <w:rsid w:val="00AE553D"/>
    <w:rsid w:val="00AE557F"/>
    <w:rsid w:val="00AE57C8"/>
    <w:rsid w:val="00AE581E"/>
    <w:rsid w:val="00AE586D"/>
    <w:rsid w:val="00AE5871"/>
    <w:rsid w:val="00AE5944"/>
    <w:rsid w:val="00AE59B6"/>
    <w:rsid w:val="00AE59FD"/>
    <w:rsid w:val="00AE5B30"/>
    <w:rsid w:val="00AE5B84"/>
    <w:rsid w:val="00AE5C24"/>
    <w:rsid w:val="00AE5D93"/>
    <w:rsid w:val="00AE5E11"/>
    <w:rsid w:val="00AE5E17"/>
    <w:rsid w:val="00AE5EF4"/>
    <w:rsid w:val="00AE5F0D"/>
    <w:rsid w:val="00AE5FCC"/>
    <w:rsid w:val="00AE5FDC"/>
    <w:rsid w:val="00AE60CC"/>
    <w:rsid w:val="00AE62CB"/>
    <w:rsid w:val="00AE6384"/>
    <w:rsid w:val="00AE63C2"/>
    <w:rsid w:val="00AE64CE"/>
    <w:rsid w:val="00AE6563"/>
    <w:rsid w:val="00AE65E0"/>
    <w:rsid w:val="00AE6645"/>
    <w:rsid w:val="00AE6768"/>
    <w:rsid w:val="00AE692A"/>
    <w:rsid w:val="00AE6A06"/>
    <w:rsid w:val="00AE6A93"/>
    <w:rsid w:val="00AE6B39"/>
    <w:rsid w:val="00AE6D08"/>
    <w:rsid w:val="00AE70FB"/>
    <w:rsid w:val="00AE74AB"/>
    <w:rsid w:val="00AE7618"/>
    <w:rsid w:val="00AE7754"/>
    <w:rsid w:val="00AE77CB"/>
    <w:rsid w:val="00AE7912"/>
    <w:rsid w:val="00AE793E"/>
    <w:rsid w:val="00AE79AB"/>
    <w:rsid w:val="00AE79C8"/>
    <w:rsid w:val="00AE79D3"/>
    <w:rsid w:val="00AE79E2"/>
    <w:rsid w:val="00AE7B77"/>
    <w:rsid w:val="00AE7D64"/>
    <w:rsid w:val="00AE7E47"/>
    <w:rsid w:val="00AE7E76"/>
    <w:rsid w:val="00AE7F20"/>
    <w:rsid w:val="00AE7F59"/>
    <w:rsid w:val="00AE7FAD"/>
    <w:rsid w:val="00AF0127"/>
    <w:rsid w:val="00AF027E"/>
    <w:rsid w:val="00AF039A"/>
    <w:rsid w:val="00AF039E"/>
    <w:rsid w:val="00AF0405"/>
    <w:rsid w:val="00AF0532"/>
    <w:rsid w:val="00AF056B"/>
    <w:rsid w:val="00AF06B6"/>
    <w:rsid w:val="00AF072F"/>
    <w:rsid w:val="00AF07F1"/>
    <w:rsid w:val="00AF086B"/>
    <w:rsid w:val="00AF0925"/>
    <w:rsid w:val="00AF09E1"/>
    <w:rsid w:val="00AF09F2"/>
    <w:rsid w:val="00AF0A6E"/>
    <w:rsid w:val="00AF0A96"/>
    <w:rsid w:val="00AF0B0F"/>
    <w:rsid w:val="00AF0B90"/>
    <w:rsid w:val="00AF0C24"/>
    <w:rsid w:val="00AF0C42"/>
    <w:rsid w:val="00AF0D89"/>
    <w:rsid w:val="00AF0DCB"/>
    <w:rsid w:val="00AF0DE5"/>
    <w:rsid w:val="00AF0FB1"/>
    <w:rsid w:val="00AF0FBB"/>
    <w:rsid w:val="00AF10F2"/>
    <w:rsid w:val="00AF1135"/>
    <w:rsid w:val="00AF124C"/>
    <w:rsid w:val="00AF1253"/>
    <w:rsid w:val="00AF14D1"/>
    <w:rsid w:val="00AF1582"/>
    <w:rsid w:val="00AF1624"/>
    <w:rsid w:val="00AF1711"/>
    <w:rsid w:val="00AF174A"/>
    <w:rsid w:val="00AF177A"/>
    <w:rsid w:val="00AF18E0"/>
    <w:rsid w:val="00AF19CF"/>
    <w:rsid w:val="00AF1B79"/>
    <w:rsid w:val="00AF1C38"/>
    <w:rsid w:val="00AF1C5D"/>
    <w:rsid w:val="00AF1C74"/>
    <w:rsid w:val="00AF1E91"/>
    <w:rsid w:val="00AF1E93"/>
    <w:rsid w:val="00AF1EAA"/>
    <w:rsid w:val="00AF1EF4"/>
    <w:rsid w:val="00AF206F"/>
    <w:rsid w:val="00AF21CA"/>
    <w:rsid w:val="00AF21E1"/>
    <w:rsid w:val="00AF223E"/>
    <w:rsid w:val="00AF22BC"/>
    <w:rsid w:val="00AF235F"/>
    <w:rsid w:val="00AF25F1"/>
    <w:rsid w:val="00AF25FD"/>
    <w:rsid w:val="00AF272C"/>
    <w:rsid w:val="00AF2786"/>
    <w:rsid w:val="00AF27D3"/>
    <w:rsid w:val="00AF2808"/>
    <w:rsid w:val="00AF2814"/>
    <w:rsid w:val="00AF2844"/>
    <w:rsid w:val="00AF2887"/>
    <w:rsid w:val="00AF2A4F"/>
    <w:rsid w:val="00AF2AD7"/>
    <w:rsid w:val="00AF2BDA"/>
    <w:rsid w:val="00AF2C81"/>
    <w:rsid w:val="00AF2D20"/>
    <w:rsid w:val="00AF2DCC"/>
    <w:rsid w:val="00AF2DF3"/>
    <w:rsid w:val="00AF2F50"/>
    <w:rsid w:val="00AF31F4"/>
    <w:rsid w:val="00AF32FA"/>
    <w:rsid w:val="00AF3399"/>
    <w:rsid w:val="00AF33CB"/>
    <w:rsid w:val="00AF3456"/>
    <w:rsid w:val="00AF35AB"/>
    <w:rsid w:val="00AF3614"/>
    <w:rsid w:val="00AF36A2"/>
    <w:rsid w:val="00AF37B2"/>
    <w:rsid w:val="00AF3842"/>
    <w:rsid w:val="00AF38BB"/>
    <w:rsid w:val="00AF398C"/>
    <w:rsid w:val="00AF399A"/>
    <w:rsid w:val="00AF39D0"/>
    <w:rsid w:val="00AF39FD"/>
    <w:rsid w:val="00AF3C72"/>
    <w:rsid w:val="00AF40C5"/>
    <w:rsid w:val="00AF41AE"/>
    <w:rsid w:val="00AF4213"/>
    <w:rsid w:val="00AF432C"/>
    <w:rsid w:val="00AF447D"/>
    <w:rsid w:val="00AF44E8"/>
    <w:rsid w:val="00AF4587"/>
    <w:rsid w:val="00AF4606"/>
    <w:rsid w:val="00AF465F"/>
    <w:rsid w:val="00AF4843"/>
    <w:rsid w:val="00AF48B6"/>
    <w:rsid w:val="00AF490E"/>
    <w:rsid w:val="00AF4951"/>
    <w:rsid w:val="00AF4BDE"/>
    <w:rsid w:val="00AF4C43"/>
    <w:rsid w:val="00AF4D04"/>
    <w:rsid w:val="00AF4D4E"/>
    <w:rsid w:val="00AF4D7D"/>
    <w:rsid w:val="00AF4DF4"/>
    <w:rsid w:val="00AF4E3E"/>
    <w:rsid w:val="00AF50A8"/>
    <w:rsid w:val="00AF512B"/>
    <w:rsid w:val="00AF518D"/>
    <w:rsid w:val="00AF51A5"/>
    <w:rsid w:val="00AF51F1"/>
    <w:rsid w:val="00AF51FA"/>
    <w:rsid w:val="00AF5362"/>
    <w:rsid w:val="00AF5428"/>
    <w:rsid w:val="00AF5441"/>
    <w:rsid w:val="00AF555E"/>
    <w:rsid w:val="00AF55F6"/>
    <w:rsid w:val="00AF55F9"/>
    <w:rsid w:val="00AF5602"/>
    <w:rsid w:val="00AF57A0"/>
    <w:rsid w:val="00AF57F5"/>
    <w:rsid w:val="00AF5975"/>
    <w:rsid w:val="00AF59D5"/>
    <w:rsid w:val="00AF5AD7"/>
    <w:rsid w:val="00AF5B79"/>
    <w:rsid w:val="00AF5BC5"/>
    <w:rsid w:val="00AF5C19"/>
    <w:rsid w:val="00AF5CCE"/>
    <w:rsid w:val="00AF5D5F"/>
    <w:rsid w:val="00AF5D6F"/>
    <w:rsid w:val="00AF5D80"/>
    <w:rsid w:val="00AF5E1A"/>
    <w:rsid w:val="00AF5E32"/>
    <w:rsid w:val="00AF5F2E"/>
    <w:rsid w:val="00AF6024"/>
    <w:rsid w:val="00AF603C"/>
    <w:rsid w:val="00AF62A1"/>
    <w:rsid w:val="00AF62CF"/>
    <w:rsid w:val="00AF6407"/>
    <w:rsid w:val="00AF64C5"/>
    <w:rsid w:val="00AF65B4"/>
    <w:rsid w:val="00AF670C"/>
    <w:rsid w:val="00AF6790"/>
    <w:rsid w:val="00AF692E"/>
    <w:rsid w:val="00AF6949"/>
    <w:rsid w:val="00AF6A2B"/>
    <w:rsid w:val="00AF6B7B"/>
    <w:rsid w:val="00AF6BF6"/>
    <w:rsid w:val="00AF6C8C"/>
    <w:rsid w:val="00AF6DB3"/>
    <w:rsid w:val="00AF6E0F"/>
    <w:rsid w:val="00AF6E1C"/>
    <w:rsid w:val="00AF6E8B"/>
    <w:rsid w:val="00AF6FC2"/>
    <w:rsid w:val="00AF6FF9"/>
    <w:rsid w:val="00AF71C0"/>
    <w:rsid w:val="00AF7282"/>
    <w:rsid w:val="00AF72F1"/>
    <w:rsid w:val="00AF7394"/>
    <w:rsid w:val="00AF7482"/>
    <w:rsid w:val="00AF7492"/>
    <w:rsid w:val="00AF749E"/>
    <w:rsid w:val="00AF7514"/>
    <w:rsid w:val="00AF7537"/>
    <w:rsid w:val="00AF75DA"/>
    <w:rsid w:val="00AF76A2"/>
    <w:rsid w:val="00AF7A82"/>
    <w:rsid w:val="00AF7B57"/>
    <w:rsid w:val="00AF7BA4"/>
    <w:rsid w:val="00AF7C66"/>
    <w:rsid w:val="00AF7C76"/>
    <w:rsid w:val="00AF7C93"/>
    <w:rsid w:val="00AF7D53"/>
    <w:rsid w:val="00AF7E9D"/>
    <w:rsid w:val="00AF7EBE"/>
    <w:rsid w:val="00AF7EFB"/>
    <w:rsid w:val="00AF7FE3"/>
    <w:rsid w:val="00B00117"/>
    <w:rsid w:val="00B001C5"/>
    <w:rsid w:val="00B002A8"/>
    <w:rsid w:val="00B004D7"/>
    <w:rsid w:val="00B00539"/>
    <w:rsid w:val="00B00560"/>
    <w:rsid w:val="00B006F4"/>
    <w:rsid w:val="00B00710"/>
    <w:rsid w:val="00B0074D"/>
    <w:rsid w:val="00B00830"/>
    <w:rsid w:val="00B00986"/>
    <w:rsid w:val="00B00A29"/>
    <w:rsid w:val="00B00D3D"/>
    <w:rsid w:val="00B00D6A"/>
    <w:rsid w:val="00B00E02"/>
    <w:rsid w:val="00B00E96"/>
    <w:rsid w:val="00B00EF8"/>
    <w:rsid w:val="00B011CF"/>
    <w:rsid w:val="00B011FA"/>
    <w:rsid w:val="00B01241"/>
    <w:rsid w:val="00B0144E"/>
    <w:rsid w:val="00B01454"/>
    <w:rsid w:val="00B015A6"/>
    <w:rsid w:val="00B015BA"/>
    <w:rsid w:val="00B017AE"/>
    <w:rsid w:val="00B017C0"/>
    <w:rsid w:val="00B0188B"/>
    <w:rsid w:val="00B01911"/>
    <w:rsid w:val="00B019DB"/>
    <w:rsid w:val="00B01B1F"/>
    <w:rsid w:val="00B01B9C"/>
    <w:rsid w:val="00B01BD0"/>
    <w:rsid w:val="00B01CC3"/>
    <w:rsid w:val="00B01F85"/>
    <w:rsid w:val="00B02052"/>
    <w:rsid w:val="00B02093"/>
    <w:rsid w:val="00B0210B"/>
    <w:rsid w:val="00B02135"/>
    <w:rsid w:val="00B022D4"/>
    <w:rsid w:val="00B023F5"/>
    <w:rsid w:val="00B02402"/>
    <w:rsid w:val="00B02480"/>
    <w:rsid w:val="00B02497"/>
    <w:rsid w:val="00B02629"/>
    <w:rsid w:val="00B0267E"/>
    <w:rsid w:val="00B027AB"/>
    <w:rsid w:val="00B02856"/>
    <w:rsid w:val="00B02926"/>
    <w:rsid w:val="00B02A3E"/>
    <w:rsid w:val="00B02B26"/>
    <w:rsid w:val="00B02B83"/>
    <w:rsid w:val="00B02C75"/>
    <w:rsid w:val="00B02E50"/>
    <w:rsid w:val="00B02FAB"/>
    <w:rsid w:val="00B03046"/>
    <w:rsid w:val="00B0304E"/>
    <w:rsid w:val="00B030A2"/>
    <w:rsid w:val="00B031BF"/>
    <w:rsid w:val="00B031F2"/>
    <w:rsid w:val="00B031FC"/>
    <w:rsid w:val="00B031FD"/>
    <w:rsid w:val="00B032B3"/>
    <w:rsid w:val="00B032EC"/>
    <w:rsid w:val="00B03329"/>
    <w:rsid w:val="00B033A2"/>
    <w:rsid w:val="00B0364F"/>
    <w:rsid w:val="00B037F8"/>
    <w:rsid w:val="00B03835"/>
    <w:rsid w:val="00B03946"/>
    <w:rsid w:val="00B0399B"/>
    <w:rsid w:val="00B03A1C"/>
    <w:rsid w:val="00B03A47"/>
    <w:rsid w:val="00B03A96"/>
    <w:rsid w:val="00B03B38"/>
    <w:rsid w:val="00B03C25"/>
    <w:rsid w:val="00B03DB5"/>
    <w:rsid w:val="00B03E01"/>
    <w:rsid w:val="00B03FAA"/>
    <w:rsid w:val="00B03FE2"/>
    <w:rsid w:val="00B0402F"/>
    <w:rsid w:val="00B041FD"/>
    <w:rsid w:val="00B04424"/>
    <w:rsid w:val="00B04567"/>
    <w:rsid w:val="00B04572"/>
    <w:rsid w:val="00B0459A"/>
    <w:rsid w:val="00B045A7"/>
    <w:rsid w:val="00B045B4"/>
    <w:rsid w:val="00B046AF"/>
    <w:rsid w:val="00B04718"/>
    <w:rsid w:val="00B04865"/>
    <w:rsid w:val="00B049D8"/>
    <w:rsid w:val="00B04B0A"/>
    <w:rsid w:val="00B04B44"/>
    <w:rsid w:val="00B04B7E"/>
    <w:rsid w:val="00B04B82"/>
    <w:rsid w:val="00B04BB1"/>
    <w:rsid w:val="00B04C7C"/>
    <w:rsid w:val="00B04D1A"/>
    <w:rsid w:val="00B04D3B"/>
    <w:rsid w:val="00B04D65"/>
    <w:rsid w:val="00B04DBD"/>
    <w:rsid w:val="00B04DE9"/>
    <w:rsid w:val="00B04E3F"/>
    <w:rsid w:val="00B04F36"/>
    <w:rsid w:val="00B0503C"/>
    <w:rsid w:val="00B05150"/>
    <w:rsid w:val="00B05269"/>
    <w:rsid w:val="00B053A3"/>
    <w:rsid w:val="00B05445"/>
    <w:rsid w:val="00B0547E"/>
    <w:rsid w:val="00B0555D"/>
    <w:rsid w:val="00B05690"/>
    <w:rsid w:val="00B0573D"/>
    <w:rsid w:val="00B05853"/>
    <w:rsid w:val="00B05976"/>
    <w:rsid w:val="00B059C0"/>
    <w:rsid w:val="00B059E2"/>
    <w:rsid w:val="00B05A16"/>
    <w:rsid w:val="00B05ABF"/>
    <w:rsid w:val="00B05B24"/>
    <w:rsid w:val="00B05C35"/>
    <w:rsid w:val="00B05C5D"/>
    <w:rsid w:val="00B05DF1"/>
    <w:rsid w:val="00B05E08"/>
    <w:rsid w:val="00B05E91"/>
    <w:rsid w:val="00B05E92"/>
    <w:rsid w:val="00B0604C"/>
    <w:rsid w:val="00B06150"/>
    <w:rsid w:val="00B0616A"/>
    <w:rsid w:val="00B064D9"/>
    <w:rsid w:val="00B065C6"/>
    <w:rsid w:val="00B0666D"/>
    <w:rsid w:val="00B0683A"/>
    <w:rsid w:val="00B06908"/>
    <w:rsid w:val="00B069C8"/>
    <w:rsid w:val="00B06B01"/>
    <w:rsid w:val="00B06D0B"/>
    <w:rsid w:val="00B06D51"/>
    <w:rsid w:val="00B07004"/>
    <w:rsid w:val="00B07015"/>
    <w:rsid w:val="00B073A4"/>
    <w:rsid w:val="00B0741F"/>
    <w:rsid w:val="00B07468"/>
    <w:rsid w:val="00B077A7"/>
    <w:rsid w:val="00B07962"/>
    <w:rsid w:val="00B07A28"/>
    <w:rsid w:val="00B07A74"/>
    <w:rsid w:val="00B07CC2"/>
    <w:rsid w:val="00B07CD8"/>
    <w:rsid w:val="00B07CDD"/>
    <w:rsid w:val="00B07D17"/>
    <w:rsid w:val="00B07E7F"/>
    <w:rsid w:val="00B07EEC"/>
    <w:rsid w:val="00B100C9"/>
    <w:rsid w:val="00B100E2"/>
    <w:rsid w:val="00B10184"/>
    <w:rsid w:val="00B102BB"/>
    <w:rsid w:val="00B103AF"/>
    <w:rsid w:val="00B10480"/>
    <w:rsid w:val="00B104FD"/>
    <w:rsid w:val="00B1055B"/>
    <w:rsid w:val="00B108CA"/>
    <w:rsid w:val="00B108D8"/>
    <w:rsid w:val="00B10967"/>
    <w:rsid w:val="00B10A81"/>
    <w:rsid w:val="00B10B26"/>
    <w:rsid w:val="00B10B4B"/>
    <w:rsid w:val="00B10C30"/>
    <w:rsid w:val="00B10C61"/>
    <w:rsid w:val="00B10D1D"/>
    <w:rsid w:val="00B10FA9"/>
    <w:rsid w:val="00B11180"/>
    <w:rsid w:val="00B1119B"/>
    <w:rsid w:val="00B111D5"/>
    <w:rsid w:val="00B11335"/>
    <w:rsid w:val="00B11336"/>
    <w:rsid w:val="00B113F1"/>
    <w:rsid w:val="00B1149F"/>
    <w:rsid w:val="00B11566"/>
    <w:rsid w:val="00B11573"/>
    <w:rsid w:val="00B1174E"/>
    <w:rsid w:val="00B11765"/>
    <w:rsid w:val="00B11841"/>
    <w:rsid w:val="00B1192D"/>
    <w:rsid w:val="00B11969"/>
    <w:rsid w:val="00B1197C"/>
    <w:rsid w:val="00B11980"/>
    <w:rsid w:val="00B11A45"/>
    <w:rsid w:val="00B11A4C"/>
    <w:rsid w:val="00B11A7E"/>
    <w:rsid w:val="00B11AFD"/>
    <w:rsid w:val="00B11C2F"/>
    <w:rsid w:val="00B11C3B"/>
    <w:rsid w:val="00B11CF0"/>
    <w:rsid w:val="00B11DA3"/>
    <w:rsid w:val="00B11F32"/>
    <w:rsid w:val="00B11FF2"/>
    <w:rsid w:val="00B12188"/>
    <w:rsid w:val="00B1232C"/>
    <w:rsid w:val="00B12448"/>
    <w:rsid w:val="00B126F7"/>
    <w:rsid w:val="00B1281B"/>
    <w:rsid w:val="00B1282D"/>
    <w:rsid w:val="00B1298F"/>
    <w:rsid w:val="00B1299A"/>
    <w:rsid w:val="00B1299D"/>
    <w:rsid w:val="00B12A4A"/>
    <w:rsid w:val="00B12AD8"/>
    <w:rsid w:val="00B12C61"/>
    <w:rsid w:val="00B12CA5"/>
    <w:rsid w:val="00B12D67"/>
    <w:rsid w:val="00B12D92"/>
    <w:rsid w:val="00B12F6B"/>
    <w:rsid w:val="00B12F8C"/>
    <w:rsid w:val="00B13034"/>
    <w:rsid w:val="00B1303C"/>
    <w:rsid w:val="00B131E2"/>
    <w:rsid w:val="00B13228"/>
    <w:rsid w:val="00B132B6"/>
    <w:rsid w:val="00B133D6"/>
    <w:rsid w:val="00B13478"/>
    <w:rsid w:val="00B13510"/>
    <w:rsid w:val="00B135AE"/>
    <w:rsid w:val="00B13699"/>
    <w:rsid w:val="00B13726"/>
    <w:rsid w:val="00B13A32"/>
    <w:rsid w:val="00B13C61"/>
    <w:rsid w:val="00B13E79"/>
    <w:rsid w:val="00B13E7E"/>
    <w:rsid w:val="00B140B7"/>
    <w:rsid w:val="00B14120"/>
    <w:rsid w:val="00B141B6"/>
    <w:rsid w:val="00B141C0"/>
    <w:rsid w:val="00B141C9"/>
    <w:rsid w:val="00B14287"/>
    <w:rsid w:val="00B14301"/>
    <w:rsid w:val="00B14338"/>
    <w:rsid w:val="00B1433A"/>
    <w:rsid w:val="00B1434A"/>
    <w:rsid w:val="00B1440C"/>
    <w:rsid w:val="00B145AB"/>
    <w:rsid w:val="00B14683"/>
    <w:rsid w:val="00B1468B"/>
    <w:rsid w:val="00B146B6"/>
    <w:rsid w:val="00B146E7"/>
    <w:rsid w:val="00B146F0"/>
    <w:rsid w:val="00B14745"/>
    <w:rsid w:val="00B14803"/>
    <w:rsid w:val="00B148B6"/>
    <w:rsid w:val="00B1491C"/>
    <w:rsid w:val="00B149C9"/>
    <w:rsid w:val="00B14A33"/>
    <w:rsid w:val="00B14B3E"/>
    <w:rsid w:val="00B14BC2"/>
    <w:rsid w:val="00B14BCC"/>
    <w:rsid w:val="00B14BDB"/>
    <w:rsid w:val="00B14C2E"/>
    <w:rsid w:val="00B14D28"/>
    <w:rsid w:val="00B14DF3"/>
    <w:rsid w:val="00B14E8E"/>
    <w:rsid w:val="00B14FFA"/>
    <w:rsid w:val="00B150C1"/>
    <w:rsid w:val="00B15196"/>
    <w:rsid w:val="00B15252"/>
    <w:rsid w:val="00B15286"/>
    <w:rsid w:val="00B152CB"/>
    <w:rsid w:val="00B152EC"/>
    <w:rsid w:val="00B152ED"/>
    <w:rsid w:val="00B15344"/>
    <w:rsid w:val="00B1544C"/>
    <w:rsid w:val="00B155EB"/>
    <w:rsid w:val="00B155FA"/>
    <w:rsid w:val="00B15639"/>
    <w:rsid w:val="00B1569C"/>
    <w:rsid w:val="00B156B6"/>
    <w:rsid w:val="00B15718"/>
    <w:rsid w:val="00B157C8"/>
    <w:rsid w:val="00B158A3"/>
    <w:rsid w:val="00B159D1"/>
    <w:rsid w:val="00B15C78"/>
    <w:rsid w:val="00B15D0C"/>
    <w:rsid w:val="00B15DF9"/>
    <w:rsid w:val="00B15ED4"/>
    <w:rsid w:val="00B15F25"/>
    <w:rsid w:val="00B15FA8"/>
    <w:rsid w:val="00B15FFC"/>
    <w:rsid w:val="00B1608A"/>
    <w:rsid w:val="00B160B2"/>
    <w:rsid w:val="00B1629D"/>
    <w:rsid w:val="00B16333"/>
    <w:rsid w:val="00B16391"/>
    <w:rsid w:val="00B1648B"/>
    <w:rsid w:val="00B1649B"/>
    <w:rsid w:val="00B16515"/>
    <w:rsid w:val="00B16645"/>
    <w:rsid w:val="00B166F1"/>
    <w:rsid w:val="00B167F3"/>
    <w:rsid w:val="00B16818"/>
    <w:rsid w:val="00B169CD"/>
    <w:rsid w:val="00B16A3D"/>
    <w:rsid w:val="00B16B46"/>
    <w:rsid w:val="00B16BC9"/>
    <w:rsid w:val="00B16C5B"/>
    <w:rsid w:val="00B16C88"/>
    <w:rsid w:val="00B16CE1"/>
    <w:rsid w:val="00B16E84"/>
    <w:rsid w:val="00B16E96"/>
    <w:rsid w:val="00B16EA5"/>
    <w:rsid w:val="00B16F35"/>
    <w:rsid w:val="00B17096"/>
    <w:rsid w:val="00B171C7"/>
    <w:rsid w:val="00B1727D"/>
    <w:rsid w:val="00B17377"/>
    <w:rsid w:val="00B17400"/>
    <w:rsid w:val="00B1749C"/>
    <w:rsid w:val="00B174AB"/>
    <w:rsid w:val="00B174E9"/>
    <w:rsid w:val="00B174EF"/>
    <w:rsid w:val="00B17543"/>
    <w:rsid w:val="00B175EB"/>
    <w:rsid w:val="00B17635"/>
    <w:rsid w:val="00B1771B"/>
    <w:rsid w:val="00B17751"/>
    <w:rsid w:val="00B1779A"/>
    <w:rsid w:val="00B177E5"/>
    <w:rsid w:val="00B177FE"/>
    <w:rsid w:val="00B17906"/>
    <w:rsid w:val="00B17A07"/>
    <w:rsid w:val="00B17A63"/>
    <w:rsid w:val="00B17A87"/>
    <w:rsid w:val="00B17B30"/>
    <w:rsid w:val="00B17B71"/>
    <w:rsid w:val="00B17C73"/>
    <w:rsid w:val="00B17D09"/>
    <w:rsid w:val="00B17E13"/>
    <w:rsid w:val="00B17FA1"/>
    <w:rsid w:val="00B17FAA"/>
    <w:rsid w:val="00B17FE3"/>
    <w:rsid w:val="00B201E2"/>
    <w:rsid w:val="00B20399"/>
    <w:rsid w:val="00B2040F"/>
    <w:rsid w:val="00B2046C"/>
    <w:rsid w:val="00B2051E"/>
    <w:rsid w:val="00B2053C"/>
    <w:rsid w:val="00B2056E"/>
    <w:rsid w:val="00B20584"/>
    <w:rsid w:val="00B20772"/>
    <w:rsid w:val="00B207B1"/>
    <w:rsid w:val="00B20966"/>
    <w:rsid w:val="00B20A4D"/>
    <w:rsid w:val="00B20ABB"/>
    <w:rsid w:val="00B20B64"/>
    <w:rsid w:val="00B20B90"/>
    <w:rsid w:val="00B20BD4"/>
    <w:rsid w:val="00B20C02"/>
    <w:rsid w:val="00B20C2D"/>
    <w:rsid w:val="00B20E7E"/>
    <w:rsid w:val="00B20EC1"/>
    <w:rsid w:val="00B21226"/>
    <w:rsid w:val="00B21273"/>
    <w:rsid w:val="00B21548"/>
    <w:rsid w:val="00B21718"/>
    <w:rsid w:val="00B21733"/>
    <w:rsid w:val="00B2173E"/>
    <w:rsid w:val="00B21840"/>
    <w:rsid w:val="00B21881"/>
    <w:rsid w:val="00B218D0"/>
    <w:rsid w:val="00B21919"/>
    <w:rsid w:val="00B21A3C"/>
    <w:rsid w:val="00B21A58"/>
    <w:rsid w:val="00B21AA8"/>
    <w:rsid w:val="00B21ADD"/>
    <w:rsid w:val="00B21C3A"/>
    <w:rsid w:val="00B21E36"/>
    <w:rsid w:val="00B21EC4"/>
    <w:rsid w:val="00B21FD0"/>
    <w:rsid w:val="00B21FFE"/>
    <w:rsid w:val="00B22148"/>
    <w:rsid w:val="00B22368"/>
    <w:rsid w:val="00B22410"/>
    <w:rsid w:val="00B224A6"/>
    <w:rsid w:val="00B22511"/>
    <w:rsid w:val="00B2267F"/>
    <w:rsid w:val="00B226D3"/>
    <w:rsid w:val="00B226F2"/>
    <w:rsid w:val="00B22A0F"/>
    <w:rsid w:val="00B22B1D"/>
    <w:rsid w:val="00B22B47"/>
    <w:rsid w:val="00B22D70"/>
    <w:rsid w:val="00B22EE7"/>
    <w:rsid w:val="00B22FDC"/>
    <w:rsid w:val="00B22FDF"/>
    <w:rsid w:val="00B22FFA"/>
    <w:rsid w:val="00B23069"/>
    <w:rsid w:val="00B23073"/>
    <w:rsid w:val="00B23074"/>
    <w:rsid w:val="00B2308E"/>
    <w:rsid w:val="00B230D8"/>
    <w:rsid w:val="00B230F9"/>
    <w:rsid w:val="00B2329D"/>
    <w:rsid w:val="00B232DD"/>
    <w:rsid w:val="00B233A1"/>
    <w:rsid w:val="00B23567"/>
    <w:rsid w:val="00B236B7"/>
    <w:rsid w:val="00B236F7"/>
    <w:rsid w:val="00B237C8"/>
    <w:rsid w:val="00B2381D"/>
    <w:rsid w:val="00B238F9"/>
    <w:rsid w:val="00B239AD"/>
    <w:rsid w:val="00B239F8"/>
    <w:rsid w:val="00B23C2C"/>
    <w:rsid w:val="00B23C9F"/>
    <w:rsid w:val="00B23CFF"/>
    <w:rsid w:val="00B23D53"/>
    <w:rsid w:val="00B23FB6"/>
    <w:rsid w:val="00B24079"/>
    <w:rsid w:val="00B2408A"/>
    <w:rsid w:val="00B2415F"/>
    <w:rsid w:val="00B241B7"/>
    <w:rsid w:val="00B24241"/>
    <w:rsid w:val="00B2455D"/>
    <w:rsid w:val="00B2461B"/>
    <w:rsid w:val="00B247E5"/>
    <w:rsid w:val="00B24A35"/>
    <w:rsid w:val="00B24BA1"/>
    <w:rsid w:val="00B24BC2"/>
    <w:rsid w:val="00B24C26"/>
    <w:rsid w:val="00B24C7E"/>
    <w:rsid w:val="00B24D3A"/>
    <w:rsid w:val="00B24DDF"/>
    <w:rsid w:val="00B24F29"/>
    <w:rsid w:val="00B24F98"/>
    <w:rsid w:val="00B24F9C"/>
    <w:rsid w:val="00B25026"/>
    <w:rsid w:val="00B250D0"/>
    <w:rsid w:val="00B250E1"/>
    <w:rsid w:val="00B25239"/>
    <w:rsid w:val="00B25398"/>
    <w:rsid w:val="00B253EA"/>
    <w:rsid w:val="00B2561C"/>
    <w:rsid w:val="00B25721"/>
    <w:rsid w:val="00B25749"/>
    <w:rsid w:val="00B257D8"/>
    <w:rsid w:val="00B25820"/>
    <w:rsid w:val="00B25A98"/>
    <w:rsid w:val="00B25C76"/>
    <w:rsid w:val="00B25C95"/>
    <w:rsid w:val="00B25DD4"/>
    <w:rsid w:val="00B25DF1"/>
    <w:rsid w:val="00B25E07"/>
    <w:rsid w:val="00B2600C"/>
    <w:rsid w:val="00B260B9"/>
    <w:rsid w:val="00B26113"/>
    <w:rsid w:val="00B261A8"/>
    <w:rsid w:val="00B26261"/>
    <w:rsid w:val="00B2626B"/>
    <w:rsid w:val="00B26292"/>
    <w:rsid w:val="00B26294"/>
    <w:rsid w:val="00B26320"/>
    <w:rsid w:val="00B2633B"/>
    <w:rsid w:val="00B26593"/>
    <w:rsid w:val="00B265AC"/>
    <w:rsid w:val="00B2674C"/>
    <w:rsid w:val="00B267A2"/>
    <w:rsid w:val="00B2691D"/>
    <w:rsid w:val="00B2694C"/>
    <w:rsid w:val="00B269AE"/>
    <w:rsid w:val="00B26BE8"/>
    <w:rsid w:val="00B26E33"/>
    <w:rsid w:val="00B26E61"/>
    <w:rsid w:val="00B270D8"/>
    <w:rsid w:val="00B27117"/>
    <w:rsid w:val="00B27144"/>
    <w:rsid w:val="00B2719F"/>
    <w:rsid w:val="00B2720E"/>
    <w:rsid w:val="00B2731A"/>
    <w:rsid w:val="00B27340"/>
    <w:rsid w:val="00B27346"/>
    <w:rsid w:val="00B27472"/>
    <w:rsid w:val="00B274E1"/>
    <w:rsid w:val="00B27517"/>
    <w:rsid w:val="00B27523"/>
    <w:rsid w:val="00B275E1"/>
    <w:rsid w:val="00B276D5"/>
    <w:rsid w:val="00B2779B"/>
    <w:rsid w:val="00B27868"/>
    <w:rsid w:val="00B27961"/>
    <w:rsid w:val="00B279D5"/>
    <w:rsid w:val="00B27A13"/>
    <w:rsid w:val="00B27C35"/>
    <w:rsid w:val="00B27D32"/>
    <w:rsid w:val="00B27D4C"/>
    <w:rsid w:val="00B27DA4"/>
    <w:rsid w:val="00B27F03"/>
    <w:rsid w:val="00B27F74"/>
    <w:rsid w:val="00B27FA8"/>
    <w:rsid w:val="00B30074"/>
    <w:rsid w:val="00B300E4"/>
    <w:rsid w:val="00B30171"/>
    <w:rsid w:val="00B301F7"/>
    <w:rsid w:val="00B30298"/>
    <w:rsid w:val="00B303DE"/>
    <w:rsid w:val="00B3040B"/>
    <w:rsid w:val="00B3056D"/>
    <w:rsid w:val="00B305B3"/>
    <w:rsid w:val="00B305C0"/>
    <w:rsid w:val="00B3063F"/>
    <w:rsid w:val="00B3069D"/>
    <w:rsid w:val="00B307C4"/>
    <w:rsid w:val="00B3082D"/>
    <w:rsid w:val="00B30981"/>
    <w:rsid w:val="00B309E5"/>
    <w:rsid w:val="00B30A85"/>
    <w:rsid w:val="00B30BA2"/>
    <w:rsid w:val="00B30CF3"/>
    <w:rsid w:val="00B30D77"/>
    <w:rsid w:val="00B30F76"/>
    <w:rsid w:val="00B31028"/>
    <w:rsid w:val="00B310D0"/>
    <w:rsid w:val="00B310D6"/>
    <w:rsid w:val="00B310E2"/>
    <w:rsid w:val="00B312A6"/>
    <w:rsid w:val="00B31466"/>
    <w:rsid w:val="00B3159F"/>
    <w:rsid w:val="00B315F6"/>
    <w:rsid w:val="00B316BB"/>
    <w:rsid w:val="00B31A8B"/>
    <w:rsid w:val="00B31B50"/>
    <w:rsid w:val="00B31BBA"/>
    <w:rsid w:val="00B31C30"/>
    <w:rsid w:val="00B31E07"/>
    <w:rsid w:val="00B31FA0"/>
    <w:rsid w:val="00B31FD6"/>
    <w:rsid w:val="00B31FD9"/>
    <w:rsid w:val="00B32122"/>
    <w:rsid w:val="00B32191"/>
    <w:rsid w:val="00B3227C"/>
    <w:rsid w:val="00B32305"/>
    <w:rsid w:val="00B32350"/>
    <w:rsid w:val="00B32424"/>
    <w:rsid w:val="00B32426"/>
    <w:rsid w:val="00B3245C"/>
    <w:rsid w:val="00B325EC"/>
    <w:rsid w:val="00B3264F"/>
    <w:rsid w:val="00B32979"/>
    <w:rsid w:val="00B32D00"/>
    <w:rsid w:val="00B32E08"/>
    <w:rsid w:val="00B32EF1"/>
    <w:rsid w:val="00B32FF9"/>
    <w:rsid w:val="00B33073"/>
    <w:rsid w:val="00B3309B"/>
    <w:rsid w:val="00B33227"/>
    <w:rsid w:val="00B3327A"/>
    <w:rsid w:val="00B332BA"/>
    <w:rsid w:val="00B333C6"/>
    <w:rsid w:val="00B33405"/>
    <w:rsid w:val="00B33424"/>
    <w:rsid w:val="00B3345B"/>
    <w:rsid w:val="00B335AC"/>
    <w:rsid w:val="00B335D1"/>
    <w:rsid w:val="00B3372A"/>
    <w:rsid w:val="00B339F1"/>
    <w:rsid w:val="00B33A87"/>
    <w:rsid w:val="00B33B40"/>
    <w:rsid w:val="00B33B96"/>
    <w:rsid w:val="00B33BA3"/>
    <w:rsid w:val="00B33C34"/>
    <w:rsid w:val="00B33CCC"/>
    <w:rsid w:val="00B33D7A"/>
    <w:rsid w:val="00B33DDF"/>
    <w:rsid w:val="00B34016"/>
    <w:rsid w:val="00B3404C"/>
    <w:rsid w:val="00B34170"/>
    <w:rsid w:val="00B34379"/>
    <w:rsid w:val="00B343CE"/>
    <w:rsid w:val="00B34554"/>
    <w:rsid w:val="00B345E3"/>
    <w:rsid w:val="00B3485D"/>
    <w:rsid w:val="00B3488A"/>
    <w:rsid w:val="00B348FB"/>
    <w:rsid w:val="00B34B4C"/>
    <w:rsid w:val="00B34D64"/>
    <w:rsid w:val="00B34D67"/>
    <w:rsid w:val="00B34E44"/>
    <w:rsid w:val="00B34EFE"/>
    <w:rsid w:val="00B34F1B"/>
    <w:rsid w:val="00B34F2A"/>
    <w:rsid w:val="00B35049"/>
    <w:rsid w:val="00B350AA"/>
    <w:rsid w:val="00B35111"/>
    <w:rsid w:val="00B35181"/>
    <w:rsid w:val="00B351F6"/>
    <w:rsid w:val="00B35238"/>
    <w:rsid w:val="00B352D4"/>
    <w:rsid w:val="00B35410"/>
    <w:rsid w:val="00B3544A"/>
    <w:rsid w:val="00B3558B"/>
    <w:rsid w:val="00B355E4"/>
    <w:rsid w:val="00B35690"/>
    <w:rsid w:val="00B356D6"/>
    <w:rsid w:val="00B356DD"/>
    <w:rsid w:val="00B357C6"/>
    <w:rsid w:val="00B3592C"/>
    <w:rsid w:val="00B359AD"/>
    <w:rsid w:val="00B35AFD"/>
    <w:rsid w:val="00B35B0A"/>
    <w:rsid w:val="00B35C17"/>
    <w:rsid w:val="00B35C43"/>
    <w:rsid w:val="00B35C60"/>
    <w:rsid w:val="00B35C6C"/>
    <w:rsid w:val="00B35C8D"/>
    <w:rsid w:val="00B35CC6"/>
    <w:rsid w:val="00B35D8A"/>
    <w:rsid w:val="00B36131"/>
    <w:rsid w:val="00B36276"/>
    <w:rsid w:val="00B36343"/>
    <w:rsid w:val="00B3666F"/>
    <w:rsid w:val="00B36670"/>
    <w:rsid w:val="00B36686"/>
    <w:rsid w:val="00B366E3"/>
    <w:rsid w:val="00B36789"/>
    <w:rsid w:val="00B369E6"/>
    <w:rsid w:val="00B36CCF"/>
    <w:rsid w:val="00B36CD5"/>
    <w:rsid w:val="00B36CE6"/>
    <w:rsid w:val="00B36CFC"/>
    <w:rsid w:val="00B36D4C"/>
    <w:rsid w:val="00B36FE3"/>
    <w:rsid w:val="00B37015"/>
    <w:rsid w:val="00B37177"/>
    <w:rsid w:val="00B37233"/>
    <w:rsid w:val="00B3729E"/>
    <w:rsid w:val="00B37332"/>
    <w:rsid w:val="00B37348"/>
    <w:rsid w:val="00B37434"/>
    <w:rsid w:val="00B37450"/>
    <w:rsid w:val="00B37496"/>
    <w:rsid w:val="00B375BC"/>
    <w:rsid w:val="00B375C8"/>
    <w:rsid w:val="00B3761A"/>
    <w:rsid w:val="00B37886"/>
    <w:rsid w:val="00B378DA"/>
    <w:rsid w:val="00B37AB9"/>
    <w:rsid w:val="00B37B28"/>
    <w:rsid w:val="00B37B3C"/>
    <w:rsid w:val="00B37B69"/>
    <w:rsid w:val="00B37BBA"/>
    <w:rsid w:val="00B37C4A"/>
    <w:rsid w:val="00B37DB6"/>
    <w:rsid w:val="00B37DEB"/>
    <w:rsid w:val="00B401BC"/>
    <w:rsid w:val="00B40202"/>
    <w:rsid w:val="00B40207"/>
    <w:rsid w:val="00B4023B"/>
    <w:rsid w:val="00B403E1"/>
    <w:rsid w:val="00B4044B"/>
    <w:rsid w:val="00B405EB"/>
    <w:rsid w:val="00B4069E"/>
    <w:rsid w:val="00B406BE"/>
    <w:rsid w:val="00B4087A"/>
    <w:rsid w:val="00B408B7"/>
    <w:rsid w:val="00B40B14"/>
    <w:rsid w:val="00B40B18"/>
    <w:rsid w:val="00B40B31"/>
    <w:rsid w:val="00B40B94"/>
    <w:rsid w:val="00B40BF2"/>
    <w:rsid w:val="00B40C23"/>
    <w:rsid w:val="00B40F7D"/>
    <w:rsid w:val="00B4100A"/>
    <w:rsid w:val="00B41010"/>
    <w:rsid w:val="00B41022"/>
    <w:rsid w:val="00B41159"/>
    <w:rsid w:val="00B4115B"/>
    <w:rsid w:val="00B411AB"/>
    <w:rsid w:val="00B41433"/>
    <w:rsid w:val="00B415A7"/>
    <w:rsid w:val="00B415E9"/>
    <w:rsid w:val="00B41622"/>
    <w:rsid w:val="00B41737"/>
    <w:rsid w:val="00B41858"/>
    <w:rsid w:val="00B418A4"/>
    <w:rsid w:val="00B41A5C"/>
    <w:rsid w:val="00B41A95"/>
    <w:rsid w:val="00B41A9A"/>
    <w:rsid w:val="00B41AC6"/>
    <w:rsid w:val="00B41B45"/>
    <w:rsid w:val="00B41BC0"/>
    <w:rsid w:val="00B41C17"/>
    <w:rsid w:val="00B41CC1"/>
    <w:rsid w:val="00B41CF5"/>
    <w:rsid w:val="00B41FB8"/>
    <w:rsid w:val="00B41FF7"/>
    <w:rsid w:val="00B42049"/>
    <w:rsid w:val="00B420B8"/>
    <w:rsid w:val="00B421A7"/>
    <w:rsid w:val="00B421F7"/>
    <w:rsid w:val="00B42274"/>
    <w:rsid w:val="00B424CD"/>
    <w:rsid w:val="00B424D1"/>
    <w:rsid w:val="00B4252E"/>
    <w:rsid w:val="00B42728"/>
    <w:rsid w:val="00B4288D"/>
    <w:rsid w:val="00B429BC"/>
    <w:rsid w:val="00B429F2"/>
    <w:rsid w:val="00B42B0B"/>
    <w:rsid w:val="00B42B23"/>
    <w:rsid w:val="00B42DF9"/>
    <w:rsid w:val="00B42E5A"/>
    <w:rsid w:val="00B42E85"/>
    <w:rsid w:val="00B42EF2"/>
    <w:rsid w:val="00B42F83"/>
    <w:rsid w:val="00B43081"/>
    <w:rsid w:val="00B43206"/>
    <w:rsid w:val="00B43321"/>
    <w:rsid w:val="00B43389"/>
    <w:rsid w:val="00B433AD"/>
    <w:rsid w:val="00B4342B"/>
    <w:rsid w:val="00B435E0"/>
    <w:rsid w:val="00B43648"/>
    <w:rsid w:val="00B43942"/>
    <w:rsid w:val="00B43B31"/>
    <w:rsid w:val="00B43B5D"/>
    <w:rsid w:val="00B43C1B"/>
    <w:rsid w:val="00B43D00"/>
    <w:rsid w:val="00B43D76"/>
    <w:rsid w:val="00B43EAA"/>
    <w:rsid w:val="00B43F9A"/>
    <w:rsid w:val="00B44034"/>
    <w:rsid w:val="00B4404B"/>
    <w:rsid w:val="00B4407E"/>
    <w:rsid w:val="00B44118"/>
    <w:rsid w:val="00B44129"/>
    <w:rsid w:val="00B44270"/>
    <w:rsid w:val="00B44316"/>
    <w:rsid w:val="00B443C3"/>
    <w:rsid w:val="00B44475"/>
    <w:rsid w:val="00B44486"/>
    <w:rsid w:val="00B4454F"/>
    <w:rsid w:val="00B4467A"/>
    <w:rsid w:val="00B446A1"/>
    <w:rsid w:val="00B446BD"/>
    <w:rsid w:val="00B446E4"/>
    <w:rsid w:val="00B448D9"/>
    <w:rsid w:val="00B448F8"/>
    <w:rsid w:val="00B4498C"/>
    <w:rsid w:val="00B44A3E"/>
    <w:rsid w:val="00B44A8B"/>
    <w:rsid w:val="00B44CC3"/>
    <w:rsid w:val="00B44D5D"/>
    <w:rsid w:val="00B44E10"/>
    <w:rsid w:val="00B44E76"/>
    <w:rsid w:val="00B44E7A"/>
    <w:rsid w:val="00B44F27"/>
    <w:rsid w:val="00B44F73"/>
    <w:rsid w:val="00B44FF4"/>
    <w:rsid w:val="00B4501E"/>
    <w:rsid w:val="00B45051"/>
    <w:rsid w:val="00B45135"/>
    <w:rsid w:val="00B45185"/>
    <w:rsid w:val="00B451FC"/>
    <w:rsid w:val="00B45211"/>
    <w:rsid w:val="00B4528F"/>
    <w:rsid w:val="00B45298"/>
    <w:rsid w:val="00B45388"/>
    <w:rsid w:val="00B453AB"/>
    <w:rsid w:val="00B4546C"/>
    <w:rsid w:val="00B4560B"/>
    <w:rsid w:val="00B4579D"/>
    <w:rsid w:val="00B4598B"/>
    <w:rsid w:val="00B45A5B"/>
    <w:rsid w:val="00B45A94"/>
    <w:rsid w:val="00B45B2A"/>
    <w:rsid w:val="00B45BB1"/>
    <w:rsid w:val="00B45BFC"/>
    <w:rsid w:val="00B45CF7"/>
    <w:rsid w:val="00B45D31"/>
    <w:rsid w:val="00B45D85"/>
    <w:rsid w:val="00B45D88"/>
    <w:rsid w:val="00B45E7E"/>
    <w:rsid w:val="00B45F82"/>
    <w:rsid w:val="00B46055"/>
    <w:rsid w:val="00B4607A"/>
    <w:rsid w:val="00B46124"/>
    <w:rsid w:val="00B4628E"/>
    <w:rsid w:val="00B46290"/>
    <w:rsid w:val="00B463AD"/>
    <w:rsid w:val="00B4646E"/>
    <w:rsid w:val="00B464A5"/>
    <w:rsid w:val="00B466BE"/>
    <w:rsid w:val="00B46724"/>
    <w:rsid w:val="00B4678F"/>
    <w:rsid w:val="00B46852"/>
    <w:rsid w:val="00B468E5"/>
    <w:rsid w:val="00B468F1"/>
    <w:rsid w:val="00B46987"/>
    <w:rsid w:val="00B469B9"/>
    <w:rsid w:val="00B46A0E"/>
    <w:rsid w:val="00B46A29"/>
    <w:rsid w:val="00B46B12"/>
    <w:rsid w:val="00B46B39"/>
    <w:rsid w:val="00B46B5F"/>
    <w:rsid w:val="00B46BE3"/>
    <w:rsid w:val="00B46C7D"/>
    <w:rsid w:val="00B46D38"/>
    <w:rsid w:val="00B46E0E"/>
    <w:rsid w:val="00B46EF6"/>
    <w:rsid w:val="00B46F14"/>
    <w:rsid w:val="00B46F3B"/>
    <w:rsid w:val="00B46FBE"/>
    <w:rsid w:val="00B4701A"/>
    <w:rsid w:val="00B47101"/>
    <w:rsid w:val="00B471AD"/>
    <w:rsid w:val="00B47234"/>
    <w:rsid w:val="00B472F9"/>
    <w:rsid w:val="00B4734B"/>
    <w:rsid w:val="00B474B5"/>
    <w:rsid w:val="00B47508"/>
    <w:rsid w:val="00B47563"/>
    <w:rsid w:val="00B47599"/>
    <w:rsid w:val="00B47621"/>
    <w:rsid w:val="00B4790E"/>
    <w:rsid w:val="00B4797B"/>
    <w:rsid w:val="00B47A91"/>
    <w:rsid w:val="00B47C2C"/>
    <w:rsid w:val="00B47C96"/>
    <w:rsid w:val="00B47DE4"/>
    <w:rsid w:val="00B47F7E"/>
    <w:rsid w:val="00B500D7"/>
    <w:rsid w:val="00B50121"/>
    <w:rsid w:val="00B502D1"/>
    <w:rsid w:val="00B5035E"/>
    <w:rsid w:val="00B504CB"/>
    <w:rsid w:val="00B50518"/>
    <w:rsid w:val="00B5059F"/>
    <w:rsid w:val="00B505BC"/>
    <w:rsid w:val="00B50667"/>
    <w:rsid w:val="00B507CF"/>
    <w:rsid w:val="00B508C4"/>
    <w:rsid w:val="00B50A74"/>
    <w:rsid w:val="00B50ACE"/>
    <w:rsid w:val="00B50AF3"/>
    <w:rsid w:val="00B50B6C"/>
    <w:rsid w:val="00B50C3E"/>
    <w:rsid w:val="00B50CFF"/>
    <w:rsid w:val="00B50D23"/>
    <w:rsid w:val="00B50D7C"/>
    <w:rsid w:val="00B50D84"/>
    <w:rsid w:val="00B50E50"/>
    <w:rsid w:val="00B51012"/>
    <w:rsid w:val="00B51023"/>
    <w:rsid w:val="00B5104D"/>
    <w:rsid w:val="00B51071"/>
    <w:rsid w:val="00B51102"/>
    <w:rsid w:val="00B511C7"/>
    <w:rsid w:val="00B51247"/>
    <w:rsid w:val="00B513CC"/>
    <w:rsid w:val="00B5166A"/>
    <w:rsid w:val="00B5166C"/>
    <w:rsid w:val="00B51806"/>
    <w:rsid w:val="00B51821"/>
    <w:rsid w:val="00B5191E"/>
    <w:rsid w:val="00B51925"/>
    <w:rsid w:val="00B519D5"/>
    <w:rsid w:val="00B51A17"/>
    <w:rsid w:val="00B51BD1"/>
    <w:rsid w:val="00B51C5C"/>
    <w:rsid w:val="00B51D12"/>
    <w:rsid w:val="00B51ED1"/>
    <w:rsid w:val="00B51FF5"/>
    <w:rsid w:val="00B520C2"/>
    <w:rsid w:val="00B52109"/>
    <w:rsid w:val="00B52205"/>
    <w:rsid w:val="00B5222A"/>
    <w:rsid w:val="00B5229A"/>
    <w:rsid w:val="00B52306"/>
    <w:rsid w:val="00B5239D"/>
    <w:rsid w:val="00B5242A"/>
    <w:rsid w:val="00B524FF"/>
    <w:rsid w:val="00B52516"/>
    <w:rsid w:val="00B5257D"/>
    <w:rsid w:val="00B5267F"/>
    <w:rsid w:val="00B52817"/>
    <w:rsid w:val="00B52820"/>
    <w:rsid w:val="00B52AD3"/>
    <w:rsid w:val="00B52B7F"/>
    <w:rsid w:val="00B52B8F"/>
    <w:rsid w:val="00B52C4E"/>
    <w:rsid w:val="00B52C52"/>
    <w:rsid w:val="00B52C71"/>
    <w:rsid w:val="00B52CAC"/>
    <w:rsid w:val="00B52CCD"/>
    <w:rsid w:val="00B52D1C"/>
    <w:rsid w:val="00B52D3A"/>
    <w:rsid w:val="00B52DD3"/>
    <w:rsid w:val="00B52E98"/>
    <w:rsid w:val="00B52ECE"/>
    <w:rsid w:val="00B52EEA"/>
    <w:rsid w:val="00B53044"/>
    <w:rsid w:val="00B53059"/>
    <w:rsid w:val="00B5314D"/>
    <w:rsid w:val="00B53152"/>
    <w:rsid w:val="00B532D8"/>
    <w:rsid w:val="00B534E1"/>
    <w:rsid w:val="00B53665"/>
    <w:rsid w:val="00B5390B"/>
    <w:rsid w:val="00B5399D"/>
    <w:rsid w:val="00B53B0B"/>
    <w:rsid w:val="00B53D72"/>
    <w:rsid w:val="00B53DFF"/>
    <w:rsid w:val="00B53EEE"/>
    <w:rsid w:val="00B53FA6"/>
    <w:rsid w:val="00B53FFA"/>
    <w:rsid w:val="00B5405F"/>
    <w:rsid w:val="00B54311"/>
    <w:rsid w:val="00B54449"/>
    <w:rsid w:val="00B5445D"/>
    <w:rsid w:val="00B54524"/>
    <w:rsid w:val="00B5454C"/>
    <w:rsid w:val="00B545EF"/>
    <w:rsid w:val="00B54777"/>
    <w:rsid w:val="00B5494A"/>
    <w:rsid w:val="00B54A0A"/>
    <w:rsid w:val="00B54A25"/>
    <w:rsid w:val="00B54BCA"/>
    <w:rsid w:val="00B54CB8"/>
    <w:rsid w:val="00B54D87"/>
    <w:rsid w:val="00B54E13"/>
    <w:rsid w:val="00B54E4A"/>
    <w:rsid w:val="00B54EC7"/>
    <w:rsid w:val="00B54F02"/>
    <w:rsid w:val="00B54F87"/>
    <w:rsid w:val="00B54F8B"/>
    <w:rsid w:val="00B54FFF"/>
    <w:rsid w:val="00B55138"/>
    <w:rsid w:val="00B5514A"/>
    <w:rsid w:val="00B551E4"/>
    <w:rsid w:val="00B552F0"/>
    <w:rsid w:val="00B55350"/>
    <w:rsid w:val="00B55392"/>
    <w:rsid w:val="00B5539D"/>
    <w:rsid w:val="00B5542F"/>
    <w:rsid w:val="00B55430"/>
    <w:rsid w:val="00B5548C"/>
    <w:rsid w:val="00B55559"/>
    <w:rsid w:val="00B55726"/>
    <w:rsid w:val="00B55760"/>
    <w:rsid w:val="00B55817"/>
    <w:rsid w:val="00B55874"/>
    <w:rsid w:val="00B55903"/>
    <w:rsid w:val="00B559AF"/>
    <w:rsid w:val="00B55A51"/>
    <w:rsid w:val="00B55B32"/>
    <w:rsid w:val="00B55B34"/>
    <w:rsid w:val="00B55B91"/>
    <w:rsid w:val="00B55D9A"/>
    <w:rsid w:val="00B55DB8"/>
    <w:rsid w:val="00B55DCD"/>
    <w:rsid w:val="00B55F45"/>
    <w:rsid w:val="00B55F6B"/>
    <w:rsid w:val="00B5615F"/>
    <w:rsid w:val="00B56166"/>
    <w:rsid w:val="00B5621A"/>
    <w:rsid w:val="00B56288"/>
    <w:rsid w:val="00B563A2"/>
    <w:rsid w:val="00B56481"/>
    <w:rsid w:val="00B56496"/>
    <w:rsid w:val="00B56541"/>
    <w:rsid w:val="00B566E5"/>
    <w:rsid w:val="00B5679C"/>
    <w:rsid w:val="00B567CA"/>
    <w:rsid w:val="00B567F5"/>
    <w:rsid w:val="00B569FE"/>
    <w:rsid w:val="00B56A55"/>
    <w:rsid w:val="00B56AB3"/>
    <w:rsid w:val="00B56AF3"/>
    <w:rsid w:val="00B56B68"/>
    <w:rsid w:val="00B56C31"/>
    <w:rsid w:val="00B56C3E"/>
    <w:rsid w:val="00B56D74"/>
    <w:rsid w:val="00B56DD6"/>
    <w:rsid w:val="00B56DF1"/>
    <w:rsid w:val="00B56EE3"/>
    <w:rsid w:val="00B56F0A"/>
    <w:rsid w:val="00B56F5F"/>
    <w:rsid w:val="00B56F8B"/>
    <w:rsid w:val="00B56F9E"/>
    <w:rsid w:val="00B57008"/>
    <w:rsid w:val="00B570E9"/>
    <w:rsid w:val="00B57109"/>
    <w:rsid w:val="00B571D0"/>
    <w:rsid w:val="00B57232"/>
    <w:rsid w:val="00B57251"/>
    <w:rsid w:val="00B57390"/>
    <w:rsid w:val="00B57393"/>
    <w:rsid w:val="00B57494"/>
    <w:rsid w:val="00B574D9"/>
    <w:rsid w:val="00B57508"/>
    <w:rsid w:val="00B575A9"/>
    <w:rsid w:val="00B576A1"/>
    <w:rsid w:val="00B5774A"/>
    <w:rsid w:val="00B577D8"/>
    <w:rsid w:val="00B57870"/>
    <w:rsid w:val="00B57A01"/>
    <w:rsid w:val="00B57A49"/>
    <w:rsid w:val="00B57B4F"/>
    <w:rsid w:val="00B57B58"/>
    <w:rsid w:val="00B57BD6"/>
    <w:rsid w:val="00B57D35"/>
    <w:rsid w:val="00B6003F"/>
    <w:rsid w:val="00B600E6"/>
    <w:rsid w:val="00B601C5"/>
    <w:rsid w:val="00B60242"/>
    <w:rsid w:val="00B6025A"/>
    <w:rsid w:val="00B60287"/>
    <w:rsid w:val="00B602A7"/>
    <w:rsid w:val="00B603F7"/>
    <w:rsid w:val="00B6043E"/>
    <w:rsid w:val="00B605B6"/>
    <w:rsid w:val="00B605DC"/>
    <w:rsid w:val="00B605EE"/>
    <w:rsid w:val="00B6060A"/>
    <w:rsid w:val="00B60661"/>
    <w:rsid w:val="00B60677"/>
    <w:rsid w:val="00B6069F"/>
    <w:rsid w:val="00B6072B"/>
    <w:rsid w:val="00B60802"/>
    <w:rsid w:val="00B6098E"/>
    <w:rsid w:val="00B6099C"/>
    <w:rsid w:val="00B60A1B"/>
    <w:rsid w:val="00B60C38"/>
    <w:rsid w:val="00B60C64"/>
    <w:rsid w:val="00B60C96"/>
    <w:rsid w:val="00B60D86"/>
    <w:rsid w:val="00B60DE0"/>
    <w:rsid w:val="00B60E38"/>
    <w:rsid w:val="00B60EB0"/>
    <w:rsid w:val="00B60EB5"/>
    <w:rsid w:val="00B60F94"/>
    <w:rsid w:val="00B61216"/>
    <w:rsid w:val="00B613A6"/>
    <w:rsid w:val="00B61497"/>
    <w:rsid w:val="00B615FC"/>
    <w:rsid w:val="00B6161F"/>
    <w:rsid w:val="00B6178D"/>
    <w:rsid w:val="00B617B4"/>
    <w:rsid w:val="00B61999"/>
    <w:rsid w:val="00B619A5"/>
    <w:rsid w:val="00B61B02"/>
    <w:rsid w:val="00B61BC6"/>
    <w:rsid w:val="00B61BF1"/>
    <w:rsid w:val="00B61C03"/>
    <w:rsid w:val="00B61D4E"/>
    <w:rsid w:val="00B61D92"/>
    <w:rsid w:val="00B61DC3"/>
    <w:rsid w:val="00B61F1D"/>
    <w:rsid w:val="00B61FF4"/>
    <w:rsid w:val="00B6200E"/>
    <w:rsid w:val="00B62037"/>
    <w:rsid w:val="00B620FD"/>
    <w:rsid w:val="00B622F9"/>
    <w:rsid w:val="00B62408"/>
    <w:rsid w:val="00B6240D"/>
    <w:rsid w:val="00B62569"/>
    <w:rsid w:val="00B62665"/>
    <w:rsid w:val="00B62762"/>
    <w:rsid w:val="00B6293A"/>
    <w:rsid w:val="00B62948"/>
    <w:rsid w:val="00B62B17"/>
    <w:rsid w:val="00B62B47"/>
    <w:rsid w:val="00B62C29"/>
    <w:rsid w:val="00B62D2D"/>
    <w:rsid w:val="00B62F51"/>
    <w:rsid w:val="00B630A9"/>
    <w:rsid w:val="00B630D6"/>
    <w:rsid w:val="00B630F5"/>
    <w:rsid w:val="00B630F6"/>
    <w:rsid w:val="00B6312C"/>
    <w:rsid w:val="00B63178"/>
    <w:rsid w:val="00B631D0"/>
    <w:rsid w:val="00B6321B"/>
    <w:rsid w:val="00B63221"/>
    <w:rsid w:val="00B6322F"/>
    <w:rsid w:val="00B63325"/>
    <w:rsid w:val="00B63388"/>
    <w:rsid w:val="00B633CE"/>
    <w:rsid w:val="00B633FA"/>
    <w:rsid w:val="00B63574"/>
    <w:rsid w:val="00B635CF"/>
    <w:rsid w:val="00B6363E"/>
    <w:rsid w:val="00B63795"/>
    <w:rsid w:val="00B637C4"/>
    <w:rsid w:val="00B638B1"/>
    <w:rsid w:val="00B638C0"/>
    <w:rsid w:val="00B63930"/>
    <w:rsid w:val="00B639A5"/>
    <w:rsid w:val="00B639B4"/>
    <w:rsid w:val="00B639DE"/>
    <w:rsid w:val="00B63A9F"/>
    <w:rsid w:val="00B63CC8"/>
    <w:rsid w:val="00B63D26"/>
    <w:rsid w:val="00B63D89"/>
    <w:rsid w:val="00B63EB6"/>
    <w:rsid w:val="00B64026"/>
    <w:rsid w:val="00B6416B"/>
    <w:rsid w:val="00B64185"/>
    <w:rsid w:val="00B64470"/>
    <w:rsid w:val="00B6463C"/>
    <w:rsid w:val="00B646D2"/>
    <w:rsid w:val="00B64757"/>
    <w:rsid w:val="00B64879"/>
    <w:rsid w:val="00B6492D"/>
    <w:rsid w:val="00B64DB9"/>
    <w:rsid w:val="00B64DBF"/>
    <w:rsid w:val="00B64DC0"/>
    <w:rsid w:val="00B64DDD"/>
    <w:rsid w:val="00B64E00"/>
    <w:rsid w:val="00B64F6E"/>
    <w:rsid w:val="00B65014"/>
    <w:rsid w:val="00B650A9"/>
    <w:rsid w:val="00B65125"/>
    <w:rsid w:val="00B6513D"/>
    <w:rsid w:val="00B65336"/>
    <w:rsid w:val="00B65348"/>
    <w:rsid w:val="00B655BE"/>
    <w:rsid w:val="00B65636"/>
    <w:rsid w:val="00B65840"/>
    <w:rsid w:val="00B65AF6"/>
    <w:rsid w:val="00B65BEF"/>
    <w:rsid w:val="00B65CB9"/>
    <w:rsid w:val="00B65D88"/>
    <w:rsid w:val="00B65F07"/>
    <w:rsid w:val="00B66043"/>
    <w:rsid w:val="00B6605E"/>
    <w:rsid w:val="00B660EC"/>
    <w:rsid w:val="00B66376"/>
    <w:rsid w:val="00B66383"/>
    <w:rsid w:val="00B663D1"/>
    <w:rsid w:val="00B6640C"/>
    <w:rsid w:val="00B66471"/>
    <w:rsid w:val="00B66769"/>
    <w:rsid w:val="00B667A7"/>
    <w:rsid w:val="00B6686F"/>
    <w:rsid w:val="00B6691B"/>
    <w:rsid w:val="00B66929"/>
    <w:rsid w:val="00B66939"/>
    <w:rsid w:val="00B66A7D"/>
    <w:rsid w:val="00B66A83"/>
    <w:rsid w:val="00B66C7A"/>
    <w:rsid w:val="00B66D9B"/>
    <w:rsid w:val="00B66DFD"/>
    <w:rsid w:val="00B66E27"/>
    <w:rsid w:val="00B66F65"/>
    <w:rsid w:val="00B67051"/>
    <w:rsid w:val="00B67060"/>
    <w:rsid w:val="00B6711A"/>
    <w:rsid w:val="00B6714E"/>
    <w:rsid w:val="00B671BD"/>
    <w:rsid w:val="00B6723C"/>
    <w:rsid w:val="00B67319"/>
    <w:rsid w:val="00B67331"/>
    <w:rsid w:val="00B6733C"/>
    <w:rsid w:val="00B673C4"/>
    <w:rsid w:val="00B67479"/>
    <w:rsid w:val="00B674B3"/>
    <w:rsid w:val="00B674DD"/>
    <w:rsid w:val="00B67663"/>
    <w:rsid w:val="00B67683"/>
    <w:rsid w:val="00B676BF"/>
    <w:rsid w:val="00B6772C"/>
    <w:rsid w:val="00B6774C"/>
    <w:rsid w:val="00B677CC"/>
    <w:rsid w:val="00B67902"/>
    <w:rsid w:val="00B679EE"/>
    <w:rsid w:val="00B67A6E"/>
    <w:rsid w:val="00B67CA4"/>
    <w:rsid w:val="00B67CAD"/>
    <w:rsid w:val="00B67CE0"/>
    <w:rsid w:val="00B67E7B"/>
    <w:rsid w:val="00B67F97"/>
    <w:rsid w:val="00B67FAE"/>
    <w:rsid w:val="00B70005"/>
    <w:rsid w:val="00B70184"/>
    <w:rsid w:val="00B702C0"/>
    <w:rsid w:val="00B702CD"/>
    <w:rsid w:val="00B7037C"/>
    <w:rsid w:val="00B70397"/>
    <w:rsid w:val="00B7040D"/>
    <w:rsid w:val="00B70432"/>
    <w:rsid w:val="00B704B7"/>
    <w:rsid w:val="00B704BB"/>
    <w:rsid w:val="00B707DC"/>
    <w:rsid w:val="00B7087F"/>
    <w:rsid w:val="00B70990"/>
    <w:rsid w:val="00B70AC8"/>
    <w:rsid w:val="00B70B07"/>
    <w:rsid w:val="00B70B59"/>
    <w:rsid w:val="00B70B5F"/>
    <w:rsid w:val="00B70C8A"/>
    <w:rsid w:val="00B70CC5"/>
    <w:rsid w:val="00B70D52"/>
    <w:rsid w:val="00B70DAD"/>
    <w:rsid w:val="00B70F00"/>
    <w:rsid w:val="00B70F1F"/>
    <w:rsid w:val="00B70FBC"/>
    <w:rsid w:val="00B71024"/>
    <w:rsid w:val="00B7104F"/>
    <w:rsid w:val="00B71100"/>
    <w:rsid w:val="00B7115F"/>
    <w:rsid w:val="00B7128F"/>
    <w:rsid w:val="00B71370"/>
    <w:rsid w:val="00B714CA"/>
    <w:rsid w:val="00B71537"/>
    <w:rsid w:val="00B715F7"/>
    <w:rsid w:val="00B71864"/>
    <w:rsid w:val="00B718C4"/>
    <w:rsid w:val="00B718C8"/>
    <w:rsid w:val="00B719C9"/>
    <w:rsid w:val="00B71A36"/>
    <w:rsid w:val="00B71CF2"/>
    <w:rsid w:val="00B71D53"/>
    <w:rsid w:val="00B71ED4"/>
    <w:rsid w:val="00B71EED"/>
    <w:rsid w:val="00B72010"/>
    <w:rsid w:val="00B72164"/>
    <w:rsid w:val="00B721ED"/>
    <w:rsid w:val="00B7227D"/>
    <w:rsid w:val="00B72377"/>
    <w:rsid w:val="00B72403"/>
    <w:rsid w:val="00B72447"/>
    <w:rsid w:val="00B72503"/>
    <w:rsid w:val="00B7251E"/>
    <w:rsid w:val="00B7255E"/>
    <w:rsid w:val="00B7258A"/>
    <w:rsid w:val="00B725FA"/>
    <w:rsid w:val="00B72622"/>
    <w:rsid w:val="00B72742"/>
    <w:rsid w:val="00B7275D"/>
    <w:rsid w:val="00B72893"/>
    <w:rsid w:val="00B728EC"/>
    <w:rsid w:val="00B7291E"/>
    <w:rsid w:val="00B72CD9"/>
    <w:rsid w:val="00B72CFE"/>
    <w:rsid w:val="00B72D1A"/>
    <w:rsid w:val="00B72D51"/>
    <w:rsid w:val="00B72DBF"/>
    <w:rsid w:val="00B72F94"/>
    <w:rsid w:val="00B73161"/>
    <w:rsid w:val="00B732EF"/>
    <w:rsid w:val="00B732F0"/>
    <w:rsid w:val="00B73305"/>
    <w:rsid w:val="00B73350"/>
    <w:rsid w:val="00B73442"/>
    <w:rsid w:val="00B735CF"/>
    <w:rsid w:val="00B7368E"/>
    <w:rsid w:val="00B736BA"/>
    <w:rsid w:val="00B7393C"/>
    <w:rsid w:val="00B7398A"/>
    <w:rsid w:val="00B73A12"/>
    <w:rsid w:val="00B73A9C"/>
    <w:rsid w:val="00B73B5B"/>
    <w:rsid w:val="00B73BA9"/>
    <w:rsid w:val="00B73DBB"/>
    <w:rsid w:val="00B73DE2"/>
    <w:rsid w:val="00B73E29"/>
    <w:rsid w:val="00B73E97"/>
    <w:rsid w:val="00B73F97"/>
    <w:rsid w:val="00B7402C"/>
    <w:rsid w:val="00B74065"/>
    <w:rsid w:val="00B740AA"/>
    <w:rsid w:val="00B740E0"/>
    <w:rsid w:val="00B7427C"/>
    <w:rsid w:val="00B743E0"/>
    <w:rsid w:val="00B7440A"/>
    <w:rsid w:val="00B744B7"/>
    <w:rsid w:val="00B745D8"/>
    <w:rsid w:val="00B74679"/>
    <w:rsid w:val="00B74709"/>
    <w:rsid w:val="00B74771"/>
    <w:rsid w:val="00B74784"/>
    <w:rsid w:val="00B74953"/>
    <w:rsid w:val="00B74981"/>
    <w:rsid w:val="00B74AE3"/>
    <w:rsid w:val="00B74B0D"/>
    <w:rsid w:val="00B74B78"/>
    <w:rsid w:val="00B74B92"/>
    <w:rsid w:val="00B74BB5"/>
    <w:rsid w:val="00B74D47"/>
    <w:rsid w:val="00B74ECD"/>
    <w:rsid w:val="00B74F4D"/>
    <w:rsid w:val="00B74FD0"/>
    <w:rsid w:val="00B74FD4"/>
    <w:rsid w:val="00B750AE"/>
    <w:rsid w:val="00B750C2"/>
    <w:rsid w:val="00B75221"/>
    <w:rsid w:val="00B752A7"/>
    <w:rsid w:val="00B752FF"/>
    <w:rsid w:val="00B7532A"/>
    <w:rsid w:val="00B7539D"/>
    <w:rsid w:val="00B754CF"/>
    <w:rsid w:val="00B75635"/>
    <w:rsid w:val="00B75666"/>
    <w:rsid w:val="00B757F5"/>
    <w:rsid w:val="00B75A2C"/>
    <w:rsid w:val="00B75A9E"/>
    <w:rsid w:val="00B75AE7"/>
    <w:rsid w:val="00B75B5E"/>
    <w:rsid w:val="00B75BDC"/>
    <w:rsid w:val="00B75C10"/>
    <w:rsid w:val="00B75D25"/>
    <w:rsid w:val="00B75D49"/>
    <w:rsid w:val="00B75EEB"/>
    <w:rsid w:val="00B75EF3"/>
    <w:rsid w:val="00B75FE3"/>
    <w:rsid w:val="00B75FE6"/>
    <w:rsid w:val="00B75FF9"/>
    <w:rsid w:val="00B760B6"/>
    <w:rsid w:val="00B761E8"/>
    <w:rsid w:val="00B76269"/>
    <w:rsid w:val="00B7641D"/>
    <w:rsid w:val="00B7643F"/>
    <w:rsid w:val="00B76768"/>
    <w:rsid w:val="00B767E0"/>
    <w:rsid w:val="00B76803"/>
    <w:rsid w:val="00B76805"/>
    <w:rsid w:val="00B76890"/>
    <w:rsid w:val="00B768B9"/>
    <w:rsid w:val="00B769AE"/>
    <w:rsid w:val="00B76A84"/>
    <w:rsid w:val="00B76AC6"/>
    <w:rsid w:val="00B76B8F"/>
    <w:rsid w:val="00B76BF1"/>
    <w:rsid w:val="00B76C04"/>
    <w:rsid w:val="00B76C5A"/>
    <w:rsid w:val="00B76D07"/>
    <w:rsid w:val="00B76F3C"/>
    <w:rsid w:val="00B76F77"/>
    <w:rsid w:val="00B770EA"/>
    <w:rsid w:val="00B7715E"/>
    <w:rsid w:val="00B77187"/>
    <w:rsid w:val="00B772F7"/>
    <w:rsid w:val="00B7735E"/>
    <w:rsid w:val="00B773B8"/>
    <w:rsid w:val="00B7741E"/>
    <w:rsid w:val="00B77443"/>
    <w:rsid w:val="00B775EE"/>
    <w:rsid w:val="00B77640"/>
    <w:rsid w:val="00B77723"/>
    <w:rsid w:val="00B778CF"/>
    <w:rsid w:val="00B778E5"/>
    <w:rsid w:val="00B778FD"/>
    <w:rsid w:val="00B7793F"/>
    <w:rsid w:val="00B779EB"/>
    <w:rsid w:val="00B77BDF"/>
    <w:rsid w:val="00B77D20"/>
    <w:rsid w:val="00B77D8E"/>
    <w:rsid w:val="00B77DA2"/>
    <w:rsid w:val="00B77DB8"/>
    <w:rsid w:val="00B77E78"/>
    <w:rsid w:val="00B80060"/>
    <w:rsid w:val="00B80071"/>
    <w:rsid w:val="00B80104"/>
    <w:rsid w:val="00B801F3"/>
    <w:rsid w:val="00B80288"/>
    <w:rsid w:val="00B8049C"/>
    <w:rsid w:val="00B805CD"/>
    <w:rsid w:val="00B80797"/>
    <w:rsid w:val="00B808A7"/>
    <w:rsid w:val="00B808ED"/>
    <w:rsid w:val="00B80C54"/>
    <w:rsid w:val="00B80DD3"/>
    <w:rsid w:val="00B80E3A"/>
    <w:rsid w:val="00B80E5D"/>
    <w:rsid w:val="00B80FAD"/>
    <w:rsid w:val="00B80FF8"/>
    <w:rsid w:val="00B810A6"/>
    <w:rsid w:val="00B810CC"/>
    <w:rsid w:val="00B810E0"/>
    <w:rsid w:val="00B8116B"/>
    <w:rsid w:val="00B81192"/>
    <w:rsid w:val="00B813DB"/>
    <w:rsid w:val="00B81489"/>
    <w:rsid w:val="00B81693"/>
    <w:rsid w:val="00B8183E"/>
    <w:rsid w:val="00B818AC"/>
    <w:rsid w:val="00B819D9"/>
    <w:rsid w:val="00B81C5B"/>
    <w:rsid w:val="00B81CB5"/>
    <w:rsid w:val="00B81D05"/>
    <w:rsid w:val="00B81FB1"/>
    <w:rsid w:val="00B8211F"/>
    <w:rsid w:val="00B82120"/>
    <w:rsid w:val="00B82164"/>
    <w:rsid w:val="00B821A9"/>
    <w:rsid w:val="00B82282"/>
    <w:rsid w:val="00B823C5"/>
    <w:rsid w:val="00B823FF"/>
    <w:rsid w:val="00B82411"/>
    <w:rsid w:val="00B82482"/>
    <w:rsid w:val="00B8252E"/>
    <w:rsid w:val="00B82697"/>
    <w:rsid w:val="00B8284B"/>
    <w:rsid w:val="00B82852"/>
    <w:rsid w:val="00B82A49"/>
    <w:rsid w:val="00B82AD6"/>
    <w:rsid w:val="00B82B0D"/>
    <w:rsid w:val="00B82CA6"/>
    <w:rsid w:val="00B82DA1"/>
    <w:rsid w:val="00B83004"/>
    <w:rsid w:val="00B83105"/>
    <w:rsid w:val="00B83152"/>
    <w:rsid w:val="00B8316D"/>
    <w:rsid w:val="00B831EE"/>
    <w:rsid w:val="00B8324B"/>
    <w:rsid w:val="00B83266"/>
    <w:rsid w:val="00B83287"/>
    <w:rsid w:val="00B832E2"/>
    <w:rsid w:val="00B8333D"/>
    <w:rsid w:val="00B83388"/>
    <w:rsid w:val="00B8344A"/>
    <w:rsid w:val="00B834B7"/>
    <w:rsid w:val="00B83555"/>
    <w:rsid w:val="00B835A3"/>
    <w:rsid w:val="00B836F2"/>
    <w:rsid w:val="00B8370B"/>
    <w:rsid w:val="00B83810"/>
    <w:rsid w:val="00B83829"/>
    <w:rsid w:val="00B83995"/>
    <w:rsid w:val="00B839A1"/>
    <w:rsid w:val="00B839C3"/>
    <w:rsid w:val="00B83A0D"/>
    <w:rsid w:val="00B83A0F"/>
    <w:rsid w:val="00B83B21"/>
    <w:rsid w:val="00B83BA5"/>
    <w:rsid w:val="00B83C82"/>
    <w:rsid w:val="00B83D80"/>
    <w:rsid w:val="00B83DCC"/>
    <w:rsid w:val="00B83FBC"/>
    <w:rsid w:val="00B84006"/>
    <w:rsid w:val="00B84043"/>
    <w:rsid w:val="00B840F7"/>
    <w:rsid w:val="00B841C0"/>
    <w:rsid w:val="00B842D3"/>
    <w:rsid w:val="00B843DE"/>
    <w:rsid w:val="00B84478"/>
    <w:rsid w:val="00B84706"/>
    <w:rsid w:val="00B84822"/>
    <w:rsid w:val="00B84869"/>
    <w:rsid w:val="00B8488B"/>
    <w:rsid w:val="00B84893"/>
    <w:rsid w:val="00B848D6"/>
    <w:rsid w:val="00B84921"/>
    <w:rsid w:val="00B849E0"/>
    <w:rsid w:val="00B84A02"/>
    <w:rsid w:val="00B84AB6"/>
    <w:rsid w:val="00B84C48"/>
    <w:rsid w:val="00B84E5E"/>
    <w:rsid w:val="00B84E72"/>
    <w:rsid w:val="00B84FC4"/>
    <w:rsid w:val="00B8501B"/>
    <w:rsid w:val="00B85155"/>
    <w:rsid w:val="00B8523C"/>
    <w:rsid w:val="00B852D5"/>
    <w:rsid w:val="00B85499"/>
    <w:rsid w:val="00B85521"/>
    <w:rsid w:val="00B855A5"/>
    <w:rsid w:val="00B856F8"/>
    <w:rsid w:val="00B85730"/>
    <w:rsid w:val="00B8577E"/>
    <w:rsid w:val="00B857F5"/>
    <w:rsid w:val="00B85837"/>
    <w:rsid w:val="00B85845"/>
    <w:rsid w:val="00B858EF"/>
    <w:rsid w:val="00B8591A"/>
    <w:rsid w:val="00B8597C"/>
    <w:rsid w:val="00B85987"/>
    <w:rsid w:val="00B85992"/>
    <w:rsid w:val="00B85B41"/>
    <w:rsid w:val="00B85BE4"/>
    <w:rsid w:val="00B85C44"/>
    <w:rsid w:val="00B85C5C"/>
    <w:rsid w:val="00B85D4F"/>
    <w:rsid w:val="00B85E2A"/>
    <w:rsid w:val="00B85ECF"/>
    <w:rsid w:val="00B861B7"/>
    <w:rsid w:val="00B86209"/>
    <w:rsid w:val="00B86220"/>
    <w:rsid w:val="00B86222"/>
    <w:rsid w:val="00B8631A"/>
    <w:rsid w:val="00B8635E"/>
    <w:rsid w:val="00B863B3"/>
    <w:rsid w:val="00B86432"/>
    <w:rsid w:val="00B86553"/>
    <w:rsid w:val="00B86588"/>
    <w:rsid w:val="00B8663A"/>
    <w:rsid w:val="00B8664C"/>
    <w:rsid w:val="00B866FE"/>
    <w:rsid w:val="00B86791"/>
    <w:rsid w:val="00B86820"/>
    <w:rsid w:val="00B8683E"/>
    <w:rsid w:val="00B868DC"/>
    <w:rsid w:val="00B8690E"/>
    <w:rsid w:val="00B86953"/>
    <w:rsid w:val="00B8695D"/>
    <w:rsid w:val="00B869AC"/>
    <w:rsid w:val="00B86A11"/>
    <w:rsid w:val="00B86A3E"/>
    <w:rsid w:val="00B86ABE"/>
    <w:rsid w:val="00B86E66"/>
    <w:rsid w:val="00B86ECF"/>
    <w:rsid w:val="00B86FAF"/>
    <w:rsid w:val="00B86FB9"/>
    <w:rsid w:val="00B87014"/>
    <w:rsid w:val="00B87064"/>
    <w:rsid w:val="00B8708F"/>
    <w:rsid w:val="00B870CF"/>
    <w:rsid w:val="00B8713E"/>
    <w:rsid w:val="00B8714A"/>
    <w:rsid w:val="00B871C2"/>
    <w:rsid w:val="00B871CF"/>
    <w:rsid w:val="00B87253"/>
    <w:rsid w:val="00B873EF"/>
    <w:rsid w:val="00B87442"/>
    <w:rsid w:val="00B87531"/>
    <w:rsid w:val="00B87534"/>
    <w:rsid w:val="00B87C8E"/>
    <w:rsid w:val="00B87E69"/>
    <w:rsid w:val="00B9015C"/>
    <w:rsid w:val="00B9019A"/>
    <w:rsid w:val="00B903B5"/>
    <w:rsid w:val="00B90543"/>
    <w:rsid w:val="00B90559"/>
    <w:rsid w:val="00B9057D"/>
    <w:rsid w:val="00B90592"/>
    <w:rsid w:val="00B90807"/>
    <w:rsid w:val="00B908D2"/>
    <w:rsid w:val="00B9094B"/>
    <w:rsid w:val="00B90983"/>
    <w:rsid w:val="00B909AF"/>
    <w:rsid w:val="00B90AD1"/>
    <w:rsid w:val="00B90C55"/>
    <w:rsid w:val="00B90D05"/>
    <w:rsid w:val="00B90DD5"/>
    <w:rsid w:val="00B90E12"/>
    <w:rsid w:val="00B90E37"/>
    <w:rsid w:val="00B90F1E"/>
    <w:rsid w:val="00B90FC3"/>
    <w:rsid w:val="00B91062"/>
    <w:rsid w:val="00B911CF"/>
    <w:rsid w:val="00B911E1"/>
    <w:rsid w:val="00B91377"/>
    <w:rsid w:val="00B91517"/>
    <w:rsid w:val="00B9157B"/>
    <w:rsid w:val="00B915CB"/>
    <w:rsid w:val="00B915D2"/>
    <w:rsid w:val="00B9160E"/>
    <w:rsid w:val="00B9166D"/>
    <w:rsid w:val="00B917A2"/>
    <w:rsid w:val="00B918A1"/>
    <w:rsid w:val="00B91905"/>
    <w:rsid w:val="00B91959"/>
    <w:rsid w:val="00B919C4"/>
    <w:rsid w:val="00B91A43"/>
    <w:rsid w:val="00B91AB3"/>
    <w:rsid w:val="00B91C3A"/>
    <w:rsid w:val="00B91D1B"/>
    <w:rsid w:val="00B91DA9"/>
    <w:rsid w:val="00B91DF8"/>
    <w:rsid w:val="00B91E09"/>
    <w:rsid w:val="00B91FF9"/>
    <w:rsid w:val="00B92064"/>
    <w:rsid w:val="00B920FA"/>
    <w:rsid w:val="00B92122"/>
    <w:rsid w:val="00B9223D"/>
    <w:rsid w:val="00B9225E"/>
    <w:rsid w:val="00B9231C"/>
    <w:rsid w:val="00B9236A"/>
    <w:rsid w:val="00B92404"/>
    <w:rsid w:val="00B92411"/>
    <w:rsid w:val="00B92479"/>
    <w:rsid w:val="00B924E3"/>
    <w:rsid w:val="00B92547"/>
    <w:rsid w:val="00B92643"/>
    <w:rsid w:val="00B92652"/>
    <w:rsid w:val="00B9273E"/>
    <w:rsid w:val="00B92765"/>
    <w:rsid w:val="00B92770"/>
    <w:rsid w:val="00B9291E"/>
    <w:rsid w:val="00B92AE5"/>
    <w:rsid w:val="00B92AF9"/>
    <w:rsid w:val="00B92C9A"/>
    <w:rsid w:val="00B92E0D"/>
    <w:rsid w:val="00B9307A"/>
    <w:rsid w:val="00B930C1"/>
    <w:rsid w:val="00B93153"/>
    <w:rsid w:val="00B93353"/>
    <w:rsid w:val="00B933D3"/>
    <w:rsid w:val="00B934E3"/>
    <w:rsid w:val="00B93547"/>
    <w:rsid w:val="00B9355C"/>
    <w:rsid w:val="00B93664"/>
    <w:rsid w:val="00B936BE"/>
    <w:rsid w:val="00B93848"/>
    <w:rsid w:val="00B938D4"/>
    <w:rsid w:val="00B93926"/>
    <w:rsid w:val="00B9392B"/>
    <w:rsid w:val="00B93965"/>
    <w:rsid w:val="00B93993"/>
    <w:rsid w:val="00B939FF"/>
    <w:rsid w:val="00B93A3D"/>
    <w:rsid w:val="00B93AB5"/>
    <w:rsid w:val="00B93B38"/>
    <w:rsid w:val="00B93C38"/>
    <w:rsid w:val="00B93CBB"/>
    <w:rsid w:val="00B93CDA"/>
    <w:rsid w:val="00B93DE0"/>
    <w:rsid w:val="00B93EC2"/>
    <w:rsid w:val="00B93ED6"/>
    <w:rsid w:val="00B93FB1"/>
    <w:rsid w:val="00B93FBF"/>
    <w:rsid w:val="00B93FEC"/>
    <w:rsid w:val="00B94121"/>
    <w:rsid w:val="00B941B4"/>
    <w:rsid w:val="00B941E5"/>
    <w:rsid w:val="00B9420C"/>
    <w:rsid w:val="00B94236"/>
    <w:rsid w:val="00B9427F"/>
    <w:rsid w:val="00B94282"/>
    <w:rsid w:val="00B9429D"/>
    <w:rsid w:val="00B94382"/>
    <w:rsid w:val="00B94392"/>
    <w:rsid w:val="00B9450B"/>
    <w:rsid w:val="00B94654"/>
    <w:rsid w:val="00B9466C"/>
    <w:rsid w:val="00B9469D"/>
    <w:rsid w:val="00B946F9"/>
    <w:rsid w:val="00B9473F"/>
    <w:rsid w:val="00B948F8"/>
    <w:rsid w:val="00B9490C"/>
    <w:rsid w:val="00B94A17"/>
    <w:rsid w:val="00B94A5A"/>
    <w:rsid w:val="00B94C3F"/>
    <w:rsid w:val="00B94E2F"/>
    <w:rsid w:val="00B94ED1"/>
    <w:rsid w:val="00B94F21"/>
    <w:rsid w:val="00B94F8A"/>
    <w:rsid w:val="00B9506A"/>
    <w:rsid w:val="00B950F9"/>
    <w:rsid w:val="00B95188"/>
    <w:rsid w:val="00B951B4"/>
    <w:rsid w:val="00B951DC"/>
    <w:rsid w:val="00B95278"/>
    <w:rsid w:val="00B952F8"/>
    <w:rsid w:val="00B95561"/>
    <w:rsid w:val="00B9562A"/>
    <w:rsid w:val="00B9574E"/>
    <w:rsid w:val="00B9576A"/>
    <w:rsid w:val="00B95783"/>
    <w:rsid w:val="00B958C9"/>
    <w:rsid w:val="00B958E2"/>
    <w:rsid w:val="00B959F2"/>
    <w:rsid w:val="00B95A89"/>
    <w:rsid w:val="00B95AC9"/>
    <w:rsid w:val="00B95C9B"/>
    <w:rsid w:val="00B95D91"/>
    <w:rsid w:val="00B95E91"/>
    <w:rsid w:val="00B95F77"/>
    <w:rsid w:val="00B95FF8"/>
    <w:rsid w:val="00B96022"/>
    <w:rsid w:val="00B9620E"/>
    <w:rsid w:val="00B962FE"/>
    <w:rsid w:val="00B96465"/>
    <w:rsid w:val="00B96514"/>
    <w:rsid w:val="00B96834"/>
    <w:rsid w:val="00B9683F"/>
    <w:rsid w:val="00B968FD"/>
    <w:rsid w:val="00B96936"/>
    <w:rsid w:val="00B96994"/>
    <w:rsid w:val="00B96B43"/>
    <w:rsid w:val="00B96C15"/>
    <w:rsid w:val="00B96CE4"/>
    <w:rsid w:val="00B96D06"/>
    <w:rsid w:val="00B96D8E"/>
    <w:rsid w:val="00B9708A"/>
    <w:rsid w:val="00B970C2"/>
    <w:rsid w:val="00B970D0"/>
    <w:rsid w:val="00B970FC"/>
    <w:rsid w:val="00B9729F"/>
    <w:rsid w:val="00B9738D"/>
    <w:rsid w:val="00B973C0"/>
    <w:rsid w:val="00B973E0"/>
    <w:rsid w:val="00B97448"/>
    <w:rsid w:val="00B97568"/>
    <w:rsid w:val="00B97604"/>
    <w:rsid w:val="00B9792F"/>
    <w:rsid w:val="00B97B40"/>
    <w:rsid w:val="00B97B60"/>
    <w:rsid w:val="00B97B8F"/>
    <w:rsid w:val="00B97BA4"/>
    <w:rsid w:val="00B97C23"/>
    <w:rsid w:val="00B97C61"/>
    <w:rsid w:val="00B97C6E"/>
    <w:rsid w:val="00B97D98"/>
    <w:rsid w:val="00B97E04"/>
    <w:rsid w:val="00B97EC7"/>
    <w:rsid w:val="00B97EF5"/>
    <w:rsid w:val="00BA01A6"/>
    <w:rsid w:val="00BA0271"/>
    <w:rsid w:val="00BA027B"/>
    <w:rsid w:val="00BA02EF"/>
    <w:rsid w:val="00BA03AA"/>
    <w:rsid w:val="00BA049D"/>
    <w:rsid w:val="00BA0518"/>
    <w:rsid w:val="00BA06AB"/>
    <w:rsid w:val="00BA0909"/>
    <w:rsid w:val="00BA090A"/>
    <w:rsid w:val="00BA0987"/>
    <w:rsid w:val="00BA0A6D"/>
    <w:rsid w:val="00BA0AC2"/>
    <w:rsid w:val="00BA0B25"/>
    <w:rsid w:val="00BA0B8D"/>
    <w:rsid w:val="00BA0BA8"/>
    <w:rsid w:val="00BA0C46"/>
    <w:rsid w:val="00BA0C7C"/>
    <w:rsid w:val="00BA0C8F"/>
    <w:rsid w:val="00BA0C95"/>
    <w:rsid w:val="00BA0CEC"/>
    <w:rsid w:val="00BA0CFE"/>
    <w:rsid w:val="00BA0D0C"/>
    <w:rsid w:val="00BA0F0B"/>
    <w:rsid w:val="00BA0F1B"/>
    <w:rsid w:val="00BA0F51"/>
    <w:rsid w:val="00BA0F54"/>
    <w:rsid w:val="00BA0F74"/>
    <w:rsid w:val="00BA0FD1"/>
    <w:rsid w:val="00BA109E"/>
    <w:rsid w:val="00BA1154"/>
    <w:rsid w:val="00BA121E"/>
    <w:rsid w:val="00BA124C"/>
    <w:rsid w:val="00BA124D"/>
    <w:rsid w:val="00BA126D"/>
    <w:rsid w:val="00BA126E"/>
    <w:rsid w:val="00BA13BA"/>
    <w:rsid w:val="00BA13E1"/>
    <w:rsid w:val="00BA1441"/>
    <w:rsid w:val="00BA1459"/>
    <w:rsid w:val="00BA1656"/>
    <w:rsid w:val="00BA1695"/>
    <w:rsid w:val="00BA1783"/>
    <w:rsid w:val="00BA17BA"/>
    <w:rsid w:val="00BA17F7"/>
    <w:rsid w:val="00BA18BA"/>
    <w:rsid w:val="00BA19CB"/>
    <w:rsid w:val="00BA1ADB"/>
    <w:rsid w:val="00BA1B96"/>
    <w:rsid w:val="00BA1BB4"/>
    <w:rsid w:val="00BA1C64"/>
    <w:rsid w:val="00BA1C73"/>
    <w:rsid w:val="00BA1CE1"/>
    <w:rsid w:val="00BA1D66"/>
    <w:rsid w:val="00BA1DEB"/>
    <w:rsid w:val="00BA1F03"/>
    <w:rsid w:val="00BA1FEC"/>
    <w:rsid w:val="00BA2077"/>
    <w:rsid w:val="00BA20AD"/>
    <w:rsid w:val="00BA20D9"/>
    <w:rsid w:val="00BA23A9"/>
    <w:rsid w:val="00BA23BC"/>
    <w:rsid w:val="00BA2424"/>
    <w:rsid w:val="00BA2520"/>
    <w:rsid w:val="00BA2530"/>
    <w:rsid w:val="00BA254E"/>
    <w:rsid w:val="00BA27CF"/>
    <w:rsid w:val="00BA27D4"/>
    <w:rsid w:val="00BA27E5"/>
    <w:rsid w:val="00BA27FD"/>
    <w:rsid w:val="00BA284A"/>
    <w:rsid w:val="00BA2882"/>
    <w:rsid w:val="00BA28A4"/>
    <w:rsid w:val="00BA2914"/>
    <w:rsid w:val="00BA2A3E"/>
    <w:rsid w:val="00BA2AFB"/>
    <w:rsid w:val="00BA2BF2"/>
    <w:rsid w:val="00BA2CC7"/>
    <w:rsid w:val="00BA2CE2"/>
    <w:rsid w:val="00BA2D1F"/>
    <w:rsid w:val="00BA2DD4"/>
    <w:rsid w:val="00BA2E9B"/>
    <w:rsid w:val="00BA2F08"/>
    <w:rsid w:val="00BA2FA8"/>
    <w:rsid w:val="00BA30F5"/>
    <w:rsid w:val="00BA310A"/>
    <w:rsid w:val="00BA3185"/>
    <w:rsid w:val="00BA31BB"/>
    <w:rsid w:val="00BA31E7"/>
    <w:rsid w:val="00BA3288"/>
    <w:rsid w:val="00BA32DF"/>
    <w:rsid w:val="00BA359E"/>
    <w:rsid w:val="00BA362B"/>
    <w:rsid w:val="00BA36CA"/>
    <w:rsid w:val="00BA37BC"/>
    <w:rsid w:val="00BA3801"/>
    <w:rsid w:val="00BA38F2"/>
    <w:rsid w:val="00BA3AFC"/>
    <w:rsid w:val="00BA3C95"/>
    <w:rsid w:val="00BA3E69"/>
    <w:rsid w:val="00BA3EDB"/>
    <w:rsid w:val="00BA4089"/>
    <w:rsid w:val="00BA408F"/>
    <w:rsid w:val="00BA4202"/>
    <w:rsid w:val="00BA4341"/>
    <w:rsid w:val="00BA44DC"/>
    <w:rsid w:val="00BA44F6"/>
    <w:rsid w:val="00BA45A8"/>
    <w:rsid w:val="00BA462C"/>
    <w:rsid w:val="00BA46F0"/>
    <w:rsid w:val="00BA472A"/>
    <w:rsid w:val="00BA49AB"/>
    <w:rsid w:val="00BA4B49"/>
    <w:rsid w:val="00BA4CF6"/>
    <w:rsid w:val="00BA4D3F"/>
    <w:rsid w:val="00BA4D56"/>
    <w:rsid w:val="00BA504A"/>
    <w:rsid w:val="00BA5112"/>
    <w:rsid w:val="00BA5113"/>
    <w:rsid w:val="00BA513C"/>
    <w:rsid w:val="00BA5199"/>
    <w:rsid w:val="00BA52CB"/>
    <w:rsid w:val="00BA53FE"/>
    <w:rsid w:val="00BA5438"/>
    <w:rsid w:val="00BA5528"/>
    <w:rsid w:val="00BA55AA"/>
    <w:rsid w:val="00BA56E0"/>
    <w:rsid w:val="00BA5788"/>
    <w:rsid w:val="00BA57B2"/>
    <w:rsid w:val="00BA582B"/>
    <w:rsid w:val="00BA59DF"/>
    <w:rsid w:val="00BA5B54"/>
    <w:rsid w:val="00BA5CD2"/>
    <w:rsid w:val="00BA5CF4"/>
    <w:rsid w:val="00BA5E9D"/>
    <w:rsid w:val="00BA5EB1"/>
    <w:rsid w:val="00BA5F47"/>
    <w:rsid w:val="00BA5FF1"/>
    <w:rsid w:val="00BA6010"/>
    <w:rsid w:val="00BA6107"/>
    <w:rsid w:val="00BA61F7"/>
    <w:rsid w:val="00BA6263"/>
    <w:rsid w:val="00BA6282"/>
    <w:rsid w:val="00BA62A7"/>
    <w:rsid w:val="00BA64C6"/>
    <w:rsid w:val="00BA650F"/>
    <w:rsid w:val="00BA6652"/>
    <w:rsid w:val="00BA66DF"/>
    <w:rsid w:val="00BA6745"/>
    <w:rsid w:val="00BA6796"/>
    <w:rsid w:val="00BA689A"/>
    <w:rsid w:val="00BA6A9B"/>
    <w:rsid w:val="00BA6AA5"/>
    <w:rsid w:val="00BA6AE1"/>
    <w:rsid w:val="00BA6C74"/>
    <w:rsid w:val="00BA6CAA"/>
    <w:rsid w:val="00BA6F0F"/>
    <w:rsid w:val="00BA6F23"/>
    <w:rsid w:val="00BA6F8D"/>
    <w:rsid w:val="00BA6FE3"/>
    <w:rsid w:val="00BA704D"/>
    <w:rsid w:val="00BA70F4"/>
    <w:rsid w:val="00BA7116"/>
    <w:rsid w:val="00BA7135"/>
    <w:rsid w:val="00BA71F2"/>
    <w:rsid w:val="00BA7326"/>
    <w:rsid w:val="00BA75BF"/>
    <w:rsid w:val="00BA7765"/>
    <w:rsid w:val="00BA7A9B"/>
    <w:rsid w:val="00BA7AAF"/>
    <w:rsid w:val="00BA7B15"/>
    <w:rsid w:val="00BA7BED"/>
    <w:rsid w:val="00BA7C30"/>
    <w:rsid w:val="00BA7C4D"/>
    <w:rsid w:val="00BA7D92"/>
    <w:rsid w:val="00BA7EF4"/>
    <w:rsid w:val="00BA7F20"/>
    <w:rsid w:val="00BA7F46"/>
    <w:rsid w:val="00BA7F7C"/>
    <w:rsid w:val="00BB0008"/>
    <w:rsid w:val="00BB00AB"/>
    <w:rsid w:val="00BB0121"/>
    <w:rsid w:val="00BB0136"/>
    <w:rsid w:val="00BB019A"/>
    <w:rsid w:val="00BB01E7"/>
    <w:rsid w:val="00BB02D3"/>
    <w:rsid w:val="00BB048E"/>
    <w:rsid w:val="00BB0498"/>
    <w:rsid w:val="00BB05F8"/>
    <w:rsid w:val="00BB062B"/>
    <w:rsid w:val="00BB0663"/>
    <w:rsid w:val="00BB0752"/>
    <w:rsid w:val="00BB077E"/>
    <w:rsid w:val="00BB080E"/>
    <w:rsid w:val="00BB0A0B"/>
    <w:rsid w:val="00BB0AD7"/>
    <w:rsid w:val="00BB0B21"/>
    <w:rsid w:val="00BB0B60"/>
    <w:rsid w:val="00BB0B8A"/>
    <w:rsid w:val="00BB0CF0"/>
    <w:rsid w:val="00BB0DA5"/>
    <w:rsid w:val="00BB0E2A"/>
    <w:rsid w:val="00BB0E44"/>
    <w:rsid w:val="00BB10D7"/>
    <w:rsid w:val="00BB1194"/>
    <w:rsid w:val="00BB121B"/>
    <w:rsid w:val="00BB1296"/>
    <w:rsid w:val="00BB1336"/>
    <w:rsid w:val="00BB1355"/>
    <w:rsid w:val="00BB138A"/>
    <w:rsid w:val="00BB15AB"/>
    <w:rsid w:val="00BB1615"/>
    <w:rsid w:val="00BB1714"/>
    <w:rsid w:val="00BB1722"/>
    <w:rsid w:val="00BB179F"/>
    <w:rsid w:val="00BB17D2"/>
    <w:rsid w:val="00BB1886"/>
    <w:rsid w:val="00BB19E7"/>
    <w:rsid w:val="00BB1A33"/>
    <w:rsid w:val="00BB1A53"/>
    <w:rsid w:val="00BB1B24"/>
    <w:rsid w:val="00BB1D42"/>
    <w:rsid w:val="00BB1DC2"/>
    <w:rsid w:val="00BB1E02"/>
    <w:rsid w:val="00BB1EB0"/>
    <w:rsid w:val="00BB1F7A"/>
    <w:rsid w:val="00BB1FB9"/>
    <w:rsid w:val="00BB2355"/>
    <w:rsid w:val="00BB23BE"/>
    <w:rsid w:val="00BB23F6"/>
    <w:rsid w:val="00BB244C"/>
    <w:rsid w:val="00BB245C"/>
    <w:rsid w:val="00BB24D7"/>
    <w:rsid w:val="00BB24EB"/>
    <w:rsid w:val="00BB2526"/>
    <w:rsid w:val="00BB255C"/>
    <w:rsid w:val="00BB256B"/>
    <w:rsid w:val="00BB25AD"/>
    <w:rsid w:val="00BB25F8"/>
    <w:rsid w:val="00BB2674"/>
    <w:rsid w:val="00BB27C8"/>
    <w:rsid w:val="00BB2883"/>
    <w:rsid w:val="00BB28CA"/>
    <w:rsid w:val="00BB299D"/>
    <w:rsid w:val="00BB2A1B"/>
    <w:rsid w:val="00BB2A6E"/>
    <w:rsid w:val="00BB2B5C"/>
    <w:rsid w:val="00BB2BD4"/>
    <w:rsid w:val="00BB2C81"/>
    <w:rsid w:val="00BB2CF6"/>
    <w:rsid w:val="00BB2E90"/>
    <w:rsid w:val="00BB3038"/>
    <w:rsid w:val="00BB30B9"/>
    <w:rsid w:val="00BB31D6"/>
    <w:rsid w:val="00BB3251"/>
    <w:rsid w:val="00BB3408"/>
    <w:rsid w:val="00BB3631"/>
    <w:rsid w:val="00BB36CB"/>
    <w:rsid w:val="00BB371B"/>
    <w:rsid w:val="00BB371C"/>
    <w:rsid w:val="00BB3783"/>
    <w:rsid w:val="00BB393C"/>
    <w:rsid w:val="00BB3957"/>
    <w:rsid w:val="00BB397C"/>
    <w:rsid w:val="00BB3AFD"/>
    <w:rsid w:val="00BB3B5C"/>
    <w:rsid w:val="00BB3BF7"/>
    <w:rsid w:val="00BB3C0B"/>
    <w:rsid w:val="00BB3CC4"/>
    <w:rsid w:val="00BB3E2A"/>
    <w:rsid w:val="00BB3EC9"/>
    <w:rsid w:val="00BB3EDC"/>
    <w:rsid w:val="00BB3F16"/>
    <w:rsid w:val="00BB3F82"/>
    <w:rsid w:val="00BB4040"/>
    <w:rsid w:val="00BB40A9"/>
    <w:rsid w:val="00BB40E0"/>
    <w:rsid w:val="00BB40EA"/>
    <w:rsid w:val="00BB4193"/>
    <w:rsid w:val="00BB428B"/>
    <w:rsid w:val="00BB432A"/>
    <w:rsid w:val="00BB4411"/>
    <w:rsid w:val="00BB449E"/>
    <w:rsid w:val="00BB451B"/>
    <w:rsid w:val="00BB4527"/>
    <w:rsid w:val="00BB452B"/>
    <w:rsid w:val="00BB45CF"/>
    <w:rsid w:val="00BB460D"/>
    <w:rsid w:val="00BB463D"/>
    <w:rsid w:val="00BB4657"/>
    <w:rsid w:val="00BB483E"/>
    <w:rsid w:val="00BB4891"/>
    <w:rsid w:val="00BB48C8"/>
    <w:rsid w:val="00BB4947"/>
    <w:rsid w:val="00BB4975"/>
    <w:rsid w:val="00BB49CB"/>
    <w:rsid w:val="00BB49CD"/>
    <w:rsid w:val="00BB49F4"/>
    <w:rsid w:val="00BB4B07"/>
    <w:rsid w:val="00BB4C2A"/>
    <w:rsid w:val="00BB4C56"/>
    <w:rsid w:val="00BB4CA9"/>
    <w:rsid w:val="00BB4EEE"/>
    <w:rsid w:val="00BB4F50"/>
    <w:rsid w:val="00BB5073"/>
    <w:rsid w:val="00BB5115"/>
    <w:rsid w:val="00BB5370"/>
    <w:rsid w:val="00BB54B8"/>
    <w:rsid w:val="00BB595F"/>
    <w:rsid w:val="00BB5AD2"/>
    <w:rsid w:val="00BB5ADF"/>
    <w:rsid w:val="00BB5BDD"/>
    <w:rsid w:val="00BB5C2B"/>
    <w:rsid w:val="00BB5D45"/>
    <w:rsid w:val="00BB5E65"/>
    <w:rsid w:val="00BB5F32"/>
    <w:rsid w:val="00BB5F85"/>
    <w:rsid w:val="00BB603B"/>
    <w:rsid w:val="00BB60D4"/>
    <w:rsid w:val="00BB625D"/>
    <w:rsid w:val="00BB631D"/>
    <w:rsid w:val="00BB6405"/>
    <w:rsid w:val="00BB64D6"/>
    <w:rsid w:val="00BB660F"/>
    <w:rsid w:val="00BB665C"/>
    <w:rsid w:val="00BB6844"/>
    <w:rsid w:val="00BB6964"/>
    <w:rsid w:val="00BB6AD3"/>
    <w:rsid w:val="00BB6B3B"/>
    <w:rsid w:val="00BB6C73"/>
    <w:rsid w:val="00BB6F1A"/>
    <w:rsid w:val="00BB6F90"/>
    <w:rsid w:val="00BB6F99"/>
    <w:rsid w:val="00BB708B"/>
    <w:rsid w:val="00BB7158"/>
    <w:rsid w:val="00BB7192"/>
    <w:rsid w:val="00BB71ED"/>
    <w:rsid w:val="00BB7248"/>
    <w:rsid w:val="00BB7285"/>
    <w:rsid w:val="00BB7347"/>
    <w:rsid w:val="00BB734B"/>
    <w:rsid w:val="00BB73CB"/>
    <w:rsid w:val="00BB73D5"/>
    <w:rsid w:val="00BB7441"/>
    <w:rsid w:val="00BB7478"/>
    <w:rsid w:val="00BB74A3"/>
    <w:rsid w:val="00BB7580"/>
    <w:rsid w:val="00BB7586"/>
    <w:rsid w:val="00BB7632"/>
    <w:rsid w:val="00BB76A9"/>
    <w:rsid w:val="00BB787B"/>
    <w:rsid w:val="00BB7AFF"/>
    <w:rsid w:val="00BB7BC4"/>
    <w:rsid w:val="00BB7BCA"/>
    <w:rsid w:val="00BB7C11"/>
    <w:rsid w:val="00BB7CD0"/>
    <w:rsid w:val="00BB7D07"/>
    <w:rsid w:val="00BB7E06"/>
    <w:rsid w:val="00BB7EC6"/>
    <w:rsid w:val="00BB7F35"/>
    <w:rsid w:val="00BC0142"/>
    <w:rsid w:val="00BC0287"/>
    <w:rsid w:val="00BC02B7"/>
    <w:rsid w:val="00BC0362"/>
    <w:rsid w:val="00BC037B"/>
    <w:rsid w:val="00BC0388"/>
    <w:rsid w:val="00BC0455"/>
    <w:rsid w:val="00BC0457"/>
    <w:rsid w:val="00BC04A1"/>
    <w:rsid w:val="00BC059B"/>
    <w:rsid w:val="00BC05D9"/>
    <w:rsid w:val="00BC0704"/>
    <w:rsid w:val="00BC0729"/>
    <w:rsid w:val="00BC0946"/>
    <w:rsid w:val="00BC0A19"/>
    <w:rsid w:val="00BC0A33"/>
    <w:rsid w:val="00BC0A5E"/>
    <w:rsid w:val="00BC0B98"/>
    <w:rsid w:val="00BC0BA0"/>
    <w:rsid w:val="00BC0BD2"/>
    <w:rsid w:val="00BC0D08"/>
    <w:rsid w:val="00BC0D58"/>
    <w:rsid w:val="00BC0FE1"/>
    <w:rsid w:val="00BC1092"/>
    <w:rsid w:val="00BC116F"/>
    <w:rsid w:val="00BC12AE"/>
    <w:rsid w:val="00BC13B8"/>
    <w:rsid w:val="00BC1573"/>
    <w:rsid w:val="00BC1637"/>
    <w:rsid w:val="00BC1667"/>
    <w:rsid w:val="00BC172E"/>
    <w:rsid w:val="00BC1898"/>
    <w:rsid w:val="00BC189E"/>
    <w:rsid w:val="00BC18BD"/>
    <w:rsid w:val="00BC1901"/>
    <w:rsid w:val="00BC1A56"/>
    <w:rsid w:val="00BC1A58"/>
    <w:rsid w:val="00BC1AF7"/>
    <w:rsid w:val="00BC1B31"/>
    <w:rsid w:val="00BC1B43"/>
    <w:rsid w:val="00BC1B88"/>
    <w:rsid w:val="00BC1BE7"/>
    <w:rsid w:val="00BC1C20"/>
    <w:rsid w:val="00BC1C2C"/>
    <w:rsid w:val="00BC1D00"/>
    <w:rsid w:val="00BC1D94"/>
    <w:rsid w:val="00BC1DD1"/>
    <w:rsid w:val="00BC1E14"/>
    <w:rsid w:val="00BC1F8B"/>
    <w:rsid w:val="00BC1FBE"/>
    <w:rsid w:val="00BC20B2"/>
    <w:rsid w:val="00BC21FB"/>
    <w:rsid w:val="00BC2222"/>
    <w:rsid w:val="00BC2292"/>
    <w:rsid w:val="00BC22AD"/>
    <w:rsid w:val="00BC230F"/>
    <w:rsid w:val="00BC2327"/>
    <w:rsid w:val="00BC238A"/>
    <w:rsid w:val="00BC242C"/>
    <w:rsid w:val="00BC2461"/>
    <w:rsid w:val="00BC2625"/>
    <w:rsid w:val="00BC26F2"/>
    <w:rsid w:val="00BC2AA9"/>
    <w:rsid w:val="00BC2AFC"/>
    <w:rsid w:val="00BC2BB7"/>
    <w:rsid w:val="00BC2D93"/>
    <w:rsid w:val="00BC2E6E"/>
    <w:rsid w:val="00BC2E88"/>
    <w:rsid w:val="00BC2F4D"/>
    <w:rsid w:val="00BC3081"/>
    <w:rsid w:val="00BC30E4"/>
    <w:rsid w:val="00BC30ED"/>
    <w:rsid w:val="00BC3143"/>
    <w:rsid w:val="00BC31D0"/>
    <w:rsid w:val="00BC31FA"/>
    <w:rsid w:val="00BC31FF"/>
    <w:rsid w:val="00BC32B2"/>
    <w:rsid w:val="00BC32F0"/>
    <w:rsid w:val="00BC33A9"/>
    <w:rsid w:val="00BC351D"/>
    <w:rsid w:val="00BC3536"/>
    <w:rsid w:val="00BC3598"/>
    <w:rsid w:val="00BC35A5"/>
    <w:rsid w:val="00BC35A7"/>
    <w:rsid w:val="00BC36B2"/>
    <w:rsid w:val="00BC37A7"/>
    <w:rsid w:val="00BC382F"/>
    <w:rsid w:val="00BC390D"/>
    <w:rsid w:val="00BC39FF"/>
    <w:rsid w:val="00BC3BB7"/>
    <w:rsid w:val="00BC3BC4"/>
    <w:rsid w:val="00BC3C82"/>
    <w:rsid w:val="00BC3D64"/>
    <w:rsid w:val="00BC3E29"/>
    <w:rsid w:val="00BC3E9B"/>
    <w:rsid w:val="00BC3F32"/>
    <w:rsid w:val="00BC3F6E"/>
    <w:rsid w:val="00BC3FB9"/>
    <w:rsid w:val="00BC40B1"/>
    <w:rsid w:val="00BC417B"/>
    <w:rsid w:val="00BC42DE"/>
    <w:rsid w:val="00BC43FA"/>
    <w:rsid w:val="00BC4410"/>
    <w:rsid w:val="00BC4660"/>
    <w:rsid w:val="00BC47AF"/>
    <w:rsid w:val="00BC4868"/>
    <w:rsid w:val="00BC4A0A"/>
    <w:rsid w:val="00BC4ADC"/>
    <w:rsid w:val="00BC4AF9"/>
    <w:rsid w:val="00BC4AFD"/>
    <w:rsid w:val="00BC4B29"/>
    <w:rsid w:val="00BC4B7B"/>
    <w:rsid w:val="00BC4B9F"/>
    <w:rsid w:val="00BC4BD5"/>
    <w:rsid w:val="00BC4D89"/>
    <w:rsid w:val="00BC4E02"/>
    <w:rsid w:val="00BC5051"/>
    <w:rsid w:val="00BC50AC"/>
    <w:rsid w:val="00BC50F7"/>
    <w:rsid w:val="00BC5114"/>
    <w:rsid w:val="00BC520D"/>
    <w:rsid w:val="00BC5246"/>
    <w:rsid w:val="00BC533E"/>
    <w:rsid w:val="00BC53C3"/>
    <w:rsid w:val="00BC556B"/>
    <w:rsid w:val="00BC5575"/>
    <w:rsid w:val="00BC55D5"/>
    <w:rsid w:val="00BC55DC"/>
    <w:rsid w:val="00BC565E"/>
    <w:rsid w:val="00BC57C3"/>
    <w:rsid w:val="00BC599D"/>
    <w:rsid w:val="00BC5A7D"/>
    <w:rsid w:val="00BC5A9F"/>
    <w:rsid w:val="00BC5B44"/>
    <w:rsid w:val="00BC5C3B"/>
    <w:rsid w:val="00BC5D36"/>
    <w:rsid w:val="00BC5D82"/>
    <w:rsid w:val="00BC5DCA"/>
    <w:rsid w:val="00BC5F01"/>
    <w:rsid w:val="00BC5F0E"/>
    <w:rsid w:val="00BC5FDF"/>
    <w:rsid w:val="00BC61CD"/>
    <w:rsid w:val="00BC61CF"/>
    <w:rsid w:val="00BC6323"/>
    <w:rsid w:val="00BC655A"/>
    <w:rsid w:val="00BC6579"/>
    <w:rsid w:val="00BC66E4"/>
    <w:rsid w:val="00BC6836"/>
    <w:rsid w:val="00BC69C3"/>
    <w:rsid w:val="00BC6A3E"/>
    <w:rsid w:val="00BC6A67"/>
    <w:rsid w:val="00BC6AA1"/>
    <w:rsid w:val="00BC6B4B"/>
    <w:rsid w:val="00BC6BAA"/>
    <w:rsid w:val="00BC6C32"/>
    <w:rsid w:val="00BC6C63"/>
    <w:rsid w:val="00BC6CA6"/>
    <w:rsid w:val="00BC6D18"/>
    <w:rsid w:val="00BC6D1C"/>
    <w:rsid w:val="00BC6E8D"/>
    <w:rsid w:val="00BC6F40"/>
    <w:rsid w:val="00BC7078"/>
    <w:rsid w:val="00BC7087"/>
    <w:rsid w:val="00BC70AC"/>
    <w:rsid w:val="00BC718F"/>
    <w:rsid w:val="00BC72B3"/>
    <w:rsid w:val="00BC7433"/>
    <w:rsid w:val="00BC747C"/>
    <w:rsid w:val="00BC7485"/>
    <w:rsid w:val="00BC74A2"/>
    <w:rsid w:val="00BC7658"/>
    <w:rsid w:val="00BC76EC"/>
    <w:rsid w:val="00BC78D6"/>
    <w:rsid w:val="00BC7AD8"/>
    <w:rsid w:val="00BC7B01"/>
    <w:rsid w:val="00BC7CB7"/>
    <w:rsid w:val="00BC7CE2"/>
    <w:rsid w:val="00BC7D26"/>
    <w:rsid w:val="00BC7DB9"/>
    <w:rsid w:val="00BC7DE0"/>
    <w:rsid w:val="00BC7E04"/>
    <w:rsid w:val="00BC7E73"/>
    <w:rsid w:val="00BC7E7B"/>
    <w:rsid w:val="00BC7EC2"/>
    <w:rsid w:val="00BC7F2A"/>
    <w:rsid w:val="00BD0003"/>
    <w:rsid w:val="00BD026D"/>
    <w:rsid w:val="00BD02C9"/>
    <w:rsid w:val="00BD0490"/>
    <w:rsid w:val="00BD04AF"/>
    <w:rsid w:val="00BD04B7"/>
    <w:rsid w:val="00BD0578"/>
    <w:rsid w:val="00BD0786"/>
    <w:rsid w:val="00BD07DF"/>
    <w:rsid w:val="00BD082A"/>
    <w:rsid w:val="00BD085A"/>
    <w:rsid w:val="00BD0A53"/>
    <w:rsid w:val="00BD0A72"/>
    <w:rsid w:val="00BD0CCF"/>
    <w:rsid w:val="00BD0CF5"/>
    <w:rsid w:val="00BD0D50"/>
    <w:rsid w:val="00BD0DC5"/>
    <w:rsid w:val="00BD0FC9"/>
    <w:rsid w:val="00BD0FE8"/>
    <w:rsid w:val="00BD1112"/>
    <w:rsid w:val="00BD11B0"/>
    <w:rsid w:val="00BD11E9"/>
    <w:rsid w:val="00BD12DD"/>
    <w:rsid w:val="00BD1367"/>
    <w:rsid w:val="00BD1462"/>
    <w:rsid w:val="00BD1576"/>
    <w:rsid w:val="00BD1589"/>
    <w:rsid w:val="00BD159C"/>
    <w:rsid w:val="00BD1628"/>
    <w:rsid w:val="00BD1661"/>
    <w:rsid w:val="00BD198F"/>
    <w:rsid w:val="00BD1A4D"/>
    <w:rsid w:val="00BD1B2C"/>
    <w:rsid w:val="00BD1B4A"/>
    <w:rsid w:val="00BD1BC7"/>
    <w:rsid w:val="00BD1CE0"/>
    <w:rsid w:val="00BD1E7C"/>
    <w:rsid w:val="00BD1EFC"/>
    <w:rsid w:val="00BD2090"/>
    <w:rsid w:val="00BD2131"/>
    <w:rsid w:val="00BD2154"/>
    <w:rsid w:val="00BD22A9"/>
    <w:rsid w:val="00BD22E4"/>
    <w:rsid w:val="00BD2633"/>
    <w:rsid w:val="00BD26FF"/>
    <w:rsid w:val="00BD27E9"/>
    <w:rsid w:val="00BD2819"/>
    <w:rsid w:val="00BD28BF"/>
    <w:rsid w:val="00BD2972"/>
    <w:rsid w:val="00BD2978"/>
    <w:rsid w:val="00BD29C6"/>
    <w:rsid w:val="00BD2A2F"/>
    <w:rsid w:val="00BD2A76"/>
    <w:rsid w:val="00BD2AB0"/>
    <w:rsid w:val="00BD2AB1"/>
    <w:rsid w:val="00BD2C8C"/>
    <w:rsid w:val="00BD2C90"/>
    <w:rsid w:val="00BD2DB4"/>
    <w:rsid w:val="00BD2EC0"/>
    <w:rsid w:val="00BD3070"/>
    <w:rsid w:val="00BD31BE"/>
    <w:rsid w:val="00BD329E"/>
    <w:rsid w:val="00BD32D6"/>
    <w:rsid w:val="00BD32D7"/>
    <w:rsid w:val="00BD32FC"/>
    <w:rsid w:val="00BD33BC"/>
    <w:rsid w:val="00BD33C8"/>
    <w:rsid w:val="00BD34E3"/>
    <w:rsid w:val="00BD34E8"/>
    <w:rsid w:val="00BD34FE"/>
    <w:rsid w:val="00BD3502"/>
    <w:rsid w:val="00BD3538"/>
    <w:rsid w:val="00BD361B"/>
    <w:rsid w:val="00BD3742"/>
    <w:rsid w:val="00BD37AF"/>
    <w:rsid w:val="00BD3AF3"/>
    <w:rsid w:val="00BD3E97"/>
    <w:rsid w:val="00BD3EE5"/>
    <w:rsid w:val="00BD3F21"/>
    <w:rsid w:val="00BD3FA7"/>
    <w:rsid w:val="00BD4063"/>
    <w:rsid w:val="00BD40B8"/>
    <w:rsid w:val="00BD411A"/>
    <w:rsid w:val="00BD4197"/>
    <w:rsid w:val="00BD4355"/>
    <w:rsid w:val="00BD4379"/>
    <w:rsid w:val="00BD447D"/>
    <w:rsid w:val="00BD44D7"/>
    <w:rsid w:val="00BD44EC"/>
    <w:rsid w:val="00BD4708"/>
    <w:rsid w:val="00BD471B"/>
    <w:rsid w:val="00BD475A"/>
    <w:rsid w:val="00BD4835"/>
    <w:rsid w:val="00BD48BB"/>
    <w:rsid w:val="00BD4925"/>
    <w:rsid w:val="00BD4933"/>
    <w:rsid w:val="00BD49EF"/>
    <w:rsid w:val="00BD4A19"/>
    <w:rsid w:val="00BD4A65"/>
    <w:rsid w:val="00BD4BBE"/>
    <w:rsid w:val="00BD4F98"/>
    <w:rsid w:val="00BD4FFB"/>
    <w:rsid w:val="00BD514C"/>
    <w:rsid w:val="00BD5158"/>
    <w:rsid w:val="00BD51B7"/>
    <w:rsid w:val="00BD536C"/>
    <w:rsid w:val="00BD53D8"/>
    <w:rsid w:val="00BD53E4"/>
    <w:rsid w:val="00BD5767"/>
    <w:rsid w:val="00BD5777"/>
    <w:rsid w:val="00BD59CD"/>
    <w:rsid w:val="00BD59DD"/>
    <w:rsid w:val="00BD5C5B"/>
    <w:rsid w:val="00BD5CFB"/>
    <w:rsid w:val="00BD5D09"/>
    <w:rsid w:val="00BD5E1A"/>
    <w:rsid w:val="00BD5E9B"/>
    <w:rsid w:val="00BD5E9C"/>
    <w:rsid w:val="00BD5EE7"/>
    <w:rsid w:val="00BD5F82"/>
    <w:rsid w:val="00BD601F"/>
    <w:rsid w:val="00BD60C4"/>
    <w:rsid w:val="00BD61A7"/>
    <w:rsid w:val="00BD623D"/>
    <w:rsid w:val="00BD62E2"/>
    <w:rsid w:val="00BD63CC"/>
    <w:rsid w:val="00BD64A7"/>
    <w:rsid w:val="00BD6886"/>
    <w:rsid w:val="00BD6935"/>
    <w:rsid w:val="00BD69E1"/>
    <w:rsid w:val="00BD69E6"/>
    <w:rsid w:val="00BD6A2D"/>
    <w:rsid w:val="00BD6A89"/>
    <w:rsid w:val="00BD6B11"/>
    <w:rsid w:val="00BD6B33"/>
    <w:rsid w:val="00BD6CBC"/>
    <w:rsid w:val="00BD6E8A"/>
    <w:rsid w:val="00BD6E8B"/>
    <w:rsid w:val="00BD6E8F"/>
    <w:rsid w:val="00BD6F5E"/>
    <w:rsid w:val="00BD6F7B"/>
    <w:rsid w:val="00BD700A"/>
    <w:rsid w:val="00BD7010"/>
    <w:rsid w:val="00BD712C"/>
    <w:rsid w:val="00BD7150"/>
    <w:rsid w:val="00BD71FD"/>
    <w:rsid w:val="00BD7202"/>
    <w:rsid w:val="00BD72A0"/>
    <w:rsid w:val="00BD730C"/>
    <w:rsid w:val="00BD732D"/>
    <w:rsid w:val="00BD7448"/>
    <w:rsid w:val="00BD74D8"/>
    <w:rsid w:val="00BD75A5"/>
    <w:rsid w:val="00BD7653"/>
    <w:rsid w:val="00BD7755"/>
    <w:rsid w:val="00BD77F4"/>
    <w:rsid w:val="00BD783E"/>
    <w:rsid w:val="00BD7879"/>
    <w:rsid w:val="00BD7A3F"/>
    <w:rsid w:val="00BD7CF7"/>
    <w:rsid w:val="00BD7D0A"/>
    <w:rsid w:val="00BD7DA7"/>
    <w:rsid w:val="00BD7ECE"/>
    <w:rsid w:val="00BD7F5F"/>
    <w:rsid w:val="00BD7FB5"/>
    <w:rsid w:val="00BD7FD8"/>
    <w:rsid w:val="00BE0016"/>
    <w:rsid w:val="00BE0163"/>
    <w:rsid w:val="00BE017A"/>
    <w:rsid w:val="00BE01BB"/>
    <w:rsid w:val="00BE01C6"/>
    <w:rsid w:val="00BE020F"/>
    <w:rsid w:val="00BE02DE"/>
    <w:rsid w:val="00BE034B"/>
    <w:rsid w:val="00BE0374"/>
    <w:rsid w:val="00BE03AA"/>
    <w:rsid w:val="00BE05E7"/>
    <w:rsid w:val="00BE0647"/>
    <w:rsid w:val="00BE06BF"/>
    <w:rsid w:val="00BE0734"/>
    <w:rsid w:val="00BE0756"/>
    <w:rsid w:val="00BE07CF"/>
    <w:rsid w:val="00BE0850"/>
    <w:rsid w:val="00BE0A61"/>
    <w:rsid w:val="00BE0A97"/>
    <w:rsid w:val="00BE0AC6"/>
    <w:rsid w:val="00BE0B42"/>
    <w:rsid w:val="00BE0B8C"/>
    <w:rsid w:val="00BE0BAD"/>
    <w:rsid w:val="00BE0C57"/>
    <w:rsid w:val="00BE0DD5"/>
    <w:rsid w:val="00BE0F25"/>
    <w:rsid w:val="00BE0F28"/>
    <w:rsid w:val="00BE1161"/>
    <w:rsid w:val="00BE1194"/>
    <w:rsid w:val="00BE11BD"/>
    <w:rsid w:val="00BE129B"/>
    <w:rsid w:val="00BE131F"/>
    <w:rsid w:val="00BE1341"/>
    <w:rsid w:val="00BE148B"/>
    <w:rsid w:val="00BE1575"/>
    <w:rsid w:val="00BE15CE"/>
    <w:rsid w:val="00BE15D3"/>
    <w:rsid w:val="00BE1A78"/>
    <w:rsid w:val="00BE1B79"/>
    <w:rsid w:val="00BE1CA0"/>
    <w:rsid w:val="00BE1D5B"/>
    <w:rsid w:val="00BE1D5F"/>
    <w:rsid w:val="00BE1F26"/>
    <w:rsid w:val="00BE1FED"/>
    <w:rsid w:val="00BE21FF"/>
    <w:rsid w:val="00BE2269"/>
    <w:rsid w:val="00BE22A4"/>
    <w:rsid w:val="00BE243C"/>
    <w:rsid w:val="00BE24FD"/>
    <w:rsid w:val="00BE2510"/>
    <w:rsid w:val="00BE2520"/>
    <w:rsid w:val="00BE25EF"/>
    <w:rsid w:val="00BE2710"/>
    <w:rsid w:val="00BE27B4"/>
    <w:rsid w:val="00BE2925"/>
    <w:rsid w:val="00BE297A"/>
    <w:rsid w:val="00BE29AC"/>
    <w:rsid w:val="00BE2A36"/>
    <w:rsid w:val="00BE2B6F"/>
    <w:rsid w:val="00BE2C2A"/>
    <w:rsid w:val="00BE2CCC"/>
    <w:rsid w:val="00BE2D29"/>
    <w:rsid w:val="00BE2D6E"/>
    <w:rsid w:val="00BE2E2E"/>
    <w:rsid w:val="00BE2E55"/>
    <w:rsid w:val="00BE2E62"/>
    <w:rsid w:val="00BE2EEC"/>
    <w:rsid w:val="00BE2FAF"/>
    <w:rsid w:val="00BE30BC"/>
    <w:rsid w:val="00BE3239"/>
    <w:rsid w:val="00BE3265"/>
    <w:rsid w:val="00BE3405"/>
    <w:rsid w:val="00BE35BA"/>
    <w:rsid w:val="00BE36BC"/>
    <w:rsid w:val="00BE3956"/>
    <w:rsid w:val="00BE3BE7"/>
    <w:rsid w:val="00BE3C61"/>
    <w:rsid w:val="00BE3D5F"/>
    <w:rsid w:val="00BE3D67"/>
    <w:rsid w:val="00BE3D89"/>
    <w:rsid w:val="00BE3D9A"/>
    <w:rsid w:val="00BE3DF9"/>
    <w:rsid w:val="00BE3E81"/>
    <w:rsid w:val="00BE3E9B"/>
    <w:rsid w:val="00BE3F1C"/>
    <w:rsid w:val="00BE3F84"/>
    <w:rsid w:val="00BE3F99"/>
    <w:rsid w:val="00BE4060"/>
    <w:rsid w:val="00BE40DE"/>
    <w:rsid w:val="00BE40E4"/>
    <w:rsid w:val="00BE41B8"/>
    <w:rsid w:val="00BE41CF"/>
    <w:rsid w:val="00BE42F6"/>
    <w:rsid w:val="00BE4398"/>
    <w:rsid w:val="00BE448E"/>
    <w:rsid w:val="00BE44E4"/>
    <w:rsid w:val="00BE4538"/>
    <w:rsid w:val="00BE458B"/>
    <w:rsid w:val="00BE46C1"/>
    <w:rsid w:val="00BE470C"/>
    <w:rsid w:val="00BE47B2"/>
    <w:rsid w:val="00BE47BE"/>
    <w:rsid w:val="00BE47E4"/>
    <w:rsid w:val="00BE4982"/>
    <w:rsid w:val="00BE4BF9"/>
    <w:rsid w:val="00BE4C50"/>
    <w:rsid w:val="00BE4CB0"/>
    <w:rsid w:val="00BE4CC5"/>
    <w:rsid w:val="00BE4D61"/>
    <w:rsid w:val="00BE4F1B"/>
    <w:rsid w:val="00BE4F4F"/>
    <w:rsid w:val="00BE4F6F"/>
    <w:rsid w:val="00BE507E"/>
    <w:rsid w:val="00BE50E5"/>
    <w:rsid w:val="00BE5282"/>
    <w:rsid w:val="00BE5294"/>
    <w:rsid w:val="00BE5300"/>
    <w:rsid w:val="00BE5384"/>
    <w:rsid w:val="00BE54A0"/>
    <w:rsid w:val="00BE54B6"/>
    <w:rsid w:val="00BE55E3"/>
    <w:rsid w:val="00BE561C"/>
    <w:rsid w:val="00BE56C9"/>
    <w:rsid w:val="00BE590A"/>
    <w:rsid w:val="00BE593D"/>
    <w:rsid w:val="00BE5982"/>
    <w:rsid w:val="00BE5A72"/>
    <w:rsid w:val="00BE5B00"/>
    <w:rsid w:val="00BE5B49"/>
    <w:rsid w:val="00BE5B5E"/>
    <w:rsid w:val="00BE5D2A"/>
    <w:rsid w:val="00BE5D78"/>
    <w:rsid w:val="00BE5DD1"/>
    <w:rsid w:val="00BE5E9F"/>
    <w:rsid w:val="00BE5F10"/>
    <w:rsid w:val="00BE5F1C"/>
    <w:rsid w:val="00BE5F7E"/>
    <w:rsid w:val="00BE606B"/>
    <w:rsid w:val="00BE6287"/>
    <w:rsid w:val="00BE6333"/>
    <w:rsid w:val="00BE64D0"/>
    <w:rsid w:val="00BE6519"/>
    <w:rsid w:val="00BE668C"/>
    <w:rsid w:val="00BE6882"/>
    <w:rsid w:val="00BE6889"/>
    <w:rsid w:val="00BE6ADB"/>
    <w:rsid w:val="00BE6AFE"/>
    <w:rsid w:val="00BE6BB1"/>
    <w:rsid w:val="00BE6C6E"/>
    <w:rsid w:val="00BE6C91"/>
    <w:rsid w:val="00BE6CA3"/>
    <w:rsid w:val="00BE6CCD"/>
    <w:rsid w:val="00BE6D34"/>
    <w:rsid w:val="00BE6F19"/>
    <w:rsid w:val="00BE6FB2"/>
    <w:rsid w:val="00BE7014"/>
    <w:rsid w:val="00BE7024"/>
    <w:rsid w:val="00BE7060"/>
    <w:rsid w:val="00BE70D2"/>
    <w:rsid w:val="00BE71AB"/>
    <w:rsid w:val="00BE7325"/>
    <w:rsid w:val="00BE73D5"/>
    <w:rsid w:val="00BE74E0"/>
    <w:rsid w:val="00BE7534"/>
    <w:rsid w:val="00BE7711"/>
    <w:rsid w:val="00BE771B"/>
    <w:rsid w:val="00BE772D"/>
    <w:rsid w:val="00BE7796"/>
    <w:rsid w:val="00BE77F9"/>
    <w:rsid w:val="00BE7877"/>
    <w:rsid w:val="00BE78DD"/>
    <w:rsid w:val="00BE7900"/>
    <w:rsid w:val="00BE7913"/>
    <w:rsid w:val="00BE7ADD"/>
    <w:rsid w:val="00BE7AEA"/>
    <w:rsid w:val="00BE7B3B"/>
    <w:rsid w:val="00BE7BC8"/>
    <w:rsid w:val="00BE7CC0"/>
    <w:rsid w:val="00BE7E8B"/>
    <w:rsid w:val="00BE7F1E"/>
    <w:rsid w:val="00BE7F88"/>
    <w:rsid w:val="00BE7FCF"/>
    <w:rsid w:val="00BE7FDB"/>
    <w:rsid w:val="00BF0025"/>
    <w:rsid w:val="00BF014B"/>
    <w:rsid w:val="00BF0186"/>
    <w:rsid w:val="00BF01D8"/>
    <w:rsid w:val="00BF01EF"/>
    <w:rsid w:val="00BF026D"/>
    <w:rsid w:val="00BF0308"/>
    <w:rsid w:val="00BF034D"/>
    <w:rsid w:val="00BF0379"/>
    <w:rsid w:val="00BF0398"/>
    <w:rsid w:val="00BF03AD"/>
    <w:rsid w:val="00BF03B9"/>
    <w:rsid w:val="00BF04B4"/>
    <w:rsid w:val="00BF04E5"/>
    <w:rsid w:val="00BF04F4"/>
    <w:rsid w:val="00BF0546"/>
    <w:rsid w:val="00BF05A6"/>
    <w:rsid w:val="00BF05DD"/>
    <w:rsid w:val="00BF062B"/>
    <w:rsid w:val="00BF06C2"/>
    <w:rsid w:val="00BF0714"/>
    <w:rsid w:val="00BF0805"/>
    <w:rsid w:val="00BF0853"/>
    <w:rsid w:val="00BF08F4"/>
    <w:rsid w:val="00BF091B"/>
    <w:rsid w:val="00BF095A"/>
    <w:rsid w:val="00BF0AB4"/>
    <w:rsid w:val="00BF0C29"/>
    <w:rsid w:val="00BF0D8B"/>
    <w:rsid w:val="00BF0E4E"/>
    <w:rsid w:val="00BF0E64"/>
    <w:rsid w:val="00BF0E67"/>
    <w:rsid w:val="00BF0FA2"/>
    <w:rsid w:val="00BF0FF1"/>
    <w:rsid w:val="00BF1014"/>
    <w:rsid w:val="00BF1205"/>
    <w:rsid w:val="00BF1231"/>
    <w:rsid w:val="00BF1285"/>
    <w:rsid w:val="00BF13BD"/>
    <w:rsid w:val="00BF1498"/>
    <w:rsid w:val="00BF1661"/>
    <w:rsid w:val="00BF1A77"/>
    <w:rsid w:val="00BF1AEA"/>
    <w:rsid w:val="00BF1C3D"/>
    <w:rsid w:val="00BF1CDD"/>
    <w:rsid w:val="00BF1D05"/>
    <w:rsid w:val="00BF1DA4"/>
    <w:rsid w:val="00BF1ED8"/>
    <w:rsid w:val="00BF1EF2"/>
    <w:rsid w:val="00BF1F52"/>
    <w:rsid w:val="00BF1FA0"/>
    <w:rsid w:val="00BF20D5"/>
    <w:rsid w:val="00BF211E"/>
    <w:rsid w:val="00BF2147"/>
    <w:rsid w:val="00BF2230"/>
    <w:rsid w:val="00BF224D"/>
    <w:rsid w:val="00BF2265"/>
    <w:rsid w:val="00BF233A"/>
    <w:rsid w:val="00BF23B5"/>
    <w:rsid w:val="00BF2434"/>
    <w:rsid w:val="00BF2450"/>
    <w:rsid w:val="00BF26CD"/>
    <w:rsid w:val="00BF26DD"/>
    <w:rsid w:val="00BF271B"/>
    <w:rsid w:val="00BF27AA"/>
    <w:rsid w:val="00BF27B2"/>
    <w:rsid w:val="00BF28B7"/>
    <w:rsid w:val="00BF2A4E"/>
    <w:rsid w:val="00BF2A78"/>
    <w:rsid w:val="00BF2A98"/>
    <w:rsid w:val="00BF2BB0"/>
    <w:rsid w:val="00BF2C7D"/>
    <w:rsid w:val="00BF2E2E"/>
    <w:rsid w:val="00BF2F7C"/>
    <w:rsid w:val="00BF2F88"/>
    <w:rsid w:val="00BF3017"/>
    <w:rsid w:val="00BF322F"/>
    <w:rsid w:val="00BF3320"/>
    <w:rsid w:val="00BF3393"/>
    <w:rsid w:val="00BF33BA"/>
    <w:rsid w:val="00BF3416"/>
    <w:rsid w:val="00BF3480"/>
    <w:rsid w:val="00BF37F0"/>
    <w:rsid w:val="00BF382D"/>
    <w:rsid w:val="00BF389B"/>
    <w:rsid w:val="00BF398B"/>
    <w:rsid w:val="00BF3ACD"/>
    <w:rsid w:val="00BF3C65"/>
    <w:rsid w:val="00BF3C8E"/>
    <w:rsid w:val="00BF3D78"/>
    <w:rsid w:val="00BF3DCB"/>
    <w:rsid w:val="00BF3E3F"/>
    <w:rsid w:val="00BF3F44"/>
    <w:rsid w:val="00BF41D7"/>
    <w:rsid w:val="00BF4257"/>
    <w:rsid w:val="00BF42C9"/>
    <w:rsid w:val="00BF42DC"/>
    <w:rsid w:val="00BF43C7"/>
    <w:rsid w:val="00BF44AA"/>
    <w:rsid w:val="00BF4600"/>
    <w:rsid w:val="00BF4618"/>
    <w:rsid w:val="00BF4711"/>
    <w:rsid w:val="00BF473B"/>
    <w:rsid w:val="00BF4751"/>
    <w:rsid w:val="00BF4770"/>
    <w:rsid w:val="00BF47BD"/>
    <w:rsid w:val="00BF481B"/>
    <w:rsid w:val="00BF497C"/>
    <w:rsid w:val="00BF49C2"/>
    <w:rsid w:val="00BF4A0F"/>
    <w:rsid w:val="00BF4AE0"/>
    <w:rsid w:val="00BF4B7A"/>
    <w:rsid w:val="00BF4CE9"/>
    <w:rsid w:val="00BF4D51"/>
    <w:rsid w:val="00BF4DCD"/>
    <w:rsid w:val="00BF4E1D"/>
    <w:rsid w:val="00BF4E25"/>
    <w:rsid w:val="00BF4FFC"/>
    <w:rsid w:val="00BF5004"/>
    <w:rsid w:val="00BF5125"/>
    <w:rsid w:val="00BF5135"/>
    <w:rsid w:val="00BF5216"/>
    <w:rsid w:val="00BF522A"/>
    <w:rsid w:val="00BF52D9"/>
    <w:rsid w:val="00BF543C"/>
    <w:rsid w:val="00BF545F"/>
    <w:rsid w:val="00BF56F6"/>
    <w:rsid w:val="00BF570C"/>
    <w:rsid w:val="00BF584B"/>
    <w:rsid w:val="00BF5874"/>
    <w:rsid w:val="00BF589E"/>
    <w:rsid w:val="00BF5917"/>
    <w:rsid w:val="00BF5B49"/>
    <w:rsid w:val="00BF5B68"/>
    <w:rsid w:val="00BF5C62"/>
    <w:rsid w:val="00BF5CE7"/>
    <w:rsid w:val="00BF5CE8"/>
    <w:rsid w:val="00BF5D12"/>
    <w:rsid w:val="00BF5DF4"/>
    <w:rsid w:val="00BF5E96"/>
    <w:rsid w:val="00BF60D6"/>
    <w:rsid w:val="00BF6100"/>
    <w:rsid w:val="00BF6152"/>
    <w:rsid w:val="00BF6171"/>
    <w:rsid w:val="00BF61B4"/>
    <w:rsid w:val="00BF6361"/>
    <w:rsid w:val="00BF6506"/>
    <w:rsid w:val="00BF6568"/>
    <w:rsid w:val="00BF6656"/>
    <w:rsid w:val="00BF665C"/>
    <w:rsid w:val="00BF66C9"/>
    <w:rsid w:val="00BF6766"/>
    <w:rsid w:val="00BF684D"/>
    <w:rsid w:val="00BF685D"/>
    <w:rsid w:val="00BF689E"/>
    <w:rsid w:val="00BF68CB"/>
    <w:rsid w:val="00BF68F8"/>
    <w:rsid w:val="00BF6921"/>
    <w:rsid w:val="00BF6957"/>
    <w:rsid w:val="00BF696A"/>
    <w:rsid w:val="00BF6A8D"/>
    <w:rsid w:val="00BF6B8E"/>
    <w:rsid w:val="00BF6BEC"/>
    <w:rsid w:val="00BF6BF5"/>
    <w:rsid w:val="00BF6D32"/>
    <w:rsid w:val="00BF6D8C"/>
    <w:rsid w:val="00BF6E07"/>
    <w:rsid w:val="00BF6EBC"/>
    <w:rsid w:val="00BF6F88"/>
    <w:rsid w:val="00BF702A"/>
    <w:rsid w:val="00BF7166"/>
    <w:rsid w:val="00BF7367"/>
    <w:rsid w:val="00BF7382"/>
    <w:rsid w:val="00BF744A"/>
    <w:rsid w:val="00BF74D0"/>
    <w:rsid w:val="00BF7585"/>
    <w:rsid w:val="00BF75F2"/>
    <w:rsid w:val="00BF7757"/>
    <w:rsid w:val="00BF79EC"/>
    <w:rsid w:val="00BF7A1B"/>
    <w:rsid w:val="00BF7BB9"/>
    <w:rsid w:val="00BF7BDE"/>
    <w:rsid w:val="00BF7D60"/>
    <w:rsid w:val="00BF7E0D"/>
    <w:rsid w:val="00BF7EFB"/>
    <w:rsid w:val="00C00094"/>
    <w:rsid w:val="00C000A0"/>
    <w:rsid w:val="00C000B4"/>
    <w:rsid w:val="00C001FA"/>
    <w:rsid w:val="00C00269"/>
    <w:rsid w:val="00C002B0"/>
    <w:rsid w:val="00C002D4"/>
    <w:rsid w:val="00C0031F"/>
    <w:rsid w:val="00C005E2"/>
    <w:rsid w:val="00C0076B"/>
    <w:rsid w:val="00C007EB"/>
    <w:rsid w:val="00C008EA"/>
    <w:rsid w:val="00C00A2A"/>
    <w:rsid w:val="00C00A31"/>
    <w:rsid w:val="00C00B1D"/>
    <w:rsid w:val="00C00BA8"/>
    <w:rsid w:val="00C00BD6"/>
    <w:rsid w:val="00C00C08"/>
    <w:rsid w:val="00C00E91"/>
    <w:rsid w:val="00C00E9D"/>
    <w:rsid w:val="00C00F4A"/>
    <w:rsid w:val="00C01044"/>
    <w:rsid w:val="00C010BB"/>
    <w:rsid w:val="00C01130"/>
    <w:rsid w:val="00C011C3"/>
    <w:rsid w:val="00C011DC"/>
    <w:rsid w:val="00C012D5"/>
    <w:rsid w:val="00C014A9"/>
    <w:rsid w:val="00C014C1"/>
    <w:rsid w:val="00C01601"/>
    <w:rsid w:val="00C017FC"/>
    <w:rsid w:val="00C01832"/>
    <w:rsid w:val="00C01950"/>
    <w:rsid w:val="00C019E8"/>
    <w:rsid w:val="00C01A28"/>
    <w:rsid w:val="00C01A99"/>
    <w:rsid w:val="00C01ADB"/>
    <w:rsid w:val="00C01D87"/>
    <w:rsid w:val="00C01DBE"/>
    <w:rsid w:val="00C01E38"/>
    <w:rsid w:val="00C01E54"/>
    <w:rsid w:val="00C01E7A"/>
    <w:rsid w:val="00C01EAB"/>
    <w:rsid w:val="00C01FA4"/>
    <w:rsid w:val="00C02114"/>
    <w:rsid w:val="00C0217D"/>
    <w:rsid w:val="00C0217E"/>
    <w:rsid w:val="00C021EB"/>
    <w:rsid w:val="00C0248C"/>
    <w:rsid w:val="00C02580"/>
    <w:rsid w:val="00C025AB"/>
    <w:rsid w:val="00C02642"/>
    <w:rsid w:val="00C0278B"/>
    <w:rsid w:val="00C029C9"/>
    <w:rsid w:val="00C02A15"/>
    <w:rsid w:val="00C02A52"/>
    <w:rsid w:val="00C02C3F"/>
    <w:rsid w:val="00C02C52"/>
    <w:rsid w:val="00C02CAC"/>
    <w:rsid w:val="00C02E0C"/>
    <w:rsid w:val="00C02E51"/>
    <w:rsid w:val="00C02EC9"/>
    <w:rsid w:val="00C02ECF"/>
    <w:rsid w:val="00C02F08"/>
    <w:rsid w:val="00C0309D"/>
    <w:rsid w:val="00C030EE"/>
    <w:rsid w:val="00C03188"/>
    <w:rsid w:val="00C031B9"/>
    <w:rsid w:val="00C0324A"/>
    <w:rsid w:val="00C032CC"/>
    <w:rsid w:val="00C03396"/>
    <w:rsid w:val="00C0339D"/>
    <w:rsid w:val="00C034BB"/>
    <w:rsid w:val="00C0350A"/>
    <w:rsid w:val="00C03575"/>
    <w:rsid w:val="00C035A5"/>
    <w:rsid w:val="00C035C0"/>
    <w:rsid w:val="00C035F4"/>
    <w:rsid w:val="00C03785"/>
    <w:rsid w:val="00C03839"/>
    <w:rsid w:val="00C03898"/>
    <w:rsid w:val="00C039BA"/>
    <w:rsid w:val="00C03AA8"/>
    <w:rsid w:val="00C03AD1"/>
    <w:rsid w:val="00C03AEB"/>
    <w:rsid w:val="00C03B11"/>
    <w:rsid w:val="00C03B7F"/>
    <w:rsid w:val="00C03B96"/>
    <w:rsid w:val="00C03BA0"/>
    <w:rsid w:val="00C03C44"/>
    <w:rsid w:val="00C03DD1"/>
    <w:rsid w:val="00C03DF1"/>
    <w:rsid w:val="00C04109"/>
    <w:rsid w:val="00C0410A"/>
    <w:rsid w:val="00C0412B"/>
    <w:rsid w:val="00C041B1"/>
    <w:rsid w:val="00C0420C"/>
    <w:rsid w:val="00C04276"/>
    <w:rsid w:val="00C04345"/>
    <w:rsid w:val="00C0436F"/>
    <w:rsid w:val="00C044BC"/>
    <w:rsid w:val="00C0462E"/>
    <w:rsid w:val="00C0467A"/>
    <w:rsid w:val="00C04767"/>
    <w:rsid w:val="00C047EE"/>
    <w:rsid w:val="00C04937"/>
    <w:rsid w:val="00C04A4A"/>
    <w:rsid w:val="00C04AF9"/>
    <w:rsid w:val="00C04C67"/>
    <w:rsid w:val="00C04D7C"/>
    <w:rsid w:val="00C04FB3"/>
    <w:rsid w:val="00C05048"/>
    <w:rsid w:val="00C050D0"/>
    <w:rsid w:val="00C051DE"/>
    <w:rsid w:val="00C052C7"/>
    <w:rsid w:val="00C052F0"/>
    <w:rsid w:val="00C0536D"/>
    <w:rsid w:val="00C054D2"/>
    <w:rsid w:val="00C0550B"/>
    <w:rsid w:val="00C0553C"/>
    <w:rsid w:val="00C055C5"/>
    <w:rsid w:val="00C0568A"/>
    <w:rsid w:val="00C056C9"/>
    <w:rsid w:val="00C056FB"/>
    <w:rsid w:val="00C05794"/>
    <w:rsid w:val="00C05973"/>
    <w:rsid w:val="00C05991"/>
    <w:rsid w:val="00C0599F"/>
    <w:rsid w:val="00C05A53"/>
    <w:rsid w:val="00C05B50"/>
    <w:rsid w:val="00C05CB3"/>
    <w:rsid w:val="00C05CCD"/>
    <w:rsid w:val="00C05D42"/>
    <w:rsid w:val="00C05D77"/>
    <w:rsid w:val="00C05DA0"/>
    <w:rsid w:val="00C05E37"/>
    <w:rsid w:val="00C0601B"/>
    <w:rsid w:val="00C0602F"/>
    <w:rsid w:val="00C06087"/>
    <w:rsid w:val="00C061BE"/>
    <w:rsid w:val="00C0622A"/>
    <w:rsid w:val="00C062BA"/>
    <w:rsid w:val="00C0634E"/>
    <w:rsid w:val="00C06350"/>
    <w:rsid w:val="00C06402"/>
    <w:rsid w:val="00C0643F"/>
    <w:rsid w:val="00C06455"/>
    <w:rsid w:val="00C064FE"/>
    <w:rsid w:val="00C0657B"/>
    <w:rsid w:val="00C06587"/>
    <w:rsid w:val="00C065D0"/>
    <w:rsid w:val="00C066F3"/>
    <w:rsid w:val="00C0674B"/>
    <w:rsid w:val="00C06781"/>
    <w:rsid w:val="00C0680E"/>
    <w:rsid w:val="00C0681F"/>
    <w:rsid w:val="00C0687D"/>
    <w:rsid w:val="00C068F5"/>
    <w:rsid w:val="00C06942"/>
    <w:rsid w:val="00C069D5"/>
    <w:rsid w:val="00C069DB"/>
    <w:rsid w:val="00C06A81"/>
    <w:rsid w:val="00C06B7C"/>
    <w:rsid w:val="00C06B8F"/>
    <w:rsid w:val="00C06C11"/>
    <w:rsid w:val="00C06EA4"/>
    <w:rsid w:val="00C06EC1"/>
    <w:rsid w:val="00C06EC8"/>
    <w:rsid w:val="00C06ED1"/>
    <w:rsid w:val="00C06F16"/>
    <w:rsid w:val="00C06F25"/>
    <w:rsid w:val="00C06F83"/>
    <w:rsid w:val="00C06FD0"/>
    <w:rsid w:val="00C07173"/>
    <w:rsid w:val="00C07175"/>
    <w:rsid w:val="00C071D3"/>
    <w:rsid w:val="00C072E7"/>
    <w:rsid w:val="00C07368"/>
    <w:rsid w:val="00C073BF"/>
    <w:rsid w:val="00C0752D"/>
    <w:rsid w:val="00C07600"/>
    <w:rsid w:val="00C0761E"/>
    <w:rsid w:val="00C076B8"/>
    <w:rsid w:val="00C076F2"/>
    <w:rsid w:val="00C07774"/>
    <w:rsid w:val="00C077C2"/>
    <w:rsid w:val="00C078F5"/>
    <w:rsid w:val="00C0791F"/>
    <w:rsid w:val="00C079D3"/>
    <w:rsid w:val="00C07A2C"/>
    <w:rsid w:val="00C07A78"/>
    <w:rsid w:val="00C07B23"/>
    <w:rsid w:val="00C07B92"/>
    <w:rsid w:val="00C07C61"/>
    <w:rsid w:val="00C07CF6"/>
    <w:rsid w:val="00C07DCC"/>
    <w:rsid w:val="00C07DF0"/>
    <w:rsid w:val="00C07E1F"/>
    <w:rsid w:val="00C07EB5"/>
    <w:rsid w:val="00C07EB8"/>
    <w:rsid w:val="00C07EBC"/>
    <w:rsid w:val="00C07EF8"/>
    <w:rsid w:val="00C07FCE"/>
    <w:rsid w:val="00C07FD7"/>
    <w:rsid w:val="00C10049"/>
    <w:rsid w:val="00C100C7"/>
    <w:rsid w:val="00C101FE"/>
    <w:rsid w:val="00C10217"/>
    <w:rsid w:val="00C1028F"/>
    <w:rsid w:val="00C1045C"/>
    <w:rsid w:val="00C10483"/>
    <w:rsid w:val="00C104B5"/>
    <w:rsid w:val="00C10793"/>
    <w:rsid w:val="00C109F7"/>
    <w:rsid w:val="00C10BAD"/>
    <w:rsid w:val="00C10C5E"/>
    <w:rsid w:val="00C10D13"/>
    <w:rsid w:val="00C10D30"/>
    <w:rsid w:val="00C10DFF"/>
    <w:rsid w:val="00C1119E"/>
    <w:rsid w:val="00C11315"/>
    <w:rsid w:val="00C11459"/>
    <w:rsid w:val="00C114D5"/>
    <w:rsid w:val="00C1159A"/>
    <w:rsid w:val="00C116EC"/>
    <w:rsid w:val="00C11747"/>
    <w:rsid w:val="00C1181F"/>
    <w:rsid w:val="00C1190B"/>
    <w:rsid w:val="00C1199B"/>
    <w:rsid w:val="00C119AE"/>
    <w:rsid w:val="00C11A0B"/>
    <w:rsid w:val="00C11A27"/>
    <w:rsid w:val="00C11B69"/>
    <w:rsid w:val="00C11B99"/>
    <w:rsid w:val="00C11CB0"/>
    <w:rsid w:val="00C11D42"/>
    <w:rsid w:val="00C11FDB"/>
    <w:rsid w:val="00C121CD"/>
    <w:rsid w:val="00C12301"/>
    <w:rsid w:val="00C12350"/>
    <w:rsid w:val="00C1239E"/>
    <w:rsid w:val="00C123BD"/>
    <w:rsid w:val="00C12496"/>
    <w:rsid w:val="00C124CC"/>
    <w:rsid w:val="00C12512"/>
    <w:rsid w:val="00C125F6"/>
    <w:rsid w:val="00C125FF"/>
    <w:rsid w:val="00C1261F"/>
    <w:rsid w:val="00C126C2"/>
    <w:rsid w:val="00C129F7"/>
    <w:rsid w:val="00C12A11"/>
    <w:rsid w:val="00C12A46"/>
    <w:rsid w:val="00C12B45"/>
    <w:rsid w:val="00C12C1D"/>
    <w:rsid w:val="00C12F6F"/>
    <w:rsid w:val="00C12FE1"/>
    <w:rsid w:val="00C130E5"/>
    <w:rsid w:val="00C130EF"/>
    <w:rsid w:val="00C131E8"/>
    <w:rsid w:val="00C13337"/>
    <w:rsid w:val="00C133A1"/>
    <w:rsid w:val="00C13441"/>
    <w:rsid w:val="00C13571"/>
    <w:rsid w:val="00C135CA"/>
    <w:rsid w:val="00C13626"/>
    <w:rsid w:val="00C137ED"/>
    <w:rsid w:val="00C13962"/>
    <w:rsid w:val="00C13A03"/>
    <w:rsid w:val="00C13DDB"/>
    <w:rsid w:val="00C13DDE"/>
    <w:rsid w:val="00C14121"/>
    <w:rsid w:val="00C14137"/>
    <w:rsid w:val="00C14160"/>
    <w:rsid w:val="00C1434E"/>
    <w:rsid w:val="00C1442C"/>
    <w:rsid w:val="00C14487"/>
    <w:rsid w:val="00C1452A"/>
    <w:rsid w:val="00C14640"/>
    <w:rsid w:val="00C146F7"/>
    <w:rsid w:val="00C148BB"/>
    <w:rsid w:val="00C14C07"/>
    <w:rsid w:val="00C14CC7"/>
    <w:rsid w:val="00C14E71"/>
    <w:rsid w:val="00C14E7A"/>
    <w:rsid w:val="00C14E80"/>
    <w:rsid w:val="00C14F66"/>
    <w:rsid w:val="00C150A5"/>
    <w:rsid w:val="00C1529C"/>
    <w:rsid w:val="00C15311"/>
    <w:rsid w:val="00C15361"/>
    <w:rsid w:val="00C15473"/>
    <w:rsid w:val="00C1549A"/>
    <w:rsid w:val="00C154F1"/>
    <w:rsid w:val="00C155C9"/>
    <w:rsid w:val="00C15701"/>
    <w:rsid w:val="00C15752"/>
    <w:rsid w:val="00C1576F"/>
    <w:rsid w:val="00C15776"/>
    <w:rsid w:val="00C159A2"/>
    <w:rsid w:val="00C159C2"/>
    <w:rsid w:val="00C159D1"/>
    <w:rsid w:val="00C159DD"/>
    <w:rsid w:val="00C15AC5"/>
    <w:rsid w:val="00C15ACD"/>
    <w:rsid w:val="00C15B5F"/>
    <w:rsid w:val="00C15B79"/>
    <w:rsid w:val="00C15C1B"/>
    <w:rsid w:val="00C15C2D"/>
    <w:rsid w:val="00C15C38"/>
    <w:rsid w:val="00C15D7D"/>
    <w:rsid w:val="00C15E91"/>
    <w:rsid w:val="00C15EAB"/>
    <w:rsid w:val="00C15FBC"/>
    <w:rsid w:val="00C1608E"/>
    <w:rsid w:val="00C160CD"/>
    <w:rsid w:val="00C16199"/>
    <w:rsid w:val="00C161A3"/>
    <w:rsid w:val="00C161A7"/>
    <w:rsid w:val="00C161DE"/>
    <w:rsid w:val="00C161FD"/>
    <w:rsid w:val="00C16396"/>
    <w:rsid w:val="00C16475"/>
    <w:rsid w:val="00C16530"/>
    <w:rsid w:val="00C165A0"/>
    <w:rsid w:val="00C165AC"/>
    <w:rsid w:val="00C165B2"/>
    <w:rsid w:val="00C165C5"/>
    <w:rsid w:val="00C165E9"/>
    <w:rsid w:val="00C165FF"/>
    <w:rsid w:val="00C16646"/>
    <w:rsid w:val="00C166A2"/>
    <w:rsid w:val="00C166CA"/>
    <w:rsid w:val="00C16810"/>
    <w:rsid w:val="00C16887"/>
    <w:rsid w:val="00C16905"/>
    <w:rsid w:val="00C1690F"/>
    <w:rsid w:val="00C16928"/>
    <w:rsid w:val="00C16DA9"/>
    <w:rsid w:val="00C16FCD"/>
    <w:rsid w:val="00C1700B"/>
    <w:rsid w:val="00C17159"/>
    <w:rsid w:val="00C17171"/>
    <w:rsid w:val="00C171BE"/>
    <w:rsid w:val="00C17517"/>
    <w:rsid w:val="00C1751E"/>
    <w:rsid w:val="00C1760B"/>
    <w:rsid w:val="00C17714"/>
    <w:rsid w:val="00C1795A"/>
    <w:rsid w:val="00C179E2"/>
    <w:rsid w:val="00C17AB3"/>
    <w:rsid w:val="00C17B8C"/>
    <w:rsid w:val="00C17BEB"/>
    <w:rsid w:val="00C17D06"/>
    <w:rsid w:val="00C17EE7"/>
    <w:rsid w:val="00C17FCE"/>
    <w:rsid w:val="00C2004B"/>
    <w:rsid w:val="00C20215"/>
    <w:rsid w:val="00C2042F"/>
    <w:rsid w:val="00C2044B"/>
    <w:rsid w:val="00C2058B"/>
    <w:rsid w:val="00C205A0"/>
    <w:rsid w:val="00C2094E"/>
    <w:rsid w:val="00C20990"/>
    <w:rsid w:val="00C20992"/>
    <w:rsid w:val="00C209C5"/>
    <w:rsid w:val="00C20AE2"/>
    <w:rsid w:val="00C20B07"/>
    <w:rsid w:val="00C20B48"/>
    <w:rsid w:val="00C20C88"/>
    <w:rsid w:val="00C20F7E"/>
    <w:rsid w:val="00C210EF"/>
    <w:rsid w:val="00C210F7"/>
    <w:rsid w:val="00C21117"/>
    <w:rsid w:val="00C21244"/>
    <w:rsid w:val="00C2136F"/>
    <w:rsid w:val="00C213BD"/>
    <w:rsid w:val="00C21519"/>
    <w:rsid w:val="00C21944"/>
    <w:rsid w:val="00C219EF"/>
    <w:rsid w:val="00C21A95"/>
    <w:rsid w:val="00C21B3E"/>
    <w:rsid w:val="00C21B55"/>
    <w:rsid w:val="00C21BC9"/>
    <w:rsid w:val="00C21C58"/>
    <w:rsid w:val="00C21C6F"/>
    <w:rsid w:val="00C21D1C"/>
    <w:rsid w:val="00C21DBA"/>
    <w:rsid w:val="00C21E7C"/>
    <w:rsid w:val="00C21F51"/>
    <w:rsid w:val="00C21FB3"/>
    <w:rsid w:val="00C22044"/>
    <w:rsid w:val="00C2211F"/>
    <w:rsid w:val="00C2228C"/>
    <w:rsid w:val="00C222ED"/>
    <w:rsid w:val="00C222F1"/>
    <w:rsid w:val="00C2243D"/>
    <w:rsid w:val="00C22818"/>
    <w:rsid w:val="00C228F0"/>
    <w:rsid w:val="00C22958"/>
    <w:rsid w:val="00C22989"/>
    <w:rsid w:val="00C22992"/>
    <w:rsid w:val="00C22AC6"/>
    <w:rsid w:val="00C22C28"/>
    <w:rsid w:val="00C22C87"/>
    <w:rsid w:val="00C22D2C"/>
    <w:rsid w:val="00C22DBF"/>
    <w:rsid w:val="00C22E7E"/>
    <w:rsid w:val="00C22ECC"/>
    <w:rsid w:val="00C22ED0"/>
    <w:rsid w:val="00C22F04"/>
    <w:rsid w:val="00C22F60"/>
    <w:rsid w:val="00C23026"/>
    <w:rsid w:val="00C232DC"/>
    <w:rsid w:val="00C23357"/>
    <w:rsid w:val="00C23506"/>
    <w:rsid w:val="00C23589"/>
    <w:rsid w:val="00C235D4"/>
    <w:rsid w:val="00C2361D"/>
    <w:rsid w:val="00C2369D"/>
    <w:rsid w:val="00C236A0"/>
    <w:rsid w:val="00C236DC"/>
    <w:rsid w:val="00C237D2"/>
    <w:rsid w:val="00C2380E"/>
    <w:rsid w:val="00C2385E"/>
    <w:rsid w:val="00C238C8"/>
    <w:rsid w:val="00C2397A"/>
    <w:rsid w:val="00C23AA1"/>
    <w:rsid w:val="00C23AC8"/>
    <w:rsid w:val="00C23B39"/>
    <w:rsid w:val="00C23D90"/>
    <w:rsid w:val="00C23E3C"/>
    <w:rsid w:val="00C23E50"/>
    <w:rsid w:val="00C23EB9"/>
    <w:rsid w:val="00C23F22"/>
    <w:rsid w:val="00C240FE"/>
    <w:rsid w:val="00C2410B"/>
    <w:rsid w:val="00C241C0"/>
    <w:rsid w:val="00C242E1"/>
    <w:rsid w:val="00C243B7"/>
    <w:rsid w:val="00C24401"/>
    <w:rsid w:val="00C24733"/>
    <w:rsid w:val="00C2477A"/>
    <w:rsid w:val="00C249E7"/>
    <w:rsid w:val="00C249ED"/>
    <w:rsid w:val="00C24B53"/>
    <w:rsid w:val="00C24B7D"/>
    <w:rsid w:val="00C24C78"/>
    <w:rsid w:val="00C24D90"/>
    <w:rsid w:val="00C24EEB"/>
    <w:rsid w:val="00C24EFE"/>
    <w:rsid w:val="00C24FB1"/>
    <w:rsid w:val="00C25112"/>
    <w:rsid w:val="00C2525F"/>
    <w:rsid w:val="00C25276"/>
    <w:rsid w:val="00C25287"/>
    <w:rsid w:val="00C254D9"/>
    <w:rsid w:val="00C25522"/>
    <w:rsid w:val="00C2552B"/>
    <w:rsid w:val="00C25565"/>
    <w:rsid w:val="00C257D7"/>
    <w:rsid w:val="00C258FC"/>
    <w:rsid w:val="00C25A3D"/>
    <w:rsid w:val="00C25BA1"/>
    <w:rsid w:val="00C25CBA"/>
    <w:rsid w:val="00C25CC5"/>
    <w:rsid w:val="00C25D59"/>
    <w:rsid w:val="00C25DB1"/>
    <w:rsid w:val="00C25F7F"/>
    <w:rsid w:val="00C26055"/>
    <w:rsid w:val="00C26239"/>
    <w:rsid w:val="00C26319"/>
    <w:rsid w:val="00C26421"/>
    <w:rsid w:val="00C26469"/>
    <w:rsid w:val="00C26547"/>
    <w:rsid w:val="00C26592"/>
    <w:rsid w:val="00C2673A"/>
    <w:rsid w:val="00C26854"/>
    <w:rsid w:val="00C26862"/>
    <w:rsid w:val="00C26889"/>
    <w:rsid w:val="00C268E5"/>
    <w:rsid w:val="00C268FC"/>
    <w:rsid w:val="00C26957"/>
    <w:rsid w:val="00C269BC"/>
    <w:rsid w:val="00C26A18"/>
    <w:rsid w:val="00C26B23"/>
    <w:rsid w:val="00C26B9B"/>
    <w:rsid w:val="00C26BAC"/>
    <w:rsid w:val="00C26C67"/>
    <w:rsid w:val="00C26D3E"/>
    <w:rsid w:val="00C26ED0"/>
    <w:rsid w:val="00C26FB0"/>
    <w:rsid w:val="00C26FD5"/>
    <w:rsid w:val="00C27044"/>
    <w:rsid w:val="00C27113"/>
    <w:rsid w:val="00C27177"/>
    <w:rsid w:val="00C272BC"/>
    <w:rsid w:val="00C27316"/>
    <w:rsid w:val="00C27366"/>
    <w:rsid w:val="00C274E3"/>
    <w:rsid w:val="00C274EB"/>
    <w:rsid w:val="00C2759C"/>
    <w:rsid w:val="00C275A2"/>
    <w:rsid w:val="00C27701"/>
    <w:rsid w:val="00C27777"/>
    <w:rsid w:val="00C278A8"/>
    <w:rsid w:val="00C279ED"/>
    <w:rsid w:val="00C27A86"/>
    <w:rsid w:val="00C27B4F"/>
    <w:rsid w:val="00C27C33"/>
    <w:rsid w:val="00C27C45"/>
    <w:rsid w:val="00C27CFB"/>
    <w:rsid w:val="00C301C3"/>
    <w:rsid w:val="00C30276"/>
    <w:rsid w:val="00C30296"/>
    <w:rsid w:val="00C30426"/>
    <w:rsid w:val="00C30433"/>
    <w:rsid w:val="00C304BF"/>
    <w:rsid w:val="00C30501"/>
    <w:rsid w:val="00C30511"/>
    <w:rsid w:val="00C3070D"/>
    <w:rsid w:val="00C30711"/>
    <w:rsid w:val="00C30712"/>
    <w:rsid w:val="00C30867"/>
    <w:rsid w:val="00C3094A"/>
    <w:rsid w:val="00C30950"/>
    <w:rsid w:val="00C30B91"/>
    <w:rsid w:val="00C30B95"/>
    <w:rsid w:val="00C30C21"/>
    <w:rsid w:val="00C30CF1"/>
    <w:rsid w:val="00C30DE4"/>
    <w:rsid w:val="00C31050"/>
    <w:rsid w:val="00C31106"/>
    <w:rsid w:val="00C3114D"/>
    <w:rsid w:val="00C31197"/>
    <w:rsid w:val="00C311F7"/>
    <w:rsid w:val="00C313F5"/>
    <w:rsid w:val="00C3141E"/>
    <w:rsid w:val="00C31462"/>
    <w:rsid w:val="00C31482"/>
    <w:rsid w:val="00C314A7"/>
    <w:rsid w:val="00C31575"/>
    <w:rsid w:val="00C3159C"/>
    <w:rsid w:val="00C315A2"/>
    <w:rsid w:val="00C315C9"/>
    <w:rsid w:val="00C316BD"/>
    <w:rsid w:val="00C31861"/>
    <w:rsid w:val="00C31890"/>
    <w:rsid w:val="00C318C6"/>
    <w:rsid w:val="00C319CD"/>
    <w:rsid w:val="00C31AE6"/>
    <w:rsid w:val="00C31B39"/>
    <w:rsid w:val="00C31C51"/>
    <w:rsid w:val="00C31D14"/>
    <w:rsid w:val="00C31E9D"/>
    <w:rsid w:val="00C3200F"/>
    <w:rsid w:val="00C320BF"/>
    <w:rsid w:val="00C32136"/>
    <w:rsid w:val="00C321F2"/>
    <w:rsid w:val="00C32223"/>
    <w:rsid w:val="00C32387"/>
    <w:rsid w:val="00C325C2"/>
    <w:rsid w:val="00C32616"/>
    <w:rsid w:val="00C32691"/>
    <w:rsid w:val="00C327EF"/>
    <w:rsid w:val="00C32800"/>
    <w:rsid w:val="00C32857"/>
    <w:rsid w:val="00C32936"/>
    <w:rsid w:val="00C329D9"/>
    <w:rsid w:val="00C32A22"/>
    <w:rsid w:val="00C32A93"/>
    <w:rsid w:val="00C32B49"/>
    <w:rsid w:val="00C32CE2"/>
    <w:rsid w:val="00C32D4B"/>
    <w:rsid w:val="00C32E19"/>
    <w:rsid w:val="00C32E24"/>
    <w:rsid w:val="00C32F6F"/>
    <w:rsid w:val="00C32FC2"/>
    <w:rsid w:val="00C3307D"/>
    <w:rsid w:val="00C330D3"/>
    <w:rsid w:val="00C330EA"/>
    <w:rsid w:val="00C3323C"/>
    <w:rsid w:val="00C33504"/>
    <w:rsid w:val="00C3357A"/>
    <w:rsid w:val="00C335DE"/>
    <w:rsid w:val="00C336FB"/>
    <w:rsid w:val="00C33739"/>
    <w:rsid w:val="00C337B6"/>
    <w:rsid w:val="00C33937"/>
    <w:rsid w:val="00C33B9B"/>
    <w:rsid w:val="00C33BF3"/>
    <w:rsid w:val="00C33BF6"/>
    <w:rsid w:val="00C33CFF"/>
    <w:rsid w:val="00C33D6A"/>
    <w:rsid w:val="00C33DD8"/>
    <w:rsid w:val="00C33E0A"/>
    <w:rsid w:val="00C33E27"/>
    <w:rsid w:val="00C33E90"/>
    <w:rsid w:val="00C33EF7"/>
    <w:rsid w:val="00C34089"/>
    <w:rsid w:val="00C341B1"/>
    <w:rsid w:val="00C34221"/>
    <w:rsid w:val="00C34271"/>
    <w:rsid w:val="00C34395"/>
    <w:rsid w:val="00C343E5"/>
    <w:rsid w:val="00C34499"/>
    <w:rsid w:val="00C344BA"/>
    <w:rsid w:val="00C344F2"/>
    <w:rsid w:val="00C3450C"/>
    <w:rsid w:val="00C34625"/>
    <w:rsid w:val="00C34653"/>
    <w:rsid w:val="00C346CA"/>
    <w:rsid w:val="00C347CE"/>
    <w:rsid w:val="00C34803"/>
    <w:rsid w:val="00C3481B"/>
    <w:rsid w:val="00C3490C"/>
    <w:rsid w:val="00C34919"/>
    <w:rsid w:val="00C349EA"/>
    <w:rsid w:val="00C34AFC"/>
    <w:rsid w:val="00C34C14"/>
    <w:rsid w:val="00C34C53"/>
    <w:rsid w:val="00C34C75"/>
    <w:rsid w:val="00C34E06"/>
    <w:rsid w:val="00C350ED"/>
    <w:rsid w:val="00C35113"/>
    <w:rsid w:val="00C35288"/>
    <w:rsid w:val="00C35292"/>
    <w:rsid w:val="00C3529A"/>
    <w:rsid w:val="00C352A5"/>
    <w:rsid w:val="00C352C7"/>
    <w:rsid w:val="00C352F4"/>
    <w:rsid w:val="00C3549B"/>
    <w:rsid w:val="00C354C4"/>
    <w:rsid w:val="00C355B0"/>
    <w:rsid w:val="00C355BE"/>
    <w:rsid w:val="00C356A8"/>
    <w:rsid w:val="00C35993"/>
    <w:rsid w:val="00C35AE0"/>
    <w:rsid w:val="00C35B04"/>
    <w:rsid w:val="00C35B2B"/>
    <w:rsid w:val="00C35BAA"/>
    <w:rsid w:val="00C35BFA"/>
    <w:rsid w:val="00C35CA3"/>
    <w:rsid w:val="00C35FE2"/>
    <w:rsid w:val="00C36079"/>
    <w:rsid w:val="00C361CC"/>
    <w:rsid w:val="00C36448"/>
    <w:rsid w:val="00C36578"/>
    <w:rsid w:val="00C3666D"/>
    <w:rsid w:val="00C3667C"/>
    <w:rsid w:val="00C366E5"/>
    <w:rsid w:val="00C36749"/>
    <w:rsid w:val="00C367BC"/>
    <w:rsid w:val="00C36833"/>
    <w:rsid w:val="00C36B8D"/>
    <w:rsid w:val="00C36BC4"/>
    <w:rsid w:val="00C36C83"/>
    <w:rsid w:val="00C36CF4"/>
    <w:rsid w:val="00C36D2D"/>
    <w:rsid w:val="00C36DDD"/>
    <w:rsid w:val="00C36F26"/>
    <w:rsid w:val="00C3709A"/>
    <w:rsid w:val="00C3713C"/>
    <w:rsid w:val="00C371D6"/>
    <w:rsid w:val="00C37212"/>
    <w:rsid w:val="00C37217"/>
    <w:rsid w:val="00C37291"/>
    <w:rsid w:val="00C37343"/>
    <w:rsid w:val="00C37417"/>
    <w:rsid w:val="00C37452"/>
    <w:rsid w:val="00C375D7"/>
    <w:rsid w:val="00C377AA"/>
    <w:rsid w:val="00C37858"/>
    <w:rsid w:val="00C37A6D"/>
    <w:rsid w:val="00C37A9C"/>
    <w:rsid w:val="00C37AB5"/>
    <w:rsid w:val="00C37B4F"/>
    <w:rsid w:val="00C37B75"/>
    <w:rsid w:val="00C37E73"/>
    <w:rsid w:val="00C37FD2"/>
    <w:rsid w:val="00C4004E"/>
    <w:rsid w:val="00C401A3"/>
    <w:rsid w:val="00C40251"/>
    <w:rsid w:val="00C40299"/>
    <w:rsid w:val="00C4034F"/>
    <w:rsid w:val="00C4038A"/>
    <w:rsid w:val="00C4043E"/>
    <w:rsid w:val="00C404A2"/>
    <w:rsid w:val="00C40527"/>
    <w:rsid w:val="00C40692"/>
    <w:rsid w:val="00C407CE"/>
    <w:rsid w:val="00C408B1"/>
    <w:rsid w:val="00C408B7"/>
    <w:rsid w:val="00C40954"/>
    <w:rsid w:val="00C40A28"/>
    <w:rsid w:val="00C40AF0"/>
    <w:rsid w:val="00C40C1F"/>
    <w:rsid w:val="00C40C61"/>
    <w:rsid w:val="00C40CCC"/>
    <w:rsid w:val="00C40CCD"/>
    <w:rsid w:val="00C40E1D"/>
    <w:rsid w:val="00C40EAD"/>
    <w:rsid w:val="00C40EE5"/>
    <w:rsid w:val="00C40FBB"/>
    <w:rsid w:val="00C41127"/>
    <w:rsid w:val="00C411A3"/>
    <w:rsid w:val="00C4126D"/>
    <w:rsid w:val="00C41415"/>
    <w:rsid w:val="00C414C2"/>
    <w:rsid w:val="00C41508"/>
    <w:rsid w:val="00C41596"/>
    <w:rsid w:val="00C4159A"/>
    <w:rsid w:val="00C415C9"/>
    <w:rsid w:val="00C41ABF"/>
    <w:rsid w:val="00C41CBD"/>
    <w:rsid w:val="00C41DBD"/>
    <w:rsid w:val="00C41E46"/>
    <w:rsid w:val="00C41E52"/>
    <w:rsid w:val="00C41FEF"/>
    <w:rsid w:val="00C41FF3"/>
    <w:rsid w:val="00C420CB"/>
    <w:rsid w:val="00C420F9"/>
    <w:rsid w:val="00C42102"/>
    <w:rsid w:val="00C4215E"/>
    <w:rsid w:val="00C42241"/>
    <w:rsid w:val="00C42294"/>
    <w:rsid w:val="00C4269D"/>
    <w:rsid w:val="00C426E2"/>
    <w:rsid w:val="00C426E8"/>
    <w:rsid w:val="00C426ED"/>
    <w:rsid w:val="00C42958"/>
    <w:rsid w:val="00C429BE"/>
    <w:rsid w:val="00C42A49"/>
    <w:rsid w:val="00C42A90"/>
    <w:rsid w:val="00C42ADF"/>
    <w:rsid w:val="00C42AF8"/>
    <w:rsid w:val="00C42B5B"/>
    <w:rsid w:val="00C42C4A"/>
    <w:rsid w:val="00C42D65"/>
    <w:rsid w:val="00C42D69"/>
    <w:rsid w:val="00C42DEC"/>
    <w:rsid w:val="00C42E38"/>
    <w:rsid w:val="00C42E77"/>
    <w:rsid w:val="00C42E7B"/>
    <w:rsid w:val="00C43020"/>
    <w:rsid w:val="00C430C1"/>
    <w:rsid w:val="00C4311E"/>
    <w:rsid w:val="00C43192"/>
    <w:rsid w:val="00C432CC"/>
    <w:rsid w:val="00C4338F"/>
    <w:rsid w:val="00C4342E"/>
    <w:rsid w:val="00C4348D"/>
    <w:rsid w:val="00C435D8"/>
    <w:rsid w:val="00C43603"/>
    <w:rsid w:val="00C43631"/>
    <w:rsid w:val="00C436A7"/>
    <w:rsid w:val="00C437E0"/>
    <w:rsid w:val="00C43833"/>
    <w:rsid w:val="00C43896"/>
    <w:rsid w:val="00C439E5"/>
    <w:rsid w:val="00C439F3"/>
    <w:rsid w:val="00C43A38"/>
    <w:rsid w:val="00C43ACE"/>
    <w:rsid w:val="00C43B41"/>
    <w:rsid w:val="00C43B55"/>
    <w:rsid w:val="00C43BC7"/>
    <w:rsid w:val="00C43C69"/>
    <w:rsid w:val="00C43DB1"/>
    <w:rsid w:val="00C43DC8"/>
    <w:rsid w:val="00C43F36"/>
    <w:rsid w:val="00C43FE7"/>
    <w:rsid w:val="00C440C7"/>
    <w:rsid w:val="00C440EC"/>
    <w:rsid w:val="00C44301"/>
    <w:rsid w:val="00C44411"/>
    <w:rsid w:val="00C44582"/>
    <w:rsid w:val="00C445C0"/>
    <w:rsid w:val="00C44604"/>
    <w:rsid w:val="00C44692"/>
    <w:rsid w:val="00C448D9"/>
    <w:rsid w:val="00C448EB"/>
    <w:rsid w:val="00C4495F"/>
    <w:rsid w:val="00C44977"/>
    <w:rsid w:val="00C44AC2"/>
    <w:rsid w:val="00C44BAF"/>
    <w:rsid w:val="00C44BE2"/>
    <w:rsid w:val="00C44D30"/>
    <w:rsid w:val="00C44DA5"/>
    <w:rsid w:val="00C44E4B"/>
    <w:rsid w:val="00C44E60"/>
    <w:rsid w:val="00C45051"/>
    <w:rsid w:val="00C450E9"/>
    <w:rsid w:val="00C4519B"/>
    <w:rsid w:val="00C4529C"/>
    <w:rsid w:val="00C452C5"/>
    <w:rsid w:val="00C45367"/>
    <w:rsid w:val="00C45438"/>
    <w:rsid w:val="00C454C7"/>
    <w:rsid w:val="00C45523"/>
    <w:rsid w:val="00C4593B"/>
    <w:rsid w:val="00C45A07"/>
    <w:rsid w:val="00C45B89"/>
    <w:rsid w:val="00C45B93"/>
    <w:rsid w:val="00C45BD3"/>
    <w:rsid w:val="00C45C4F"/>
    <w:rsid w:val="00C45CED"/>
    <w:rsid w:val="00C45D53"/>
    <w:rsid w:val="00C45E1F"/>
    <w:rsid w:val="00C45E59"/>
    <w:rsid w:val="00C45EF1"/>
    <w:rsid w:val="00C45F2E"/>
    <w:rsid w:val="00C46007"/>
    <w:rsid w:val="00C46010"/>
    <w:rsid w:val="00C460A9"/>
    <w:rsid w:val="00C461DD"/>
    <w:rsid w:val="00C461F4"/>
    <w:rsid w:val="00C462A6"/>
    <w:rsid w:val="00C462EF"/>
    <w:rsid w:val="00C46499"/>
    <w:rsid w:val="00C464AB"/>
    <w:rsid w:val="00C4656F"/>
    <w:rsid w:val="00C46579"/>
    <w:rsid w:val="00C465E3"/>
    <w:rsid w:val="00C46680"/>
    <w:rsid w:val="00C467E9"/>
    <w:rsid w:val="00C468A1"/>
    <w:rsid w:val="00C46A20"/>
    <w:rsid w:val="00C46A83"/>
    <w:rsid w:val="00C46B68"/>
    <w:rsid w:val="00C46BEE"/>
    <w:rsid w:val="00C46C66"/>
    <w:rsid w:val="00C46D5A"/>
    <w:rsid w:val="00C46DE3"/>
    <w:rsid w:val="00C46EA9"/>
    <w:rsid w:val="00C46EBF"/>
    <w:rsid w:val="00C46ECC"/>
    <w:rsid w:val="00C46EE3"/>
    <w:rsid w:val="00C46F8C"/>
    <w:rsid w:val="00C47319"/>
    <w:rsid w:val="00C47352"/>
    <w:rsid w:val="00C47464"/>
    <w:rsid w:val="00C474E9"/>
    <w:rsid w:val="00C47626"/>
    <w:rsid w:val="00C4762C"/>
    <w:rsid w:val="00C47670"/>
    <w:rsid w:val="00C476AE"/>
    <w:rsid w:val="00C477B8"/>
    <w:rsid w:val="00C47802"/>
    <w:rsid w:val="00C478FC"/>
    <w:rsid w:val="00C47B0F"/>
    <w:rsid w:val="00C47B8B"/>
    <w:rsid w:val="00C47C6C"/>
    <w:rsid w:val="00C47CD8"/>
    <w:rsid w:val="00C47D10"/>
    <w:rsid w:val="00C47D59"/>
    <w:rsid w:val="00C47E27"/>
    <w:rsid w:val="00C50084"/>
    <w:rsid w:val="00C5009A"/>
    <w:rsid w:val="00C5010A"/>
    <w:rsid w:val="00C5021C"/>
    <w:rsid w:val="00C502B4"/>
    <w:rsid w:val="00C50366"/>
    <w:rsid w:val="00C50375"/>
    <w:rsid w:val="00C503AE"/>
    <w:rsid w:val="00C5050E"/>
    <w:rsid w:val="00C505D1"/>
    <w:rsid w:val="00C506E6"/>
    <w:rsid w:val="00C507C9"/>
    <w:rsid w:val="00C5093C"/>
    <w:rsid w:val="00C50ADD"/>
    <w:rsid w:val="00C50AF9"/>
    <w:rsid w:val="00C50D8E"/>
    <w:rsid w:val="00C50DD1"/>
    <w:rsid w:val="00C50DDA"/>
    <w:rsid w:val="00C50E9D"/>
    <w:rsid w:val="00C50EB1"/>
    <w:rsid w:val="00C50F70"/>
    <w:rsid w:val="00C50FD0"/>
    <w:rsid w:val="00C511D0"/>
    <w:rsid w:val="00C511EC"/>
    <w:rsid w:val="00C511F8"/>
    <w:rsid w:val="00C51247"/>
    <w:rsid w:val="00C512BA"/>
    <w:rsid w:val="00C512E6"/>
    <w:rsid w:val="00C51307"/>
    <w:rsid w:val="00C5133D"/>
    <w:rsid w:val="00C51340"/>
    <w:rsid w:val="00C513CB"/>
    <w:rsid w:val="00C51467"/>
    <w:rsid w:val="00C51526"/>
    <w:rsid w:val="00C51529"/>
    <w:rsid w:val="00C51765"/>
    <w:rsid w:val="00C51807"/>
    <w:rsid w:val="00C51815"/>
    <w:rsid w:val="00C518B7"/>
    <w:rsid w:val="00C518CF"/>
    <w:rsid w:val="00C51982"/>
    <w:rsid w:val="00C51A01"/>
    <w:rsid w:val="00C51A07"/>
    <w:rsid w:val="00C51A89"/>
    <w:rsid w:val="00C51C44"/>
    <w:rsid w:val="00C51C7D"/>
    <w:rsid w:val="00C51D17"/>
    <w:rsid w:val="00C51D1B"/>
    <w:rsid w:val="00C51D7F"/>
    <w:rsid w:val="00C51F8C"/>
    <w:rsid w:val="00C51FBB"/>
    <w:rsid w:val="00C520AC"/>
    <w:rsid w:val="00C520F1"/>
    <w:rsid w:val="00C52121"/>
    <w:rsid w:val="00C52191"/>
    <w:rsid w:val="00C5225D"/>
    <w:rsid w:val="00C523DD"/>
    <w:rsid w:val="00C52408"/>
    <w:rsid w:val="00C52476"/>
    <w:rsid w:val="00C52581"/>
    <w:rsid w:val="00C525F8"/>
    <w:rsid w:val="00C5271A"/>
    <w:rsid w:val="00C52724"/>
    <w:rsid w:val="00C52752"/>
    <w:rsid w:val="00C527A0"/>
    <w:rsid w:val="00C527FA"/>
    <w:rsid w:val="00C528D5"/>
    <w:rsid w:val="00C52921"/>
    <w:rsid w:val="00C5297F"/>
    <w:rsid w:val="00C52989"/>
    <w:rsid w:val="00C529E6"/>
    <w:rsid w:val="00C52A19"/>
    <w:rsid w:val="00C52ABF"/>
    <w:rsid w:val="00C52B46"/>
    <w:rsid w:val="00C52D9A"/>
    <w:rsid w:val="00C52DBD"/>
    <w:rsid w:val="00C52F74"/>
    <w:rsid w:val="00C52F9F"/>
    <w:rsid w:val="00C52FD0"/>
    <w:rsid w:val="00C5309D"/>
    <w:rsid w:val="00C530D1"/>
    <w:rsid w:val="00C5318C"/>
    <w:rsid w:val="00C532A8"/>
    <w:rsid w:val="00C53332"/>
    <w:rsid w:val="00C53411"/>
    <w:rsid w:val="00C53475"/>
    <w:rsid w:val="00C53510"/>
    <w:rsid w:val="00C53544"/>
    <w:rsid w:val="00C535B8"/>
    <w:rsid w:val="00C535F2"/>
    <w:rsid w:val="00C5379F"/>
    <w:rsid w:val="00C537E2"/>
    <w:rsid w:val="00C53806"/>
    <w:rsid w:val="00C538B2"/>
    <w:rsid w:val="00C538CD"/>
    <w:rsid w:val="00C539AB"/>
    <w:rsid w:val="00C53A5F"/>
    <w:rsid w:val="00C53B26"/>
    <w:rsid w:val="00C53B95"/>
    <w:rsid w:val="00C53CDD"/>
    <w:rsid w:val="00C53DA4"/>
    <w:rsid w:val="00C53E33"/>
    <w:rsid w:val="00C53FD1"/>
    <w:rsid w:val="00C54038"/>
    <w:rsid w:val="00C54071"/>
    <w:rsid w:val="00C54199"/>
    <w:rsid w:val="00C54215"/>
    <w:rsid w:val="00C543D2"/>
    <w:rsid w:val="00C54494"/>
    <w:rsid w:val="00C544E8"/>
    <w:rsid w:val="00C54575"/>
    <w:rsid w:val="00C545D9"/>
    <w:rsid w:val="00C545E5"/>
    <w:rsid w:val="00C545F3"/>
    <w:rsid w:val="00C5462F"/>
    <w:rsid w:val="00C54733"/>
    <w:rsid w:val="00C549A7"/>
    <w:rsid w:val="00C54A76"/>
    <w:rsid w:val="00C54BA8"/>
    <w:rsid w:val="00C54CC1"/>
    <w:rsid w:val="00C54D9B"/>
    <w:rsid w:val="00C54E40"/>
    <w:rsid w:val="00C54F29"/>
    <w:rsid w:val="00C54F45"/>
    <w:rsid w:val="00C54F5F"/>
    <w:rsid w:val="00C5519E"/>
    <w:rsid w:val="00C551DC"/>
    <w:rsid w:val="00C551F8"/>
    <w:rsid w:val="00C55320"/>
    <w:rsid w:val="00C554A8"/>
    <w:rsid w:val="00C554B4"/>
    <w:rsid w:val="00C555B8"/>
    <w:rsid w:val="00C55661"/>
    <w:rsid w:val="00C556AE"/>
    <w:rsid w:val="00C55731"/>
    <w:rsid w:val="00C55734"/>
    <w:rsid w:val="00C55859"/>
    <w:rsid w:val="00C55A24"/>
    <w:rsid w:val="00C55C2E"/>
    <w:rsid w:val="00C55C4A"/>
    <w:rsid w:val="00C55C57"/>
    <w:rsid w:val="00C55C5E"/>
    <w:rsid w:val="00C55D90"/>
    <w:rsid w:val="00C55D93"/>
    <w:rsid w:val="00C55E14"/>
    <w:rsid w:val="00C55EF5"/>
    <w:rsid w:val="00C55EF8"/>
    <w:rsid w:val="00C5602B"/>
    <w:rsid w:val="00C5619D"/>
    <w:rsid w:val="00C561D8"/>
    <w:rsid w:val="00C562EB"/>
    <w:rsid w:val="00C5642D"/>
    <w:rsid w:val="00C5653A"/>
    <w:rsid w:val="00C5664B"/>
    <w:rsid w:val="00C56710"/>
    <w:rsid w:val="00C56730"/>
    <w:rsid w:val="00C56747"/>
    <w:rsid w:val="00C568BD"/>
    <w:rsid w:val="00C5692D"/>
    <w:rsid w:val="00C56AE5"/>
    <w:rsid w:val="00C56B58"/>
    <w:rsid w:val="00C56D90"/>
    <w:rsid w:val="00C56E0D"/>
    <w:rsid w:val="00C56E2A"/>
    <w:rsid w:val="00C56EC1"/>
    <w:rsid w:val="00C57093"/>
    <w:rsid w:val="00C57200"/>
    <w:rsid w:val="00C57282"/>
    <w:rsid w:val="00C57296"/>
    <w:rsid w:val="00C572B3"/>
    <w:rsid w:val="00C57484"/>
    <w:rsid w:val="00C576E8"/>
    <w:rsid w:val="00C57708"/>
    <w:rsid w:val="00C57799"/>
    <w:rsid w:val="00C577D8"/>
    <w:rsid w:val="00C579D2"/>
    <w:rsid w:val="00C57B7D"/>
    <w:rsid w:val="00C57C00"/>
    <w:rsid w:val="00C57CE6"/>
    <w:rsid w:val="00C57D2B"/>
    <w:rsid w:val="00C57D5B"/>
    <w:rsid w:val="00C57DFD"/>
    <w:rsid w:val="00C57E72"/>
    <w:rsid w:val="00C600BB"/>
    <w:rsid w:val="00C60104"/>
    <w:rsid w:val="00C601D6"/>
    <w:rsid w:val="00C6024C"/>
    <w:rsid w:val="00C60264"/>
    <w:rsid w:val="00C602A4"/>
    <w:rsid w:val="00C60322"/>
    <w:rsid w:val="00C60356"/>
    <w:rsid w:val="00C6045F"/>
    <w:rsid w:val="00C604AC"/>
    <w:rsid w:val="00C604B1"/>
    <w:rsid w:val="00C60744"/>
    <w:rsid w:val="00C6081C"/>
    <w:rsid w:val="00C60A06"/>
    <w:rsid w:val="00C60B9F"/>
    <w:rsid w:val="00C60CA4"/>
    <w:rsid w:val="00C60D36"/>
    <w:rsid w:val="00C60DA0"/>
    <w:rsid w:val="00C60DC6"/>
    <w:rsid w:val="00C60DF4"/>
    <w:rsid w:val="00C60E3F"/>
    <w:rsid w:val="00C60E43"/>
    <w:rsid w:val="00C60F72"/>
    <w:rsid w:val="00C61080"/>
    <w:rsid w:val="00C610C8"/>
    <w:rsid w:val="00C6122D"/>
    <w:rsid w:val="00C61251"/>
    <w:rsid w:val="00C61329"/>
    <w:rsid w:val="00C614C9"/>
    <w:rsid w:val="00C61652"/>
    <w:rsid w:val="00C6190C"/>
    <w:rsid w:val="00C6195D"/>
    <w:rsid w:val="00C61A7A"/>
    <w:rsid w:val="00C61B1A"/>
    <w:rsid w:val="00C61B1C"/>
    <w:rsid w:val="00C61B33"/>
    <w:rsid w:val="00C61B45"/>
    <w:rsid w:val="00C61B4D"/>
    <w:rsid w:val="00C61C8D"/>
    <w:rsid w:val="00C61CC2"/>
    <w:rsid w:val="00C61EFA"/>
    <w:rsid w:val="00C61F2A"/>
    <w:rsid w:val="00C620AA"/>
    <w:rsid w:val="00C620BA"/>
    <w:rsid w:val="00C6221E"/>
    <w:rsid w:val="00C622B1"/>
    <w:rsid w:val="00C622B2"/>
    <w:rsid w:val="00C622BE"/>
    <w:rsid w:val="00C62326"/>
    <w:rsid w:val="00C62436"/>
    <w:rsid w:val="00C62466"/>
    <w:rsid w:val="00C624B0"/>
    <w:rsid w:val="00C625E1"/>
    <w:rsid w:val="00C62668"/>
    <w:rsid w:val="00C626C7"/>
    <w:rsid w:val="00C62815"/>
    <w:rsid w:val="00C62908"/>
    <w:rsid w:val="00C62A5A"/>
    <w:rsid w:val="00C62B62"/>
    <w:rsid w:val="00C62B95"/>
    <w:rsid w:val="00C62D2A"/>
    <w:rsid w:val="00C62DFF"/>
    <w:rsid w:val="00C62E6F"/>
    <w:rsid w:val="00C62F4D"/>
    <w:rsid w:val="00C62F7E"/>
    <w:rsid w:val="00C630B5"/>
    <w:rsid w:val="00C63472"/>
    <w:rsid w:val="00C63548"/>
    <w:rsid w:val="00C63574"/>
    <w:rsid w:val="00C63583"/>
    <w:rsid w:val="00C636A5"/>
    <w:rsid w:val="00C636AE"/>
    <w:rsid w:val="00C636D1"/>
    <w:rsid w:val="00C636F3"/>
    <w:rsid w:val="00C6376B"/>
    <w:rsid w:val="00C637CA"/>
    <w:rsid w:val="00C6381A"/>
    <w:rsid w:val="00C63A20"/>
    <w:rsid w:val="00C63AD2"/>
    <w:rsid w:val="00C63B01"/>
    <w:rsid w:val="00C63B47"/>
    <w:rsid w:val="00C63B83"/>
    <w:rsid w:val="00C63BA7"/>
    <w:rsid w:val="00C63BD7"/>
    <w:rsid w:val="00C63C3B"/>
    <w:rsid w:val="00C63D0B"/>
    <w:rsid w:val="00C63D5B"/>
    <w:rsid w:val="00C63E19"/>
    <w:rsid w:val="00C63E3C"/>
    <w:rsid w:val="00C63E52"/>
    <w:rsid w:val="00C63FBA"/>
    <w:rsid w:val="00C63FF9"/>
    <w:rsid w:val="00C640BE"/>
    <w:rsid w:val="00C640E6"/>
    <w:rsid w:val="00C6424D"/>
    <w:rsid w:val="00C64382"/>
    <w:rsid w:val="00C643CA"/>
    <w:rsid w:val="00C64447"/>
    <w:rsid w:val="00C644FE"/>
    <w:rsid w:val="00C6452D"/>
    <w:rsid w:val="00C645CC"/>
    <w:rsid w:val="00C6461A"/>
    <w:rsid w:val="00C6469A"/>
    <w:rsid w:val="00C6470D"/>
    <w:rsid w:val="00C6474C"/>
    <w:rsid w:val="00C64811"/>
    <w:rsid w:val="00C64889"/>
    <w:rsid w:val="00C648DA"/>
    <w:rsid w:val="00C648E1"/>
    <w:rsid w:val="00C6498A"/>
    <w:rsid w:val="00C64AC3"/>
    <w:rsid w:val="00C64ADA"/>
    <w:rsid w:val="00C64BB3"/>
    <w:rsid w:val="00C64C99"/>
    <w:rsid w:val="00C64CE5"/>
    <w:rsid w:val="00C64D07"/>
    <w:rsid w:val="00C64D99"/>
    <w:rsid w:val="00C64DD4"/>
    <w:rsid w:val="00C64E06"/>
    <w:rsid w:val="00C64FEE"/>
    <w:rsid w:val="00C6504A"/>
    <w:rsid w:val="00C65065"/>
    <w:rsid w:val="00C650E1"/>
    <w:rsid w:val="00C651D6"/>
    <w:rsid w:val="00C65204"/>
    <w:rsid w:val="00C65274"/>
    <w:rsid w:val="00C6533F"/>
    <w:rsid w:val="00C65373"/>
    <w:rsid w:val="00C65522"/>
    <w:rsid w:val="00C65525"/>
    <w:rsid w:val="00C6552D"/>
    <w:rsid w:val="00C655DE"/>
    <w:rsid w:val="00C657B2"/>
    <w:rsid w:val="00C657D3"/>
    <w:rsid w:val="00C658C4"/>
    <w:rsid w:val="00C659C4"/>
    <w:rsid w:val="00C65A47"/>
    <w:rsid w:val="00C65A4C"/>
    <w:rsid w:val="00C65BC6"/>
    <w:rsid w:val="00C65BFF"/>
    <w:rsid w:val="00C65CB1"/>
    <w:rsid w:val="00C65D59"/>
    <w:rsid w:val="00C65DCB"/>
    <w:rsid w:val="00C65EEF"/>
    <w:rsid w:val="00C65F08"/>
    <w:rsid w:val="00C65F5B"/>
    <w:rsid w:val="00C65FBF"/>
    <w:rsid w:val="00C66102"/>
    <w:rsid w:val="00C66241"/>
    <w:rsid w:val="00C66382"/>
    <w:rsid w:val="00C663AB"/>
    <w:rsid w:val="00C6641A"/>
    <w:rsid w:val="00C666D9"/>
    <w:rsid w:val="00C6673E"/>
    <w:rsid w:val="00C6676F"/>
    <w:rsid w:val="00C668B7"/>
    <w:rsid w:val="00C66ACC"/>
    <w:rsid w:val="00C66BD8"/>
    <w:rsid w:val="00C66CD9"/>
    <w:rsid w:val="00C66D80"/>
    <w:rsid w:val="00C66E35"/>
    <w:rsid w:val="00C66EB1"/>
    <w:rsid w:val="00C66EF8"/>
    <w:rsid w:val="00C66F94"/>
    <w:rsid w:val="00C67048"/>
    <w:rsid w:val="00C671FA"/>
    <w:rsid w:val="00C672A7"/>
    <w:rsid w:val="00C6747C"/>
    <w:rsid w:val="00C675E4"/>
    <w:rsid w:val="00C6767B"/>
    <w:rsid w:val="00C6774A"/>
    <w:rsid w:val="00C67783"/>
    <w:rsid w:val="00C6795C"/>
    <w:rsid w:val="00C679C1"/>
    <w:rsid w:val="00C67A4E"/>
    <w:rsid w:val="00C67D07"/>
    <w:rsid w:val="00C67E13"/>
    <w:rsid w:val="00C67EB6"/>
    <w:rsid w:val="00C70009"/>
    <w:rsid w:val="00C70066"/>
    <w:rsid w:val="00C701A5"/>
    <w:rsid w:val="00C701B6"/>
    <w:rsid w:val="00C701E0"/>
    <w:rsid w:val="00C702AA"/>
    <w:rsid w:val="00C702D9"/>
    <w:rsid w:val="00C7031F"/>
    <w:rsid w:val="00C70368"/>
    <w:rsid w:val="00C70427"/>
    <w:rsid w:val="00C70428"/>
    <w:rsid w:val="00C7044D"/>
    <w:rsid w:val="00C705CA"/>
    <w:rsid w:val="00C706B8"/>
    <w:rsid w:val="00C70866"/>
    <w:rsid w:val="00C7089D"/>
    <w:rsid w:val="00C708A6"/>
    <w:rsid w:val="00C708C0"/>
    <w:rsid w:val="00C708E5"/>
    <w:rsid w:val="00C7093C"/>
    <w:rsid w:val="00C70C71"/>
    <w:rsid w:val="00C70CD6"/>
    <w:rsid w:val="00C70E9D"/>
    <w:rsid w:val="00C70ED3"/>
    <w:rsid w:val="00C70ED4"/>
    <w:rsid w:val="00C70F0C"/>
    <w:rsid w:val="00C7105B"/>
    <w:rsid w:val="00C7105D"/>
    <w:rsid w:val="00C71188"/>
    <w:rsid w:val="00C713B6"/>
    <w:rsid w:val="00C713B7"/>
    <w:rsid w:val="00C7140F"/>
    <w:rsid w:val="00C7144D"/>
    <w:rsid w:val="00C71512"/>
    <w:rsid w:val="00C71558"/>
    <w:rsid w:val="00C7155A"/>
    <w:rsid w:val="00C7173E"/>
    <w:rsid w:val="00C718BD"/>
    <w:rsid w:val="00C718C8"/>
    <w:rsid w:val="00C7195D"/>
    <w:rsid w:val="00C71987"/>
    <w:rsid w:val="00C71D1B"/>
    <w:rsid w:val="00C71D90"/>
    <w:rsid w:val="00C71DB1"/>
    <w:rsid w:val="00C71F84"/>
    <w:rsid w:val="00C71FDD"/>
    <w:rsid w:val="00C72022"/>
    <w:rsid w:val="00C7207F"/>
    <w:rsid w:val="00C72099"/>
    <w:rsid w:val="00C72120"/>
    <w:rsid w:val="00C7228F"/>
    <w:rsid w:val="00C723CF"/>
    <w:rsid w:val="00C724CE"/>
    <w:rsid w:val="00C725C8"/>
    <w:rsid w:val="00C727B1"/>
    <w:rsid w:val="00C7288C"/>
    <w:rsid w:val="00C728E4"/>
    <w:rsid w:val="00C728F7"/>
    <w:rsid w:val="00C72987"/>
    <w:rsid w:val="00C72A20"/>
    <w:rsid w:val="00C72A4C"/>
    <w:rsid w:val="00C72A85"/>
    <w:rsid w:val="00C72AB0"/>
    <w:rsid w:val="00C72AF5"/>
    <w:rsid w:val="00C72BB0"/>
    <w:rsid w:val="00C72C1A"/>
    <w:rsid w:val="00C72C1B"/>
    <w:rsid w:val="00C72C95"/>
    <w:rsid w:val="00C72D31"/>
    <w:rsid w:val="00C72DA1"/>
    <w:rsid w:val="00C72EBF"/>
    <w:rsid w:val="00C72F92"/>
    <w:rsid w:val="00C730D5"/>
    <w:rsid w:val="00C73101"/>
    <w:rsid w:val="00C731CE"/>
    <w:rsid w:val="00C731E5"/>
    <w:rsid w:val="00C73211"/>
    <w:rsid w:val="00C732B8"/>
    <w:rsid w:val="00C732C1"/>
    <w:rsid w:val="00C73449"/>
    <w:rsid w:val="00C73464"/>
    <w:rsid w:val="00C734C9"/>
    <w:rsid w:val="00C734EE"/>
    <w:rsid w:val="00C7370F"/>
    <w:rsid w:val="00C73761"/>
    <w:rsid w:val="00C73861"/>
    <w:rsid w:val="00C738C8"/>
    <w:rsid w:val="00C7391B"/>
    <w:rsid w:val="00C73968"/>
    <w:rsid w:val="00C73AEB"/>
    <w:rsid w:val="00C73CED"/>
    <w:rsid w:val="00C73D12"/>
    <w:rsid w:val="00C73D1E"/>
    <w:rsid w:val="00C73E01"/>
    <w:rsid w:val="00C73ED5"/>
    <w:rsid w:val="00C73F0C"/>
    <w:rsid w:val="00C73F46"/>
    <w:rsid w:val="00C73F4D"/>
    <w:rsid w:val="00C74154"/>
    <w:rsid w:val="00C74336"/>
    <w:rsid w:val="00C74355"/>
    <w:rsid w:val="00C7442B"/>
    <w:rsid w:val="00C74498"/>
    <w:rsid w:val="00C74517"/>
    <w:rsid w:val="00C74603"/>
    <w:rsid w:val="00C7466A"/>
    <w:rsid w:val="00C74701"/>
    <w:rsid w:val="00C747AD"/>
    <w:rsid w:val="00C748B7"/>
    <w:rsid w:val="00C74983"/>
    <w:rsid w:val="00C74992"/>
    <w:rsid w:val="00C74B20"/>
    <w:rsid w:val="00C74B84"/>
    <w:rsid w:val="00C74C25"/>
    <w:rsid w:val="00C74C2B"/>
    <w:rsid w:val="00C74CA7"/>
    <w:rsid w:val="00C74D71"/>
    <w:rsid w:val="00C74D87"/>
    <w:rsid w:val="00C74F8C"/>
    <w:rsid w:val="00C74F8D"/>
    <w:rsid w:val="00C7504C"/>
    <w:rsid w:val="00C75073"/>
    <w:rsid w:val="00C750C9"/>
    <w:rsid w:val="00C75195"/>
    <w:rsid w:val="00C75285"/>
    <w:rsid w:val="00C75303"/>
    <w:rsid w:val="00C75371"/>
    <w:rsid w:val="00C755A9"/>
    <w:rsid w:val="00C755E0"/>
    <w:rsid w:val="00C756D9"/>
    <w:rsid w:val="00C75987"/>
    <w:rsid w:val="00C75A74"/>
    <w:rsid w:val="00C75B32"/>
    <w:rsid w:val="00C75B5D"/>
    <w:rsid w:val="00C75B7E"/>
    <w:rsid w:val="00C75C68"/>
    <w:rsid w:val="00C75CE8"/>
    <w:rsid w:val="00C75D0B"/>
    <w:rsid w:val="00C75DD5"/>
    <w:rsid w:val="00C75E5C"/>
    <w:rsid w:val="00C75EA7"/>
    <w:rsid w:val="00C75EAF"/>
    <w:rsid w:val="00C76017"/>
    <w:rsid w:val="00C760A4"/>
    <w:rsid w:val="00C761B6"/>
    <w:rsid w:val="00C763CC"/>
    <w:rsid w:val="00C763D8"/>
    <w:rsid w:val="00C7650A"/>
    <w:rsid w:val="00C76539"/>
    <w:rsid w:val="00C765A0"/>
    <w:rsid w:val="00C7671A"/>
    <w:rsid w:val="00C7672C"/>
    <w:rsid w:val="00C767E0"/>
    <w:rsid w:val="00C76A3A"/>
    <w:rsid w:val="00C76A82"/>
    <w:rsid w:val="00C76BA3"/>
    <w:rsid w:val="00C76D33"/>
    <w:rsid w:val="00C76D98"/>
    <w:rsid w:val="00C76E9D"/>
    <w:rsid w:val="00C76F19"/>
    <w:rsid w:val="00C76F7C"/>
    <w:rsid w:val="00C77040"/>
    <w:rsid w:val="00C77175"/>
    <w:rsid w:val="00C771D9"/>
    <w:rsid w:val="00C77234"/>
    <w:rsid w:val="00C7728C"/>
    <w:rsid w:val="00C77299"/>
    <w:rsid w:val="00C77328"/>
    <w:rsid w:val="00C775CA"/>
    <w:rsid w:val="00C775EF"/>
    <w:rsid w:val="00C77666"/>
    <w:rsid w:val="00C7774F"/>
    <w:rsid w:val="00C7785D"/>
    <w:rsid w:val="00C7798F"/>
    <w:rsid w:val="00C779D5"/>
    <w:rsid w:val="00C779DC"/>
    <w:rsid w:val="00C77BFC"/>
    <w:rsid w:val="00C77D14"/>
    <w:rsid w:val="00C77DB3"/>
    <w:rsid w:val="00C77E04"/>
    <w:rsid w:val="00C77E40"/>
    <w:rsid w:val="00C77ECA"/>
    <w:rsid w:val="00C800D4"/>
    <w:rsid w:val="00C801BC"/>
    <w:rsid w:val="00C801FB"/>
    <w:rsid w:val="00C80237"/>
    <w:rsid w:val="00C80378"/>
    <w:rsid w:val="00C803E2"/>
    <w:rsid w:val="00C8043D"/>
    <w:rsid w:val="00C80488"/>
    <w:rsid w:val="00C804B9"/>
    <w:rsid w:val="00C804CC"/>
    <w:rsid w:val="00C804E3"/>
    <w:rsid w:val="00C8080A"/>
    <w:rsid w:val="00C808D2"/>
    <w:rsid w:val="00C8090B"/>
    <w:rsid w:val="00C80A3C"/>
    <w:rsid w:val="00C80A56"/>
    <w:rsid w:val="00C80BB9"/>
    <w:rsid w:val="00C80BFB"/>
    <w:rsid w:val="00C80C31"/>
    <w:rsid w:val="00C80CB5"/>
    <w:rsid w:val="00C80E52"/>
    <w:rsid w:val="00C80E66"/>
    <w:rsid w:val="00C80F22"/>
    <w:rsid w:val="00C80F5E"/>
    <w:rsid w:val="00C81103"/>
    <w:rsid w:val="00C81110"/>
    <w:rsid w:val="00C8116D"/>
    <w:rsid w:val="00C81199"/>
    <w:rsid w:val="00C811BD"/>
    <w:rsid w:val="00C811C9"/>
    <w:rsid w:val="00C81218"/>
    <w:rsid w:val="00C812B5"/>
    <w:rsid w:val="00C81340"/>
    <w:rsid w:val="00C81361"/>
    <w:rsid w:val="00C8137C"/>
    <w:rsid w:val="00C813CE"/>
    <w:rsid w:val="00C81465"/>
    <w:rsid w:val="00C81539"/>
    <w:rsid w:val="00C81682"/>
    <w:rsid w:val="00C81878"/>
    <w:rsid w:val="00C818D1"/>
    <w:rsid w:val="00C81B38"/>
    <w:rsid w:val="00C81C54"/>
    <w:rsid w:val="00C81CAD"/>
    <w:rsid w:val="00C81E80"/>
    <w:rsid w:val="00C81E82"/>
    <w:rsid w:val="00C81EBA"/>
    <w:rsid w:val="00C81ED1"/>
    <w:rsid w:val="00C81FF9"/>
    <w:rsid w:val="00C8209B"/>
    <w:rsid w:val="00C820C8"/>
    <w:rsid w:val="00C822B6"/>
    <w:rsid w:val="00C822D0"/>
    <w:rsid w:val="00C822DA"/>
    <w:rsid w:val="00C822FE"/>
    <w:rsid w:val="00C823E4"/>
    <w:rsid w:val="00C823E8"/>
    <w:rsid w:val="00C8243A"/>
    <w:rsid w:val="00C824C7"/>
    <w:rsid w:val="00C82547"/>
    <w:rsid w:val="00C82622"/>
    <w:rsid w:val="00C82687"/>
    <w:rsid w:val="00C826C4"/>
    <w:rsid w:val="00C82739"/>
    <w:rsid w:val="00C82A19"/>
    <w:rsid w:val="00C82C0E"/>
    <w:rsid w:val="00C82CD1"/>
    <w:rsid w:val="00C82D61"/>
    <w:rsid w:val="00C82D88"/>
    <w:rsid w:val="00C82DA2"/>
    <w:rsid w:val="00C82FA9"/>
    <w:rsid w:val="00C83005"/>
    <w:rsid w:val="00C83058"/>
    <w:rsid w:val="00C832BB"/>
    <w:rsid w:val="00C833CC"/>
    <w:rsid w:val="00C833FC"/>
    <w:rsid w:val="00C8350B"/>
    <w:rsid w:val="00C83514"/>
    <w:rsid w:val="00C83554"/>
    <w:rsid w:val="00C83571"/>
    <w:rsid w:val="00C83711"/>
    <w:rsid w:val="00C8374A"/>
    <w:rsid w:val="00C83784"/>
    <w:rsid w:val="00C837B6"/>
    <w:rsid w:val="00C837EB"/>
    <w:rsid w:val="00C839B0"/>
    <w:rsid w:val="00C83A0E"/>
    <w:rsid w:val="00C83A7A"/>
    <w:rsid w:val="00C83ACC"/>
    <w:rsid w:val="00C83B1A"/>
    <w:rsid w:val="00C83C99"/>
    <w:rsid w:val="00C83DD7"/>
    <w:rsid w:val="00C83E23"/>
    <w:rsid w:val="00C83E40"/>
    <w:rsid w:val="00C83EC5"/>
    <w:rsid w:val="00C83F33"/>
    <w:rsid w:val="00C83F5E"/>
    <w:rsid w:val="00C83F95"/>
    <w:rsid w:val="00C84049"/>
    <w:rsid w:val="00C84128"/>
    <w:rsid w:val="00C8412A"/>
    <w:rsid w:val="00C84199"/>
    <w:rsid w:val="00C841C2"/>
    <w:rsid w:val="00C843B2"/>
    <w:rsid w:val="00C84478"/>
    <w:rsid w:val="00C8457E"/>
    <w:rsid w:val="00C8458D"/>
    <w:rsid w:val="00C846A7"/>
    <w:rsid w:val="00C846AB"/>
    <w:rsid w:val="00C846E3"/>
    <w:rsid w:val="00C8480F"/>
    <w:rsid w:val="00C84857"/>
    <w:rsid w:val="00C8489A"/>
    <w:rsid w:val="00C849C2"/>
    <w:rsid w:val="00C84A0B"/>
    <w:rsid w:val="00C84A86"/>
    <w:rsid w:val="00C84B0D"/>
    <w:rsid w:val="00C84C48"/>
    <w:rsid w:val="00C84C9E"/>
    <w:rsid w:val="00C84C9F"/>
    <w:rsid w:val="00C84D48"/>
    <w:rsid w:val="00C84E50"/>
    <w:rsid w:val="00C84F22"/>
    <w:rsid w:val="00C84FB2"/>
    <w:rsid w:val="00C85004"/>
    <w:rsid w:val="00C85014"/>
    <w:rsid w:val="00C851AB"/>
    <w:rsid w:val="00C851C3"/>
    <w:rsid w:val="00C852F7"/>
    <w:rsid w:val="00C8531A"/>
    <w:rsid w:val="00C8546C"/>
    <w:rsid w:val="00C855DB"/>
    <w:rsid w:val="00C857CF"/>
    <w:rsid w:val="00C858E2"/>
    <w:rsid w:val="00C85920"/>
    <w:rsid w:val="00C85A02"/>
    <w:rsid w:val="00C85AA4"/>
    <w:rsid w:val="00C85C02"/>
    <w:rsid w:val="00C85C23"/>
    <w:rsid w:val="00C85C30"/>
    <w:rsid w:val="00C85C86"/>
    <w:rsid w:val="00C85D0F"/>
    <w:rsid w:val="00C85D96"/>
    <w:rsid w:val="00C85DEE"/>
    <w:rsid w:val="00C85E77"/>
    <w:rsid w:val="00C85ED9"/>
    <w:rsid w:val="00C85F34"/>
    <w:rsid w:val="00C85FB5"/>
    <w:rsid w:val="00C86074"/>
    <w:rsid w:val="00C86078"/>
    <w:rsid w:val="00C860FD"/>
    <w:rsid w:val="00C86171"/>
    <w:rsid w:val="00C86208"/>
    <w:rsid w:val="00C863D4"/>
    <w:rsid w:val="00C8645A"/>
    <w:rsid w:val="00C864A2"/>
    <w:rsid w:val="00C86559"/>
    <w:rsid w:val="00C866E7"/>
    <w:rsid w:val="00C8676E"/>
    <w:rsid w:val="00C86814"/>
    <w:rsid w:val="00C86981"/>
    <w:rsid w:val="00C869B1"/>
    <w:rsid w:val="00C869F0"/>
    <w:rsid w:val="00C86A48"/>
    <w:rsid w:val="00C86A90"/>
    <w:rsid w:val="00C86B8F"/>
    <w:rsid w:val="00C86BC7"/>
    <w:rsid w:val="00C86BE4"/>
    <w:rsid w:val="00C86C94"/>
    <w:rsid w:val="00C86D06"/>
    <w:rsid w:val="00C86D91"/>
    <w:rsid w:val="00C86DB3"/>
    <w:rsid w:val="00C86E47"/>
    <w:rsid w:val="00C86E79"/>
    <w:rsid w:val="00C86F32"/>
    <w:rsid w:val="00C86FC5"/>
    <w:rsid w:val="00C8705D"/>
    <w:rsid w:val="00C870F2"/>
    <w:rsid w:val="00C871E7"/>
    <w:rsid w:val="00C87271"/>
    <w:rsid w:val="00C872C9"/>
    <w:rsid w:val="00C87312"/>
    <w:rsid w:val="00C873BC"/>
    <w:rsid w:val="00C875D2"/>
    <w:rsid w:val="00C875DB"/>
    <w:rsid w:val="00C87723"/>
    <w:rsid w:val="00C87728"/>
    <w:rsid w:val="00C87730"/>
    <w:rsid w:val="00C877DF"/>
    <w:rsid w:val="00C87886"/>
    <w:rsid w:val="00C878E2"/>
    <w:rsid w:val="00C87986"/>
    <w:rsid w:val="00C87B26"/>
    <w:rsid w:val="00C87C9E"/>
    <w:rsid w:val="00C87CCC"/>
    <w:rsid w:val="00C87DBA"/>
    <w:rsid w:val="00C87E1B"/>
    <w:rsid w:val="00C87F53"/>
    <w:rsid w:val="00C87F85"/>
    <w:rsid w:val="00C900DC"/>
    <w:rsid w:val="00C900FA"/>
    <w:rsid w:val="00C90104"/>
    <w:rsid w:val="00C90128"/>
    <w:rsid w:val="00C9016A"/>
    <w:rsid w:val="00C901A5"/>
    <w:rsid w:val="00C901AF"/>
    <w:rsid w:val="00C90206"/>
    <w:rsid w:val="00C90289"/>
    <w:rsid w:val="00C90313"/>
    <w:rsid w:val="00C9037A"/>
    <w:rsid w:val="00C9051D"/>
    <w:rsid w:val="00C90540"/>
    <w:rsid w:val="00C905F0"/>
    <w:rsid w:val="00C9092D"/>
    <w:rsid w:val="00C9098B"/>
    <w:rsid w:val="00C90B15"/>
    <w:rsid w:val="00C90C1D"/>
    <w:rsid w:val="00C90CAF"/>
    <w:rsid w:val="00C90DBD"/>
    <w:rsid w:val="00C90DC4"/>
    <w:rsid w:val="00C90E2B"/>
    <w:rsid w:val="00C90F14"/>
    <w:rsid w:val="00C90F22"/>
    <w:rsid w:val="00C90F28"/>
    <w:rsid w:val="00C90FDD"/>
    <w:rsid w:val="00C9100E"/>
    <w:rsid w:val="00C910FE"/>
    <w:rsid w:val="00C9115E"/>
    <w:rsid w:val="00C91216"/>
    <w:rsid w:val="00C91235"/>
    <w:rsid w:val="00C91274"/>
    <w:rsid w:val="00C9152C"/>
    <w:rsid w:val="00C916AB"/>
    <w:rsid w:val="00C9170C"/>
    <w:rsid w:val="00C91825"/>
    <w:rsid w:val="00C91866"/>
    <w:rsid w:val="00C918DB"/>
    <w:rsid w:val="00C918E1"/>
    <w:rsid w:val="00C91B19"/>
    <w:rsid w:val="00C91B26"/>
    <w:rsid w:val="00C91B80"/>
    <w:rsid w:val="00C91B84"/>
    <w:rsid w:val="00C91BD1"/>
    <w:rsid w:val="00C91D09"/>
    <w:rsid w:val="00C91D80"/>
    <w:rsid w:val="00C91DF2"/>
    <w:rsid w:val="00C91F92"/>
    <w:rsid w:val="00C91FB3"/>
    <w:rsid w:val="00C92000"/>
    <w:rsid w:val="00C92128"/>
    <w:rsid w:val="00C92129"/>
    <w:rsid w:val="00C921B7"/>
    <w:rsid w:val="00C923FA"/>
    <w:rsid w:val="00C924B9"/>
    <w:rsid w:val="00C9251A"/>
    <w:rsid w:val="00C92743"/>
    <w:rsid w:val="00C9277A"/>
    <w:rsid w:val="00C927AB"/>
    <w:rsid w:val="00C928F0"/>
    <w:rsid w:val="00C929BF"/>
    <w:rsid w:val="00C92A71"/>
    <w:rsid w:val="00C92C7D"/>
    <w:rsid w:val="00C92CDD"/>
    <w:rsid w:val="00C92D4F"/>
    <w:rsid w:val="00C92D55"/>
    <w:rsid w:val="00C92E5F"/>
    <w:rsid w:val="00C92FDF"/>
    <w:rsid w:val="00C92FE8"/>
    <w:rsid w:val="00C9312D"/>
    <w:rsid w:val="00C93136"/>
    <w:rsid w:val="00C9318C"/>
    <w:rsid w:val="00C9320D"/>
    <w:rsid w:val="00C93333"/>
    <w:rsid w:val="00C93485"/>
    <w:rsid w:val="00C934C3"/>
    <w:rsid w:val="00C93505"/>
    <w:rsid w:val="00C93550"/>
    <w:rsid w:val="00C93597"/>
    <w:rsid w:val="00C9377A"/>
    <w:rsid w:val="00C93784"/>
    <w:rsid w:val="00C938B3"/>
    <w:rsid w:val="00C93975"/>
    <w:rsid w:val="00C93A7C"/>
    <w:rsid w:val="00C93AA8"/>
    <w:rsid w:val="00C93AF6"/>
    <w:rsid w:val="00C93BBE"/>
    <w:rsid w:val="00C93D22"/>
    <w:rsid w:val="00C93D6E"/>
    <w:rsid w:val="00C93E75"/>
    <w:rsid w:val="00C9409F"/>
    <w:rsid w:val="00C940AC"/>
    <w:rsid w:val="00C94186"/>
    <w:rsid w:val="00C941A2"/>
    <w:rsid w:val="00C94239"/>
    <w:rsid w:val="00C94243"/>
    <w:rsid w:val="00C942D0"/>
    <w:rsid w:val="00C94398"/>
    <w:rsid w:val="00C943CE"/>
    <w:rsid w:val="00C943CF"/>
    <w:rsid w:val="00C94648"/>
    <w:rsid w:val="00C948A7"/>
    <w:rsid w:val="00C949DA"/>
    <w:rsid w:val="00C94BE6"/>
    <w:rsid w:val="00C94CD9"/>
    <w:rsid w:val="00C94F9A"/>
    <w:rsid w:val="00C95095"/>
    <w:rsid w:val="00C95122"/>
    <w:rsid w:val="00C951A5"/>
    <w:rsid w:val="00C951D3"/>
    <w:rsid w:val="00C95295"/>
    <w:rsid w:val="00C9546F"/>
    <w:rsid w:val="00C95522"/>
    <w:rsid w:val="00C9559C"/>
    <w:rsid w:val="00C9563F"/>
    <w:rsid w:val="00C9569F"/>
    <w:rsid w:val="00C956FC"/>
    <w:rsid w:val="00C9597C"/>
    <w:rsid w:val="00C95A0E"/>
    <w:rsid w:val="00C95A25"/>
    <w:rsid w:val="00C95A98"/>
    <w:rsid w:val="00C95B1C"/>
    <w:rsid w:val="00C95C00"/>
    <w:rsid w:val="00C95C6B"/>
    <w:rsid w:val="00C95D7B"/>
    <w:rsid w:val="00C95E28"/>
    <w:rsid w:val="00C95EA7"/>
    <w:rsid w:val="00C95F20"/>
    <w:rsid w:val="00C95F7B"/>
    <w:rsid w:val="00C95FDD"/>
    <w:rsid w:val="00C9614B"/>
    <w:rsid w:val="00C961E2"/>
    <w:rsid w:val="00C963B4"/>
    <w:rsid w:val="00C964A0"/>
    <w:rsid w:val="00C964FA"/>
    <w:rsid w:val="00C965AE"/>
    <w:rsid w:val="00C9660C"/>
    <w:rsid w:val="00C96639"/>
    <w:rsid w:val="00C96871"/>
    <w:rsid w:val="00C9699C"/>
    <w:rsid w:val="00C969C8"/>
    <w:rsid w:val="00C96C7A"/>
    <w:rsid w:val="00C96C7D"/>
    <w:rsid w:val="00C96D01"/>
    <w:rsid w:val="00C96D1C"/>
    <w:rsid w:val="00C96DB7"/>
    <w:rsid w:val="00C96E38"/>
    <w:rsid w:val="00C97004"/>
    <w:rsid w:val="00C97079"/>
    <w:rsid w:val="00C97080"/>
    <w:rsid w:val="00C970F7"/>
    <w:rsid w:val="00C9716D"/>
    <w:rsid w:val="00C97215"/>
    <w:rsid w:val="00C972ED"/>
    <w:rsid w:val="00C9734F"/>
    <w:rsid w:val="00C9736E"/>
    <w:rsid w:val="00C973D2"/>
    <w:rsid w:val="00C9747F"/>
    <w:rsid w:val="00C976CB"/>
    <w:rsid w:val="00C976D2"/>
    <w:rsid w:val="00C97766"/>
    <w:rsid w:val="00C97822"/>
    <w:rsid w:val="00C9783A"/>
    <w:rsid w:val="00C9789B"/>
    <w:rsid w:val="00C97995"/>
    <w:rsid w:val="00C97CEA"/>
    <w:rsid w:val="00C97DE6"/>
    <w:rsid w:val="00C97E90"/>
    <w:rsid w:val="00C97ECF"/>
    <w:rsid w:val="00C97FEF"/>
    <w:rsid w:val="00CA00A7"/>
    <w:rsid w:val="00CA01A2"/>
    <w:rsid w:val="00CA0259"/>
    <w:rsid w:val="00CA033A"/>
    <w:rsid w:val="00CA0383"/>
    <w:rsid w:val="00CA03FB"/>
    <w:rsid w:val="00CA0405"/>
    <w:rsid w:val="00CA042F"/>
    <w:rsid w:val="00CA0478"/>
    <w:rsid w:val="00CA05E3"/>
    <w:rsid w:val="00CA0806"/>
    <w:rsid w:val="00CA08F5"/>
    <w:rsid w:val="00CA0916"/>
    <w:rsid w:val="00CA092E"/>
    <w:rsid w:val="00CA0A45"/>
    <w:rsid w:val="00CA0AFA"/>
    <w:rsid w:val="00CA0CC6"/>
    <w:rsid w:val="00CA0CEC"/>
    <w:rsid w:val="00CA0D32"/>
    <w:rsid w:val="00CA0E8C"/>
    <w:rsid w:val="00CA0EA9"/>
    <w:rsid w:val="00CA0F5B"/>
    <w:rsid w:val="00CA0FE2"/>
    <w:rsid w:val="00CA105E"/>
    <w:rsid w:val="00CA10EB"/>
    <w:rsid w:val="00CA1167"/>
    <w:rsid w:val="00CA11A7"/>
    <w:rsid w:val="00CA12D7"/>
    <w:rsid w:val="00CA145E"/>
    <w:rsid w:val="00CA156A"/>
    <w:rsid w:val="00CA178C"/>
    <w:rsid w:val="00CA18B7"/>
    <w:rsid w:val="00CA18EA"/>
    <w:rsid w:val="00CA195F"/>
    <w:rsid w:val="00CA1B37"/>
    <w:rsid w:val="00CA1C2A"/>
    <w:rsid w:val="00CA1C41"/>
    <w:rsid w:val="00CA1DC2"/>
    <w:rsid w:val="00CA1E5C"/>
    <w:rsid w:val="00CA1ED5"/>
    <w:rsid w:val="00CA1F4E"/>
    <w:rsid w:val="00CA2074"/>
    <w:rsid w:val="00CA2087"/>
    <w:rsid w:val="00CA20F5"/>
    <w:rsid w:val="00CA2170"/>
    <w:rsid w:val="00CA21F4"/>
    <w:rsid w:val="00CA22A8"/>
    <w:rsid w:val="00CA22B7"/>
    <w:rsid w:val="00CA22CA"/>
    <w:rsid w:val="00CA234F"/>
    <w:rsid w:val="00CA2447"/>
    <w:rsid w:val="00CA24A4"/>
    <w:rsid w:val="00CA24E0"/>
    <w:rsid w:val="00CA259A"/>
    <w:rsid w:val="00CA25CC"/>
    <w:rsid w:val="00CA2613"/>
    <w:rsid w:val="00CA2633"/>
    <w:rsid w:val="00CA2638"/>
    <w:rsid w:val="00CA27B3"/>
    <w:rsid w:val="00CA27D6"/>
    <w:rsid w:val="00CA283D"/>
    <w:rsid w:val="00CA28D7"/>
    <w:rsid w:val="00CA2988"/>
    <w:rsid w:val="00CA2A8F"/>
    <w:rsid w:val="00CA2B3C"/>
    <w:rsid w:val="00CA2B73"/>
    <w:rsid w:val="00CA2C30"/>
    <w:rsid w:val="00CA2C34"/>
    <w:rsid w:val="00CA2C73"/>
    <w:rsid w:val="00CA2EFD"/>
    <w:rsid w:val="00CA2FC5"/>
    <w:rsid w:val="00CA306B"/>
    <w:rsid w:val="00CA306C"/>
    <w:rsid w:val="00CA30DE"/>
    <w:rsid w:val="00CA30E3"/>
    <w:rsid w:val="00CA3471"/>
    <w:rsid w:val="00CA34FD"/>
    <w:rsid w:val="00CA3838"/>
    <w:rsid w:val="00CA39D0"/>
    <w:rsid w:val="00CA3CD9"/>
    <w:rsid w:val="00CA3E3C"/>
    <w:rsid w:val="00CA3EFF"/>
    <w:rsid w:val="00CA3FC3"/>
    <w:rsid w:val="00CA4000"/>
    <w:rsid w:val="00CA40F3"/>
    <w:rsid w:val="00CA4128"/>
    <w:rsid w:val="00CA417A"/>
    <w:rsid w:val="00CA42AC"/>
    <w:rsid w:val="00CA4305"/>
    <w:rsid w:val="00CA4359"/>
    <w:rsid w:val="00CA43C5"/>
    <w:rsid w:val="00CA4689"/>
    <w:rsid w:val="00CA4739"/>
    <w:rsid w:val="00CA47A0"/>
    <w:rsid w:val="00CA47B1"/>
    <w:rsid w:val="00CA47C0"/>
    <w:rsid w:val="00CA4908"/>
    <w:rsid w:val="00CA4929"/>
    <w:rsid w:val="00CA495C"/>
    <w:rsid w:val="00CA4A05"/>
    <w:rsid w:val="00CA4BCF"/>
    <w:rsid w:val="00CA4CAC"/>
    <w:rsid w:val="00CA4CFC"/>
    <w:rsid w:val="00CA4E84"/>
    <w:rsid w:val="00CA4E9C"/>
    <w:rsid w:val="00CA4F24"/>
    <w:rsid w:val="00CA4F94"/>
    <w:rsid w:val="00CA5089"/>
    <w:rsid w:val="00CA5091"/>
    <w:rsid w:val="00CA5156"/>
    <w:rsid w:val="00CA5195"/>
    <w:rsid w:val="00CA5238"/>
    <w:rsid w:val="00CA5404"/>
    <w:rsid w:val="00CA5454"/>
    <w:rsid w:val="00CA5525"/>
    <w:rsid w:val="00CA5589"/>
    <w:rsid w:val="00CA562E"/>
    <w:rsid w:val="00CA5674"/>
    <w:rsid w:val="00CA582A"/>
    <w:rsid w:val="00CA585E"/>
    <w:rsid w:val="00CA5997"/>
    <w:rsid w:val="00CA59AD"/>
    <w:rsid w:val="00CA5A83"/>
    <w:rsid w:val="00CA5BEF"/>
    <w:rsid w:val="00CA5C43"/>
    <w:rsid w:val="00CA5D6C"/>
    <w:rsid w:val="00CA5D6D"/>
    <w:rsid w:val="00CA5ECD"/>
    <w:rsid w:val="00CA5F1E"/>
    <w:rsid w:val="00CA5F4C"/>
    <w:rsid w:val="00CA6048"/>
    <w:rsid w:val="00CA615F"/>
    <w:rsid w:val="00CA636F"/>
    <w:rsid w:val="00CA64A1"/>
    <w:rsid w:val="00CA64C3"/>
    <w:rsid w:val="00CA65B1"/>
    <w:rsid w:val="00CA65E0"/>
    <w:rsid w:val="00CA6640"/>
    <w:rsid w:val="00CA66A9"/>
    <w:rsid w:val="00CA6703"/>
    <w:rsid w:val="00CA6776"/>
    <w:rsid w:val="00CA67FA"/>
    <w:rsid w:val="00CA6974"/>
    <w:rsid w:val="00CA6A1D"/>
    <w:rsid w:val="00CA6C9C"/>
    <w:rsid w:val="00CA6DA1"/>
    <w:rsid w:val="00CA6DF1"/>
    <w:rsid w:val="00CA6F66"/>
    <w:rsid w:val="00CA6F70"/>
    <w:rsid w:val="00CA6FC4"/>
    <w:rsid w:val="00CA708D"/>
    <w:rsid w:val="00CA70FF"/>
    <w:rsid w:val="00CA7146"/>
    <w:rsid w:val="00CA7228"/>
    <w:rsid w:val="00CA7247"/>
    <w:rsid w:val="00CA72C7"/>
    <w:rsid w:val="00CA73B6"/>
    <w:rsid w:val="00CA74EE"/>
    <w:rsid w:val="00CA750E"/>
    <w:rsid w:val="00CA7750"/>
    <w:rsid w:val="00CA77C8"/>
    <w:rsid w:val="00CA77D3"/>
    <w:rsid w:val="00CA78D6"/>
    <w:rsid w:val="00CA7901"/>
    <w:rsid w:val="00CA7A7B"/>
    <w:rsid w:val="00CA7A9E"/>
    <w:rsid w:val="00CA7B22"/>
    <w:rsid w:val="00CA7B2B"/>
    <w:rsid w:val="00CA7C10"/>
    <w:rsid w:val="00CA7C45"/>
    <w:rsid w:val="00CA7CD0"/>
    <w:rsid w:val="00CA7DB3"/>
    <w:rsid w:val="00CA7F5B"/>
    <w:rsid w:val="00CB0017"/>
    <w:rsid w:val="00CB001D"/>
    <w:rsid w:val="00CB0212"/>
    <w:rsid w:val="00CB0250"/>
    <w:rsid w:val="00CB032E"/>
    <w:rsid w:val="00CB038B"/>
    <w:rsid w:val="00CB039F"/>
    <w:rsid w:val="00CB03B2"/>
    <w:rsid w:val="00CB04CD"/>
    <w:rsid w:val="00CB0554"/>
    <w:rsid w:val="00CB05D4"/>
    <w:rsid w:val="00CB064C"/>
    <w:rsid w:val="00CB069B"/>
    <w:rsid w:val="00CB0988"/>
    <w:rsid w:val="00CB09DB"/>
    <w:rsid w:val="00CB09F0"/>
    <w:rsid w:val="00CB0AE5"/>
    <w:rsid w:val="00CB0DA2"/>
    <w:rsid w:val="00CB0EB2"/>
    <w:rsid w:val="00CB0ECF"/>
    <w:rsid w:val="00CB0FA3"/>
    <w:rsid w:val="00CB1096"/>
    <w:rsid w:val="00CB10D4"/>
    <w:rsid w:val="00CB11EE"/>
    <w:rsid w:val="00CB1229"/>
    <w:rsid w:val="00CB129C"/>
    <w:rsid w:val="00CB12A6"/>
    <w:rsid w:val="00CB131E"/>
    <w:rsid w:val="00CB1336"/>
    <w:rsid w:val="00CB1379"/>
    <w:rsid w:val="00CB138B"/>
    <w:rsid w:val="00CB1449"/>
    <w:rsid w:val="00CB1535"/>
    <w:rsid w:val="00CB15B3"/>
    <w:rsid w:val="00CB15ED"/>
    <w:rsid w:val="00CB17B4"/>
    <w:rsid w:val="00CB1892"/>
    <w:rsid w:val="00CB1903"/>
    <w:rsid w:val="00CB1924"/>
    <w:rsid w:val="00CB1AA3"/>
    <w:rsid w:val="00CB1ABF"/>
    <w:rsid w:val="00CB1ADE"/>
    <w:rsid w:val="00CB1B39"/>
    <w:rsid w:val="00CB1BE9"/>
    <w:rsid w:val="00CB1C8E"/>
    <w:rsid w:val="00CB1CD3"/>
    <w:rsid w:val="00CB1E01"/>
    <w:rsid w:val="00CB1E2D"/>
    <w:rsid w:val="00CB1E45"/>
    <w:rsid w:val="00CB1E90"/>
    <w:rsid w:val="00CB1FD3"/>
    <w:rsid w:val="00CB1FF7"/>
    <w:rsid w:val="00CB20A1"/>
    <w:rsid w:val="00CB2255"/>
    <w:rsid w:val="00CB25DF"/>
    <w:rsid w:val="00CB2662"/>
    <w:rsid w:val="00CB2834"/>
    <w:rsid w:val="00CB2841"/>
    <w:rsid w:val="00CB28F3"/>
    <w:rsid w:val="00CB294E"/>
    <w:rsid w:val="00CB2B0E"/>
    <w:rsid w:val="00CB2B7F"/>
    <w:rsid w:val="00CB2D17"/>
    <w:rsid w:val="00CB2D1A"/>
    <w:rsid w:val="00CB2D1D"/>
    <w:rsid w:val="00CB2E0A"/>
    <w:rsid w:val="00CB3047"/>
    <w:rsid w:val="00CB3260"/>
    <w:rsid w:val="00CB32B0"/>
    <w:rsid w:val="00CB3350"/>
    <w:rsid w:val="00CB34BD"/>
    <w:rsid w:val="00CB3590"/>
    <w:rsid w:val="00CB3697"/>
    <w:rsid w:val="00CB3797"/>
    <w:rsid w:val="00CB3865"/>
    <w:rsid w:val="00CB3AF3"/>
    <w:rsid w:val="00CB3B17"/>
    <w:rsid w:val="00CB3BA5"/>
    <w:rsid w:val="00CB3BB7"/>
    <w:rsid w:val="00CB3BE7"/>
    <w:rsid w:val="00CB3C6D"/>
    <w:rsid w:val="00CB3CE4"/>
    <w:rsid w:val="00CB3D6C"/>
    <w:rsid w:val="00CB3EA5"/>
    <w:rsid w:val="00CB3EFE"/>
    <w:rsid w:val="00CB3FD3"/>
    <w:rsid w:val="00CB40B4"/>
    <w:rsid w:val="00CB4280"/>
    <w:rsid w:val="00CB4350"/>
    <w:rsid w:val="00CB4466"/>
    <w:rsid w:val="00CB4571"/>
    <w:rsid w:val="00CB4619"/>
    <w:rsid w:val="00CB4805"/>
    <w:rsid w:val="00CB49DA"/>
    <w:rsid w:val="00CB4A0E"/>
    <w:rsid w:val="00CB4A9E"/>
    <w:rsid w:val="00CB4B51"/>
    <w:rsid w:val="00CB4B98"/>
    <w:rsid w:val="00CB4C0F"/>
    <w:rsid w:val="00CB4E4C"/>
    <w:rsid w:val="00CB4E75"/>
    <w:rsid w:val="00CB4EA8"/>
    <w:rsid w:val="00CB5066"/>
    <w:rsid w:val="00CB509A"/>
    <w:rsid w:val="00CB50C8"/>
    <w:rsid w:val="00CB51C1"/>
    <w:rsid w:val="00CB53F2"/>
    <w:rsid w:val="00CB5630"/>
    <w:rsid w:val="00CB569C"/>
    <w:rsid w:val="00CB56D3"/>
    <w:rsid w:val="00CB5795"/>
    <w:rsid w:val="00CB57B6"/>
    <w:rsid w:val="00CB5891"/>
    <w:rsid w:val="00CB5A5B"/>
    <w:rsid w:val="00CB5CD5"/>
    <w:rsid w:val="00CB5E04"/>
    <w:rsid w:val="00CB5FB3"/>
    <w:rsid w:val="00CB618D"/>
    <w:rsid w:val="00CB6192"/>
    <w:rsid w:val="00CB6294"/>
    <w:rsid w:val="00CB6400"/>
    <w:rsid w:val="00CB6694"/>
    <w:rsid w:val="00CB678E"/>
    <w:rsid w:val="00CB684B"/>
    <w:rsid w:val="00CB6946"/>
    <w:rsid w:val="00CB6BD6"/>
    <w:rsid w:val="00CB6C7C"/>
    <w:rsid w:val="00CB6C7F"/>
    <w:rsid w:val="00CB6D4B"/>
    <w:rsid w:val="00CB6D6F"/>
    <w:rsid w:val="00CB6D74"/>
    <w:rsid w:val="00CB6E65"/>
    <w:rsid w:val="00CB6F52"/>
    <w:rsid w:val="00CB6F78"/>
    <w:rsid w:val="00CB7068"/>
    <w:rsid w:val="00CB71BC"/>
    <w:rsid w:val="00CB724F"/>
    <w:rsid w:val="00CB72CF"/>
    <w:rsid w:val="00CB7325"/>
    <w:rsid w:val="00CB738D"/>
    <w:rsid w:val="00CB73CE"/>
    <w:rsid w:val="00CB7426"/>
    <w:rsid w:val="00CB7547"/>
    <w:rsid w:val="00CB75D4"/>
    <w:rsid w:val="00CB778B"/>
    <w:rsid w:val="00CB77B3"/>
    <w:rsid w:val="00CB7810"/>
    <w:rsid w:val="00CB79AD"/>
    <w:rsid w:val="00CB7A82"/>
    <w:rsid w:val="00CB7D99"/>
    <w:rsid w:val="00CB7F34"/>
    <w:rsid w:val="00CC016F"/>
    <w:rsid w:val="00CC0289"/>
    <w:rsid w:val="00CC0328"/>
    <w:rsid w:val="00CC0442"/>
    <w:rsid w:val="00CC0455"/>
    <w:rsid w:val="00CC055B"/>
    <w:rsid w:val="00CC0586"/>
    <w:rsid w:val="00CC0609"/>
    <w:rsid w:val="00CC0628"/>
    <w:rsid w:val="00CC06A1"/>
    <w:rsid w:val="00CC06DB"/>
    <w:rsid w:val="00CC073D"/>
    <w:rsid w:val="00CC081D"/>
    <w:rsid w:val="00CC0913"/>
    <w:rsid w:val="00CC0922"/>
    <w:rsid w:val="00CC0A00"/>
    <w:rsid w:val="00CC0A75"/>
    <w:rsid w:val="00CC0A77"/>
    <w:rsid w:val="00CC0B4A"/>
    <w:rsid w:val="00CC0B87"/>
    <w:rsid w:val="00CC0C03"/>
    <w:rsid w:val="00CC0E7E"/>
    <w:rsid w:val="00CC0EE2"/>
    <w:rsid w:val="00CC0EF1"/>
    <w:rsid w:val="00CC0FDF"/>
    <w:rsid w:val="00CC117C"/>
    <w:rsid w:val="00CC1208"/>
    <w:rsid w:val="00CC1260"/>
    <w:rsid w:val="00CC12B8"/>
    <w:rsid w:val="00CC14F3"/>
    <w:rsid w:val="00CC1550"/>
    <w:rsid w:val="00CC159F"/>
    <w:rsid w:val="00CC15D0"/>
    <w:rsid w:val="00CC164A"/>
    <w:rsid w:val="00CC1679"/>
    <w:rsid w:val="00CC1732"/>
    <w:rsid w:val="00CC188D"/>
    <w:rsid w:val="00CC1B53"/>
    <w:rsid w:val="00CC1BA9"/>
    <w:rsid w:val="00CC1BE5"/>
    <w:rsid w:val="00CC1C63"/>
    <w:rsid w:val="00CC1CE4"/>
    <w:rsid w:val="00CC1DAC"/>
    <w:rsid w:val="00CC1F4A"/>
    <w:rsid w:val="00CC1FCA"/>
    <w:rsid w:val="00CC2131"/>
    <w:rsid w:val="00CC2244"/>
    <w:rsid w:val="00CC22A7"/>
    <w:rsid w:val="00CC23F1"/>
    <w:rsid w:val="00CC24B1"/>
    <w:rsid w:val="00CC2600"/>
    <w:rsid w:val="00CC2748"/>
    <w:rsid w:val="00CC27A3"/>
    <w:rsid w:val="00CC295F"/>
    <w:rsid w:val="00CC29BD"/>
    <w:rsid w:val="00CC2D23"/>
    <w:rsid w:val="00CC2EE9"/>
    <w:rsid w:val="00CC2F17"/>
    <w:rsid w:val="00CC30C3"/>
    <w:rsid w:val="00CC313C"/>
    <w:rsid w:val="00CC3202"/>
    <w:rsid w:val="00CC32A6"/>
    <w:rsid w:val="00CC32F4"/>
    <w:rsid w:val="00CC33CA"/>
    <w:rsid w:val="00CC33DC"/>
    <w:rsid w:val="00CC343A"/>
    <w:rsid w:val="00CC34AB"/>
    <w:rsid w:val="00CC34ED"/>
    <w:rsid w:val="00CC3507"/>
    <w:rsid w:val="00CC3526"/>
    <w:rsid w:val="00CC35C2"/>
    <w:rsid w:val="00CC35F8"/>
    <w:rsid w:val="00CC3607"/>
    <w:rsid w:val="00CC364C"/>
    <w:rsid w:val="00CC3801"/>
    <w:rsid w:val="00CC39C5"/>
    <w:rsid w:val="00CC3A30"/>
    <w:rsid w:val="00CC3A59"/>
    <w:rsid w:val="00CC3C58"/>
    <w:rsid w:val="00CC3CD1"/>
    <w:rsid w:val="00CC3D61"/>
    <w:rsid w:val="00CC3DD2"/>
    <w:rsid w:val="00CC3E3B"/>
    <w:rsid w:val="00CC3E85"/>
    <w:rsid w:val="00CC4052"/>
    <w:rsid w:val="00CC4060"/>
    <w:rsid w:val="00CC40C3"/>
    <w:rsid w:val="00CC40DB"/>
    <w:rsid w:val="00CC431E"/>
    <w:rsid w:val="00CC44FC"/>
    <w:rsid w:val="00CC494E"/>
    <w:rsid w:val="00CC4951"/>
    <w:rsid w:val="00CC4967"/>
    <w:rsid w:val="00CC4A43"/>
    <w:rsid w:val="00CC4A8A"/>
    <w:rsid w:val="00CC4BF5"/>
    <w:rsid w:val="00CC4BFB"/>
    <w:rsid w:val="00CC4C02"/>
    <w:rsid w:val="00CC4C1C"/>
    <w:rsid w:val="00CC4CAC"/>
    <w:rsid w:val="00CC50CE"/>
    <w:rsid w:val="00CC5116"/>
    <w:rsid w:val="00CC5353"/>
    <w:rsid w:val="00CC5514"/>
    <w:rsid w:val="00CC55CE"/>
    <w:rsid w:val="00CC570B"/>
    <w:rsid w:val="00CC572C"/>
    <w:rsid w:val="00CC586B"/>
    <w:rsid w:val="00CC5ACA"/>
    <w:rsid w:val="00CC5B4A"/>
    <w:rsid w:val="00CC5B7B"/>
    <w:rsid w:val="00CC5C3E"/>
    <w:rsid w:val="00CC5C4D"/>
    <w:rsid w:val="00CC5D7F"/>
    <w:rsid w:val="00CC5E6E"/>
    <w:rsid w:val="00CC5F1C"/>
    <w:rsid w:val="00CC5F21"/>
    <w:rsid w:val="00CC5FA4"/>
    <w:rsid w:val="00CC5FD6"/>
    <w:rsid w:val="00CC6061"/>
    <w:rsid w:val="00CC60B2"/>
    <w:rsid w:val="00CC6194"/>
    <w:rsid w:val="00CC61D1"/>
    <w:rsid w:val="00CC6266"/>
    <w:rsid w:val="00CC6267"/>
    <w:rsid w:val="00CC633A"/>
    <w:rsid w:val="00CC65DF"/>
    <w:rsid w:val="00CC65F4"/>
    <w:rsid w:val="00CC663A"/>
    <w:rsid w:val="00CC671F"/>
    <w:rsid w:val="00CC67CA"/>
    <w:rsid w:val="00CC686E"/>
    <w:rsid w:val="00CC68A2"/>
    <w:rsid w:val="00CC68DB"/>
    <w:rsid w:val="00CC6A5F"/>
    <w:rsid w:val="00CC6AF4"/>
    <w:rsid w:val="00CC6B53"/>
    <w:rsid w:val="00CC6B77"/>
    <w:rsid w:val="00CC6C95"/>
    <w:rsid w:val="00CC6E37"/>
    <w:rsid w:val="00CC6E99"/>
    <w:rsid w:val="00CC6F38"/>
    <w:rsid w:val="00CC6F57"/>
    <w:rsid w:val="00CC6F86"/>
    <w:rsid w:val="00CC6FB2"/>
    <w:rsid w:val="00CC705D"/>
    <w:rsid w:val="00CC719C"/>
    <w:rsid w:val="00CC723D"/>
    <w:rsid w:val="00CC72E7"/>
    <w:rsid w:val="00CC740E"/>
    <w:rsid w:val="00CC742C"/>
    <w:rsid w:val="00CC74E6"/>
    <w:rsid w:val="00CC7501"/>
    <w:rsid w:val="00CC7622"/>
    <w:rsid w:val="00CC7625"/>
    <w:rsid w:val="00CC7834"/>
    <w:rsid w:val="00CC7973"/>
    <w:rsid w:val="00CC79CA"/>
    <w:rsid w:val="00CC7A1D"/>
    <w:rsid w:val="00CC7A5B"/>
    <w:rsid w:val="00CC7C9C"/>
    <w:rsid w:val="00CC7CC8"/>
    <w:rsid w:val="00CC7D2C"/>
    <w:rsid w:val="00CC7E7E"/>
    <w:rsid w:val="00CC7EA8"/>
    <w:rsid w:val="00CC7EED"/>
    <w:rsid w:val="00CC7FDD"/>
    <w:rsid w:val="00CD0014"/>
    <w:rsid w:val="00CD00A3"/>
    <w:rsid w:val="00CD00B2"/>
    <w:rsid w:val="00CD00BE"/>
    <w:rsid w:val="00CD02A3"/>
    <w:rsid w:val="00CD02E7"/>
    <w:rsid w:val="00CD0332"/>
    <w:rsid w:val="00CD03B2"/>
    <w:rsid w:val="00CD03F9"/>
    <w:rsid w:val="00CD046D"/>
    <w:rsid w:val="00CD053A"/>
    <w:rsid w:val="00CD0546"/>
    <w:rsid w:val="00CD0640"/>
    <w:rsid w:val="00CD064E"/>
    <w:rsid w:val="00CD067F"/>
    <w:rsid w:val="00CD06CA"/>
    <w:rsid w:val="00CD06F2"/>
    <w:rsid w:val="00CD06F4"/>
    <w:rsid w:val="00CD0716"/>
    <w:rsid w:val="00CD0835"/>
    <w:rsid w:val="00CD0852"/>
    <w:rsid w:val="00CD088B"/>
    <w:rsid w:val="00CD0D46"/>
    <w:rsid w:val="00CD0DD6"/>
    <w:rsid w:val="00CD0E3C"/>
    <w:rsid w:val="00CD0F84"/>
    <w:rsid w:val="00CD109B"/>
    <w:rsid w:val="00CD10A5"/>
    <w:rsid w:val="00CD11C6"/>
    <w:rsid w:val="00CD11FB"/>
    <w:rsid w:val="00CD120C"/>
    <w:rsid w:val="00CD1257"/>
    <w:rsid w:val="00CD131E"/>
    <w:rsid w:val="00CD13DA"/>
    <w:rsid w:val="00CD150F"/>
    <w:rsid w:val="00CD15AF"/>
    <w:rsid w:val="00CD15B9"/>
    <w:rsid w:val="00CD16BC"/>
    <w:rsid w:val="00CD16F7"/>
    <w:rsid w:val="00CD1865"/>
    <w:rsid w:val="00CD1893"/>
    <w:rsid w:val="00CD19A4"/>
    <w:rsid w:val="00CD1A89"/>
    <w:rsid w:val="00CD1C5B"/>
    <w:rsid w:val="00CD1CFD"/>
    <w:rsid w:val="00CD1DB0"/>
    <w:rsid w:val="00CD1DB3"/>
    <w:rsid w:val="00CD1DDB"/>
    <w:rsid w:val="00CD1F03"/>
    <w:rsid w:val="00CD1F19"/>
    <w:rsid w:val="00CD1FA0"/>
    <w:rsid w:val="00CD2037"/>
    <w:rsid w:val="00CD210E"/>
    <w:rsid w:val="00CD2162"/>
    <w:rsid w:val="00CD21FC"/>
    <w:rsid w:val="00CD2243"/>
    <w:rsid w:val="00CD2294"/>
    <w:rsid w:val="00CD237F"/>
    <w:rsid w:val="00CD246B"/>
    <w:rsid w:val="00CD2470"/>
    <w:rsid w:val="00CD2590"/>
    <w:rsid w:val="00CD266C"/>
    <w:rsid w:val="00CD2670"/>
    <w:rsid w:val="00CD2720"/>
    <w:rsid w:val="00CD27C2"/>
    <w:rsid w:val="00CD2A41"/>
    <w:rsid w:val="00CD2AAC"/>
    <w:rsid w:val="00CD2AC4"/>
    <w:rsid w:val="00CD2BF4"/>
    <w:rsid w:val="00CD2C58"/>
    <w:rsid w:val="00CD2C93"/>
    <w:rsid w:val="00CD2CFB"/>
    <w:rsid w:val="00CD2D06"/>
    <w:rsid w:val="00CD2D51"/>
    <w:rsid w:val="00CD2DEC"/>
    <w:rsid w:val="00CD2E3F"/>
    <w:rsid w:val="00CD2E6A"/>
    <w:rsid w:val="00CD2EAB"/>
    <w:rsid w:val="00CD2EBC"/>
    <w:rsid w:val="00CD2FE0"/>
    <w:rsid w:val="00CD3347"/>
    <w:rsid w:val="00CD352E"/>
    <w:rsid w:val="00CD366B"/>
    <w:rsid w:val="00CD3730"/>
    <w:rsid w:val="00CD3787"/>
    <w:rsid w:val="00CD3793"/>
    <w:rsid w:val="00CD37FA"/>
    <w:rsid w:val="00CD3860"/>
    <w:rsid w:val="00CD3989"/>
    <w:rsid w:val="00CD39E8"/>
    <w:rsid w:val="00CD3A30"/>
    <w:rsid w:val="00CD3B89"/>
    <w:rsid w:val="00CD3C50"/>
    <w:rsid w:val="00CD3CFA"/>
    <w:rsid w:val="00CD3D02"/>
    <w:rsid w:val="00CD3D68"/>
    <w:rsid w:val="00CD3D9D"/>
    <w:rsid w:val="00CD3E28"/>
    <w:rsid w:val="00CD3EC9"/>
    <w:rsid w:val="00CD3EDD"/>
    <w:rsid w:val="00CD3EEB"/>
    <w:rsid w:val="00CD3F48"/>
    <w:rsid w:val="00CD3FFE"/>
    <w:rsid w:val="00CD4232"/>
    <w:rsid w:val="00CD4297"/>
    <w:rsid w:val="00CD439B"/>
    <w:rsid w:val="00CD43D4"/>
    <w:rsid w:val="00CD4408"/>
    <w:rsid w:val="00CD444E"/>
    <w:rsid w:val="00CD4610"/>
    <w:rsid w:val="00CD473D"/>
    <w:rsid w:val="00CD4774"/>
    <w:rsid w:val="00CD4849"/>
    <w:rsid w:val="00CD48AF"/>
    <w:rsid w:val="00CD48F5"/>
    <w:rsid w:val="00CD4906"/>
    <w:rsid w:val="00CD4925"/>
    <w:rsid w:val="00CD492D"/>
    <w:rsid w:val="00CD495C"/>
    <w:rsid w:val="00CD4A53"/>
    <w:rsid w:val="00CD4A9B"/>
    <w:rsid w:val="00CD4AAC"/>
    <w:rsid w:val="00CD4D89"/>
    <w:rsid w:val="00CD4D9C"/>
    <w:rsid w:val="00CD4E9A"/>
    <w:rsid w:val="00CD4F71"/>
    <w:rsid w:val="00CD4F82"/>
    <w:rsid w:val="00CD51AB"/>
    <w:rsid w:val="00CD5200"/>
    <w:rsid w:val="00CD5607"/>
    <w:rsid w:val="00CD562E"/>
    <w:rsid w:val="00CD579D"/>
    <w:rsid w:val="00CD580F"/>
    <w:rsid w:val="00CD5829"/>
    <w:rsid w:val="00CD5832"/>
    <w:rsid w:val="00CD595D"/>
    <w:rsid w:val="00CD59E5"/>
    <w:rsid w:val="00CD5C9D"/>
    <w:rsid w:val="00CD5DAF"/>
    <w:rsid w:val="00CD5FD8"/>
    <w:rsid w:val="00CD5FE9"/>
    <w:rsid w:val="00CD60D3"/>
    <w:rsid w:val="00CD6456"/>
    <w:rsid w:val="00CD648A"/>
    <w:rsid w:val="00CD6504"/>
    <w:rsid w:val="00CD6543"/>
    <w:rsid w:val="00CD6670"/>
    <w:rsid w:val="00CD6918"/>
    <w:rsid w:val="00CD69D4"/>
    <w:rsid w:val="00CD6A1D"/>
    <w:rsid w:val="00CD6A28"/>
    <w:rsid w:val="00CD6B55"/>
    <w:rsid w:val="00CD6B7F"/>
    <w:rsid w:val="00CD6CC0"/>
    <w:rsid w:val="00CD6D1F"/>
    <w:rsid w:val="00CD6DA9"/>
    <w:rsid w:val="00CD6E29"/>
    <w:rsid w:val="00CD6FB7"/>
    <w:rsid w:val="00CD7041"/>
    <w:rsid w:val="00CD70B4"/>
    <w:rsid w:val="00CD70B8"/>
    <w:rsid w:val="00CD7184"/>
    <w:rsid w:val="00CD729A"/>
    <w:rsid w:val="00CD7351"/>
    <w:rsid w:val="00CD74F7"/>
    <w:rsid w:val="00CD7564"/>
    <w:rsid w:val="00CD75CB"/>
    <w:rsid w:val="00CD75CD"/>
    <w:rsid w:val="00CD75E7"/>
    <w:rsid w:val="00CD7646"/>
    <w:rsid w:val="00CD765B"/>
    <w:rsid w:val="00CD765C"/>
    <w:rsid w:val="00CD765D"/>
    <w:rsid w:val="00CD7694"/>
    <w:rsid w:val="00CD7710"/>
    <w:rsid w:val="00CD774F"/>
    <w:rsid w:val="00CD778B"/>
    <w:rsid w:val="00CD77F8"/>
    <w:rsid w:val="00CD78AD"/>
    <w:rsid w:val="00CD78BC"/>
    <w:rsid w:val="00CD78C5"/>
    <w:rsid w:val="00CD79B3"/>
    <w:rsid w:val="00CD79D3"/>
    <w:rsid w:val="00CD7A01"/>
    <w:rsid w:val="00CD7A0E"/>
    <w:rsid w:val="00CD7AE8"/>
    <w:rsid w:val="00CD7E79"/>
    <w:rsid w:val="00CD7EE4"/>
    <w:rsid w:val="00CD7F16"/>
    <w:rsid w:val="00CD7F3E"/>
    <w:rsid w:val="00CD7F69"/>
    <w:rsid w:val="00CD7FA8"/>
    <w:rsid w:val="00CE008E"/>
    <w:rsid w:val="00CE00E8"/>
    <w:rsid w:val="00CE0138"/>
    <w:rsid w:val="00CE0185"/>
    <w:rsid w:val="00CE01AE"/>
    <w:rsid w:val="00CE0206"/>
    <w:rsid w:val="00CE02E4"/>
    <w:rsid w:val="00CE030C"/>
    <w:rsid w:val="00CE031E"/>
    <w:rsid w:val="00CE032C"/>
    <w:rsid w:val="00CE0468"/>
    <w:rsid w:val="00CE047B"/>
    <w:rsid w:val="00CE0519"/>
    <w:rsid w:val="00CE05FB"/>
    <w:rsid w:val="00CE069B"/>
    <w:rsid w:val="00CE06CE"/>
    <w:rsid w:val="00CE0852"/>
    <w:rsid w:val="00CE088C"/>
    <w:rsid w:val="00CE0981"/>
    <w:rsid w:val="00CE09F7"/>
    <w:rsid w:val="00CE0AA5"/>
    <w:rsid w:val="00CE0B23"/>
    <w:rsid w:val="00CE0C61"/>
    <w:rsid w:val="00CE0CA1"/>
    <w:rsid w:val="00CE0CD6"/>
    <w:rsid w:val="00CE0D3B"/>
    <w:rsid w:val="00CE0D40"/>
    <w:rsid w:val="00CE0F35"/>
    <w:rsid w:val="00CE0F79"/>
    <w:rsid w:val="00CE0FF1"/>
    <w:rsid w:val="00CE1029"/>
    <w:rsid w:val="00CE1062"/>
    <w:rsid w:val="00CE1174"/>
    <w:rsid w:val="00CE1207"/>
    <w:rsid w:val="00CE1252"/>
    <w:rsid w:val="00CE140D"/>
    <w:rsid w:val="00CE14DF"/>
    <w:rsid w:val="00CE151F"/>
    <w:rsid w:val="00CE15B7"/>
    <w:rsid w:val="00CE1641"/>
    <w:rsid w:val="00CE1665"/>
    <w:rsid w:val="00CE1753"/>
    <w:rsid w:val="00CE17D5"/>
    <w:rsid w:val="00CE1813"/>
    <w:rsid w:val="00CE18B7"/>
    <w:rsid w:val="00CE1C25"/>
    <w:rsid w:val="00CE1C2C"/>
    <w:rsid w:val="00CE1CC6"/>
    <w:rsid w:val="00CE1D4D"/>
    <w:rsid w:val="00CE1DA5"/>
    <w:rsid w:val="00CE1F84"/>
    <w:rsid w:val="00CE2020"/>
    <w:rsid w:val="00CE205C"/>
    <w:rsid w:val="00CE2358"/>
    <w:rsid w:val="00CE24A0"/>
    <w:rsid w:val="00CE259A"/>
    <w:rsid w:val="00CE26A3"/>
    <w:rsid w:val="00CE2AB3"/>
    <w:rsid w:val="00CE2AD7"/>
    <w:rsid w:val="00CE2B21"/>
    <w:rsid w:val="00CE2B39"/>
    <w:rsid w:val="00CE2C11"/>
    <w:rsid w:val="00CE2C43"/>
    <w:rsid w:val="00CE2C67"/>
    <w:rsid w:val="00CE2DD8"/>
    <w:rsid w:val="00CE2DF5"/>
    <w:rsid w:val="00CE324C"/>
    <w:rsid w:val="00CE32B5"/>
    <w:rsid w:val="00CE36BE"/>
    <w:rsid w:val="00CE3708"/>
    <w:rsid w:val="00CE383F"/>
    <w:rsid w:val="00CE397B"/>
    <w:rsid w:val="00CE3B89"/>
    <w:rsid w:val="00CE3C1F"/>
    <w:rsid w:val="00CE3CE2"/>
    <w:rsid w:val="00CE3D81"/>
    <w:rsid w:val="00CE3E20"/>
    <w:rsid w:val="00CE3F62"/>
    <w:rsid w:val="00CE4013"/>
    <w:rsid w:val="00CE41D9"/>
    <w:rsid w:val="00CE426F"/>
    <w:rsid w:val="00CE4301"/>
    <w:rsid w:val="00CE44F3"/>
    <w:rsid w:val="00CE4556"/>
    <w:rsid w:val="00CE4745"/>
    <w:rsid w:val="00CE47C5"/>
    <w:rsid w:val="00CE47EB"/>
    <w:rsid w:val="00CE48C3"/>
    <w:rsid w:val="00CE498A"/>
    <w:rsid w:val="00CE49F4"/>
    <w:rsid w:val="00CE4AB1"/>
    <w:rsid w:val="00CE4AB9"/>
    <w:rsid w:val="00CE4B07"/>
    <w:rsid w:val="00CE4C3D"/>
    <w:rsid w:val="00CE4D4D"/>
    <w:rsid w:val="00CE4E85"/>
    <w:rsid w:val="00CE4F49"/>
    <w:rsid w:val="00CE4F6D"/>
    <w:rsid w:val="00CE4FCB"/>
    <w:rsid w:val="00CE5105"/>
    <w:rsid w:val="00CE52A5"/>
    <w:rsid w:val="00CE56AE"/>
    <w:rsid w:val="00CE5A9F"/>
    <w:rsid w:val="00CE5BF8"/>
    <w:rsid w:val="00CE5C13"/>
    <w:rsid w:val="00CE5C59"/>
    <w:rsid w:val="00CE5D5B"/>
    <w:rsid w:val="00CE5EEB"/>
    <w:rsid w:val="00CE5F00"/>
    <w:rsid w:val="00CE60A2"/>
    <w:rsid w:val="00CE60AF"/>
    <w:rsid w:val="00CE60B8"/>
    <w:rsid w:val="00CE61AC"/>
    <w:rsid w:val="00CE62F0"/>
    <w:rsid w:val="00CE6402"/>
    <w:rsid w:val="00CE6459"/>
    <w:rsid w:val="00CE64BA"/>
    <w:rsid w:val="00CE64D8"/>
    <w:rsid w:val="00CE658E"/>
    <w:rsid w:val="00CE6680"/>
    <w:rsid w:val="00CE676B"/>
    <w:rsid w:val="00CE6801"/>
    <w:rsid w:val="00CE6835"/>
    <w:rsid w:val="00CE6897"/>
    <w:rsid w:val="00CE69F7"/>
    <w:rsid w:val="00CE6AAF"/>
    <w:rsid w:val="00CE6B5C"/>
    <w:rsid w:val="00CE6B6A"/>
    <w:rsid w:val="00CE6DDE"/>
    <w:rsid w:val="00CE6E71"/>
    <w:rsid w:val="00CE6EB5"/>
    <w:rsid w:val="00CE6EC9"/>
    <w:rsid w:val="00CE7082"/>
    <w:rsid w:val="00CE7183"/>
    <w:rsid w:val="00CE71B4"/>
    <w:rsid w:val="00CE71EB"/>
    <w:rsid w:val="00CE7277"/>
    <w:rsid w:val="00CE7296"/>
    <w:rsid w:val="00CE72A5"/>
    <w:rsid w:val="00CE7355"/>
    <w:rsid w:val="00CE7399"/>
    <w:rsid w:val="00CE73D0"/>
    <w:rsid w:val="00CE7662"/>
    <w:rsid w:val="00CE76BF"/>
    <w:rsid w:val="00CE770C"/>
    <w:rsid w:val="00CE7736"/>
    <w:rsid w:val="00CE7803"/>
    <w:rsid w:val="00CE7A1A"/>
    <w:rsid w:val="00CE7A4C"/>
    <w:rsid w:val="00CE7B25"/>
    <w:rsid w:val="00CE7C0A"/>
    <w:rsid w:val="00CE7C9C"/>
    <w:rsid w:val="00CE7D6E"/>
    <w:rsid w:val="00CE7EF7"/>
    <w:rsid w:val="00CE7FA2"/>
    <w:rsid w:val="00CF0322"/>
    <w:rsid w:val="00CF033B"/>
    <w:rsid w:val="00CF04AD"/>
    <w:rsid w:val="00CF050C"/>
    <w:rsid w:val="00CF0577"/>
    <w:rsid w:val="00CF058A"/>
    <w:rsid w:val="00CF069F"/>
    <w:rsid w:val="00CF088F"/>
    <w:rsid w:val="00CF08A8"/>
    <w:rsid w:val="00CF096F"/>
    <w:rsid w:val="00CF0C94"/>
    <w:rsid w:val="00CF0D09"/>
    <w:rsid w:val="00CF0EBC"/>
    <w:rsid w:val="00CF0F1F"/>
    <w:rsid w:val="00CF0FCE"/>
    <w:rsid w:val="00CF0FD6"/>
    <w:rsid w:val="00CF1034"/>
    <w:rsid w:val="00CF1111"/>
    <w:rsid w:val="00CF138C"/>
    <w:rsid w:val="00CF13AF"/>
    <w:rsid w:val="00CF14AB"/>
    <w:rsid w:val="00CF14FC"/>
    <w:rsid w:val="00CF16D2"/>
    <w:rsid w:val="00CF16F0"/>
    <w:rsid w:val="00CF17B2"/>
    <w:rsid w:val="00CF1859"/>
    <w:rsid w:val="00CF18BF"/>
    <w:rsid w:val="00CF18CF"/>
    <w:rsid w:val="00CF1A88"/>
    <w:rsid w:val="00CF1B27"/>
    <w:rsid w:val="00CF1B2C"/>
    <w:rsid w:val="00CF1B33"/>
    <w:rsid w:val="00CF1E6D"/>
    <w:rsid w:val="00CF1FD6"/>
    <w:rsid w:val="00CF20AB"/>
    <w:rsid w:val="00CF20CE"/>
    <w:rsid w:val="00CF20D7"/>
    <w:rsid w:val="00CF2174"/>
    <w:rsid w:val="00CF221E"/>
    <w:rsid w:val="00CF22DD"/>
    <w:rsid w:val="00CF232E"/>
    <w:rsid w:val="00CF25BB"/>
    <w:rsid w:val="00CF25D4"/>
    <w:rsid w:val="00CF2648"/>
    <w:rsid w:val="00CF26BE"/>
    <w:rsid w:val="00CF26E8"/>
    <w:rsid w:val="00CF2743"/>
    <w:rsid w:val="00CF27DB"/>
    <w:rsid w:val="00CF287D"/>
    <w:rsid w:val="00CF2889"/>
    <w:rsid w:val="00CF2988"/>
    <w:rsid w:val="00CF29AB"/>
    <w:rsid w:val="00CF29F6"/>
    <w:rsid w:val="00CF2B20"/>
    <w:rsid w:val="00CF2B74"/>
    <w:rsid w:val="00CF2C83"/>
    <w:rsid w:val="00CF2D31"/>
    <w:rsid w:val="00CF2ECF"/>
    <w:rsid w:val="00CF2EDF"/>
    <w:rsid w:val="00CF2F0B"/>
    <w:rsid w:val="00CF2FD2"/>
    <w:rsid w:val="00CF3068"/>
    <w:rsid w:val="00CF3121"/>
    <w:rsid w:val="00CF313B"/>
    <w:rsid w:val="00CF322D"/>
    <w:rsid w:val="00CF331B"/>
    <w:rsid w:val="00CF3399"/>
    <w:rsid w:val="00CF3511"/>
    <w:rsid w:val="00CF35C7"/>
    <w:rsid w:val="00CF37FC"/>
    <w:rsid w:val="00CF3844"/>
    <w:rsid w:val="00CF3934"/>
    <w:rsid w:val="00CF3B60"/>
    <w:rsid w:val="00CF3B86"/>
    <w:rsid w:val="00CF3BAA"/>
    <w:rsid w:val="00CF3BD3"/>
    <w:rsid w:val="00CF3BFE"/>
    <w:rsid w:val="00CF3C6A"/>
    <w:rsid w:val="00CF3DA9"/>
    <w:rsid w:val="00CF3E16"/>
    <w:rsid w:val="00CF3EA7"/>
    <w:rsid w:val="00CF3EFB"/>
    <w:rsid w:val="00CF403F"/>
    <w:rsid w:val="00CF419D"/>
    <w:rsid w:val="00CF4216"/>
    <w:rsid w:val="00CF4298"/>
    <w:rsid w:val="00CF4337"/>
    <w:rsid w:val="00CF4485"/>
    <w:rsid w:val="00CF462C"/>
    <w:rsid w:val="00CF4671"/>
    <w:rsid w:val="00CF4763"/>
    <w:rsid w:val="00CF47C9"/>
    <w:rsid w:val="00CF47FB"/>
    <w:rsid w:val="00CF4919"/>
    <w:rsid w:val="00CF49FD"/>
    <w:rsid w:val="00CF4A7C"/>
    <w:rsid w:val="00CF4AC1"/>
    <w:rsid w:val="00CF4AFF"/>
    <w:rsid w:val="00CF4B08"/>
    <w:rsid w:val="00CF4B23"/>
    <w:rsid w:val="00CF4B9C"/>
    <w:rsid w:val="00CF4BE8"/>
    <w:rsid w:val="00CF4C57"/>
    <w:rsid w:val="00CF4C78"/>
    <w:rsid w:val="00CF4CD3"/>
    <w:rsid w:val="00CF4D38"/>
    <w:rsid w:val="00CF4E6D"/>
    <w:rsid w:val="00CF4F1C"/>
    <w:rsid w:val="00CF4F8E"/>
    <w:rsid w:val="00CF502E"/>
    <w:rsid w:val="00CF51BD"/>
    <w:rsid w:val="00CF529B"/>
    <w:rsid w:val="00CF56DF"/>
    <w:rsid w:val="00CF57D8"/>
    <w:rsid w:val="00CF584B"/>
    <w:rsid w:val="00CF5991"/>
    <w:rsid w:val="00CF59D2"/>
    <w:rsid w:val="00CF5A81"/>
    <w:rsid w:val="00CF5A9C"/>
    <w:rsid w:val="00CF5AD2"/>
    <w:rsid w:val="00CF5B66"/>
    <w:rsid w:val="00CF5BA6"/>
    <w:rsid w:val="00CF5BC4"/>
    <w:rsid w:val="00CF5BF8"/>
    <w:rsid w:val="00CF5C43"/>
    <w:rsid w:val="00CF5C96"/>
    <w:rsid w:val="00CF5CF3"/>
    <w:rsid w:val="00CF5CF7"/>
    <w:rsid w:val="00CF5D57"/>
    <w:rsid w:val="00CF5DA7"/>
    <w:rsid w:val="00CF5DCF"/>
    <w:rsid w:val="00CF5DFB"/>
    <w:rsid w:val="00CF5EE4"/>
    <w:rsid w:val="00CF5EEF"/>
    <w:rsid w:val="00CF5FA2"/>
    <w:rsid w:val="00CF6179"/>
    <w:rsid w:val="00CF6362"/>
    <w:rsid w:val="00CF63AA"/>
    <w:rsid w:val="00CF6468"/>
    <w:rsid w:val="00CF6475"/>
    <w:rsid w:val="00CF64E9"/>
    <w:rsid w:val="00CF6546"/>
    <w:rsid w:val="00CF656E"/>
    <w:rsid w:val="00CF657B"/>
    <w:rsid w:val="00CF659D"/>
    <w:rsid w:val="00CF66C7"/>
    <w:rsid w:val="00CF6708"/>
    <w:rsid w:val="00CF67A4"/>
    <w:rsid w:val="00CF67DD"/>
    <w:rsid w:val="00CF6860"/>
    <w:rsid w:val="00CF688C"/>
    <w:rsid w:val="00CF692C"/>
    <w:rsid w:val="00CF6A9C"/>
    <w:rsid w:val="00CF6AE9"/>
    <w:rsid w:val="00CF6BD9"/>
    <w:rsid w:val="00CF6D6C"/>
    <w:rsid w:val="00CF6E77"/>
    <w:rsid w:val="00CF6ED2"/>
    <w:rsid w:val="00CF6F6F"/>
    <w:rsid w:val="00CF7001"/>
    <w:rsid w:val="00CF701A"/>
    <w:rsid w:val="00CF72A1"/>
    <w:rsid w:val="00CF72BD"/>
    <w:rsid w:val="00CF73AA"/>
    <w:rsid w:val="00CF7451"/>
    <w:rsid w:val="00CF7475"/>
    <w:rsid w:val="00CF74D2"/>
    <w:rsid w:val="00CF74D5"/>
    <w:rsid w:val="00CF74F0"/>
    <w:rsid w:val="00CF7564"/>
    <w:rsid w:val="00CF7576"/>
    <w:rsid w:val="00CF765B"/>
    <w:rsid w:val="00CF7690"/>
    <w:rsid w:val="00CF7762"/>
    <w:rsid w:val="00CF78A8"/>
    <w:rsid w:val="00CF799C"/>
    <w:rsid w:val="00CF7A6C"/>
    <w:rsid w:val="00CF7B28"/>
    <w:rsid w:val="00CF7B37"/>
    <w:rsid w:val="00CF7D2B"/>
    <w:rsid w:val="00CF7D41"/>
    <w:rsid w:val="00CF7E58"/>
    <w:rsid w:val="00CF7EBB"/>
    <w:rsid w:val="00CF7EEB"/>
    <w:rsid w:val="00CF7F1D"/>
    <w:rsid w:val="00CF7F53"/>
    <w:rsid w:val="00CF7F86"/>
    <w:rsid w:val="00CF7FDD"/>
    <w:rsid w:val="00D00085"/>
    <w:rsid w:val="00D001F6"/>
    <w:rsid w:val="00D00318"/>
    <w:rsid w:val="00D003EB"/>
    <w:rsid w:val="00D00494"/>
    <w:rsid w:val="00D0060A"/>
    <w:rsid w:val="00D00665"/>
    <w:rsid w:val="00D006E8"/>
    <w:rsid w:val="00D006FB"/>
    <w:rsid w:val="00D0075E"/>
    <w:rsid w:val="00D007CE"/>
    <w:rsid w:val="00D0084D"/>
    <w:rsid w:val="00D008EA"/>
    <w:rsid w:val="00D00A1F"/>
    <w:rsid w:val="00D00A24"/>
    <w:rsid w:val="00D00A54"/>
    <w:rsid w:val="00D00CBC"/>
    <w:rsid w:val="00D00D2F"/>
    <w:rsid w:val="00D00D45"/>
    <w:rsid w:val="00D00FA7"/>
    <w:rsid w:val="00D010EC"/>
    <w:rsid w:val="00D0110B"/>
    <w:rsid w:val="00D011D4"/>
    <w:rsid w:val="00D011E4"/>
    <w:rsid w:val="00D01261"/>
    <w:rsid w:val="00D01311"/>
    <w:rsid w:val="00D0136B"/>
    <w:rsid w:val="00D014F6"/>
    <w:rsid w:val="00D01639"/>
    <w:rsid w:val="00D01657"/>
    <w:rsid w:val="00D01675"/>
    <w:rsid w:val="00D016F1"/>
    <w:rsid w:val="00D01796"/>
    <w:rsid w:val="00D0191E"/>
    <w:rsid w:val="00D019BB"/>
    <w:rsid w:val="00D019D0"/>
    <w:rsid w:val="00D01A38"/>
    <w:rsid w:val="00D01AF2"/>
    <w:rsid w:val="00D01B75"/>
    <w:rsid w:val="00D01C31"/>
    <w:rsid w:val="00D01C69"/>
    <w:rsid w:val="00D01DA4"/>
    <w:rsid w:val="00D01E51"/>
    <w:rsid w:val="00D02000"/>
    <w:rsid w:val="00D02067"/>
    <w:rsid w:val="00D020CA"/>
    <w:rsid w:val="00D02227"/>
    <w:rsid w:val="00D022F6"/>
    <w:rsid w:val="00D0248E"/>
    <w:rsid w:val="00D02577"/>
    <w:rsid w:val="00D025DA"/>
    <w:rsid w:val="00D025EA"/>
    <w:rsid w:val="00D02662"/>
    <w:rsid w:val="00D027E9"/>
    <w:rsid w:val="00D028F7"/>
    <w:rsid w:val="00D028FE"/>
    <w:rsid w:val="00D0291D"/>
    <w:rsid w:val="00D0293E"/>
    <w:rsid w:val="00D029C3"/>
    <w:rsid w:val="00D02B6B"/>
    <w:rsid w:val="00D02BA3"/>
    <w:rsid w:val="00D02BF6"/>
    <w:rsid w:val="00D02C86"/>
    <w:rsid w:val="00D02CFB"/>
    <w:rsid w:val="00D02D94"/>
    <w:rsid w:val="00D02E40"/>
    <w:rsid w:val="00D02E92"/>
    <w:rsid w:val="00D02F2C"/>
    <w:rsid w:val="00D03039"/>
    <w:rsid w:val="00D03080"/>
    <w:rsid w:val="00D030E7"/>
    <w:rsid w:val="00D03113"/>
    <w:rsid w:val="00D031AC"/>
    <w:rsid w:val="00D03208"/>
    <w:rsid w:val="00D033B1"/>
    <w:rsid w:val="00D034C2"/>
    <w:rsid w:val="00D034D2"/>
    <w:rsid w:val="00D0354E"/>
    <w:rsid w:val="00D03578"/>
    <w:rsid w:val="00D0358A"/>
    <w:rsid w:val="00D035AB"/>
    <w:rsid w:val="00D035D7"/>
    <w:rsid w:val="00D037EA"/>
    <w:rsid w:val="00D039C9"/>
    <w:rsid w:val="00D039F0"/>
    <w:rsid w:val="00D03A5C"/>
    <w:rsid w:val="00D03BA4"/>
    <w:rsid w:val="00D03C13"/>
    <w:rsid w:val="00D03C32"/>
    <w:rsid w:val="00D03C78"/>
    <w:rsid w:val="00D03D4F"/>
    <w:rsid w:val="00D03EE5"/>
    <w:rsid w:val="00D03F1D"/>
    <w:rsid w:val="00D03F4B"/>
    <w:rsid w:val="00D03F77"/>
    <w:rsid w:val="00D0409E"/>
    <w:rsid w:val="00D0416A"/>
    <w:rsid w:val="00D043A6"/>
    <w:rsid w:val="00D04519"/>
    <w:rsid w:val="00D0454B"/>
    <w:rsid w:val="00D045D1"/>
    <w:rsid w:val="00D04655"/>
    <w:rsid w:val="00D046A0"/>
    <w:rsid w:val="00D046BC"/>
    <w:rsid w:val="00D048A2"/>
    <w:rsid w:val="00D04951"/>
    <w:rsid w:val="00D049A2"/>
    <w:rsid w:val="00D049CF"/>
    <w:rsid w:val="00D04C53"/>
    <w:rsid w:val="00D04C54"/>
    <w:rsid w:val="00D04CFC"/>
    <w:rsid w:val="00D04D48"/>
    <w:rsid w:val="00D05039"/>
    <w:rsid w:val="00D05050"/>
    <w:rsid w:val="00D050DA"/>
    <w:rsid w:val="00D051AB"/>
    <w:rsid w:val="00D052AC"/>
    <w:rsid w:val="00D05336"/>
    <w:rsid w:val="00D0559D"/>
    <w:rsid w:val="00D055CE"/>
    <w:rsid w:val="00D0567D"/>
    <w:rsid w:val="00D0588C"/>
    <w:rsid w:val="00D05968"/>
    <w:rsid w:val="00D05ADB"/>
    <w:rsid w:val="00D05B43"/>
    <w:rsid w:val="00D05B9B"/>
    <w:rsid w:val="00D05BA7"/>
    <w:rsid w:val="00D05BB2"/>
    <w:rsid w:val="00D05BF9"/>
    <w:rsid w:val="00D05C60"/>
    <w:rsid w:val="00D05D86"/>
    <w:rsid w:val="00D05E93"/>
    <w:rsid w:val="00D060A2"/>
    <w:rsid w:val="00D0616C"/>
    <w:rsid w:val="00D062A2"/>
    <w:rsid w:val="00D06303"/>
    <w:rsid w:val="00D06334"/>
    <w:rsid w:val="00D0639A"/>
    <w:rsid w:val="00D06472"/>
    <w:rsid w:val="00D064C4"/>
    <w:rsid w:val="00D0652B"/>
    <w:rsid w:val="00D06730"/>
    <w:rsid w:val="00D06879"/>
    <w:rsid w:val="00D06A44"/>
    <w:rsid w:val="00D06AEF"/>
    <w:rsid w:val="00D06B9F"/>
    <w:rsid w:val="00D06BF6"/>
    <w:rsid w:val="00D06D97"/>
    <w:rsid w:val="00D06E79"/>
    <w:rsid w:val="00D06F07"/>
    <w:rsid w:val="00D06F4C"/>
    <w:rsid w:val="00D06F56"/>
    <w:rsid w:val="00D07023"/>
    <w:rsid w:val="00D07038"/>
    <w:rsid w:val="00D07064"/>
    <w:rsid w:val="00D071EE"/>
    <w:rsid w:val="00D072B9"/>
    <w:rsid w:val="00D073D6"/>
    <w:rsid w:val="00D073DB"/>
    <w:rsid w:val="00D073DF"/>
    <w:rsid w:val="00D073F4"/>
    <w:rsid w:val="00D074C4"/>
    <w:rsid w:val="00D07738"/>
    <w:rsid w:val="00D078AF"/>
    <w:rsid w:val="00D078C9"/>
    <w:rsid w:val="00D078E6"/>
    <w:rsid w:val="00D079F1"/>
    <w:rsid w:val="00D07B84"/>
    <w:rsid w:val="00D07C49"/>
    <w:rsid w:val="00D07DCD"/>
    <w:rsid w:val="00D07F7B"/>
    <w:rsid w:val="00D07FDB"/>
    <w:rsid w:val="00D10180"/>
    <w:rsid w:val="00D101B2"/>
    <w:rsid w:val="00D102EE"/>
    <w:rsid w:val="00D1030D"/>
    <w:rsid w:val="00D1030F"/>
    <w:rsid w:val="00D10312"/>
    <w:rsid w:val="00D103D6"/>
    <w:rsid w:val="00D1050E"/>
    <w:rsid w:val="00D1057F"/>
    <w:rsid w:val="00D10581"/>
    <w:rsid w:val="00D10686"/>
    <w:rsid w:val="00D106C5"/>
    <w:rsid w:val="00D10824"/>
    <w:rsid w:val="00D108A1"/>
    <w:rsid w:val="00D1093E"/>
    <w:rsid w:val="00D10A6D"/>
    <w:rsid w:val="00D10AD1"/>
    <w:rsid w:val="00D10BBF"/>
    <w:rsid w:val="00D10C6A"/>
    <w:rsid w:val="00D10D39"/>
    <w:rsid w:val="00D10D58"/>
    <w:rsid w:val="00D10D5D"/>
    <w:rsid w:val="00D10DAD"/>
    <w:rsid w:val="00D10F7D"/>
    <w:rsid w:val="00D11042"/>
    <w:rsid w:val="00D11090"/>
    <w:rsid w:val="00D11132"/>
    <w:rsid w:val="00D112C9"/>
    <w:rsid w:val="00D112F1"/>
    <w:rsid w:val="00D1132C"/>
    <w:rsid w:val="00D1138D"/>
    <w:rsid w:val="00D11420"/>
    <w:rsid w:val="00D11428"/>
    <w:rsid w:val="00D11489"/>
    <w:rsid w:val="00D114A7"/>
    <w:rsid w:val="00D1151D"/>
    <w:rsid w:val="00D11577"/>
    <w:rsid w:val="00D11579"/>
    <w:rsid w:val="00D115D6"/>
    <w:rsid w:val="00D1164A"/>
    <w:rsid w:val="00D116C0"/>
    <w:rsid w:val="00D1178B"/>
    <w:rsid w:val="00D11B69"/>
    <w:rsid w:val="00D11BE6"/>
    <w:rsid w:val="00D11D36"/>
    <w:rsid w:val="00D11E53"/>
    <w:rsid w:val="00D11F6B"/>
    <w:rsid w:val="00D12029"/>
    <w:rsid w:val="00D12064"/>
    <w:rsid w:val="00D12084"/>
    <w:rsid w:val="00D12091"/>
    <w:rsid w:val="00D12170"/>
    <w:rsid w:val="00D1240C"/>
    <w:rsid w:val="00D1252D"/>
    <w:rsid w:val="00D125FE"/>
    <w:rsid w:val="00D12661"/>
    <w:rsid w:val="00D12666"/>
    <w:rsid w:val="00D126BE"/>
    <w:rsid w:val="00D126C7"/>
    <w:rsid w:val="00D12707"/>
    <w:rsid w:val="00D12712"/>
    <w:rsid w:val="00D12808"/>
    <w:rsid w:val="00D12857"/>
    <w:rsid w:val="00D128B1"/>
    <w:rsid w:val="00D128B4"/>
    <w:rsid w:val="00D12959"/>
    <w:rsid w:val="00D1298E"/>
    <w:rsid w:val="00D129D0"/>
    <w:rsid w:val="00D129D2"/>
    <w:rsid w:val="00D12AB4"/>
    <w:rsid w:val="00D12B77"/>
    <w:rsid w:val="00D12DFA"/>
    <w:rsid w:val="00D12E31"/>
    <w:rsid w:val="00D12E4C"/>
    <w:rsid w:val="00D12EF1"/>
    <w:rsid w:val="00D12FAD"/>
    <w:rsid w:val="00D1302A"/>
    <w:rsid w:val="00D1309C"/>
    <w:rsid w:val="00D1310A"/>
    <w:rsid w:val="00D13181"/>
    <w:rsid w:val="00D133E4"/>
    <w:rsid w:val="00D133EE"/>
    <w:rsid w:val="00D13626"/>
    <w:rsid w:val="00D136EE"/>
    <w:rsid w:val="00D1375D"/>
    <w:rsid w:val="00D1399A"/>
    <w:rsid w:val="00D13A54"/>
    <w:rsid w:val="00D13A79"/>
    <w:rsid w:val="00D13AFF"/>
    <w:rsid w:val="00D13B2B"/>
    <w:rsid w:val="00D13BB8"/>
    <w:rsid w:val="00D13C05"/>
    <w:rsid w:val="00D13C7D"/>
    <w:rsid w:val="00D13D1B"/>
    <w:rsid w:val="00D13D4A"/>
    <w:rsid w:val="00D13DDF"/>
    <w:rsid w:val="00D1404E"/>
    <w:rsid w:val="00D14104"/>
    <w:rsid w:val="00D141EE"/>
    <w:rsid w:val="00D1421B"/>
    <w:rsid w:val="00D1423E"/>
    <w:rsid w:val="00D14256"/>
    <w:rsid w:val="00D143C7"/>
    <w:rsid w:val="00D143D9"/>
    <w:rsid w:val="00D1440F"/>
    <w:rsid w:val="00D14426"/>
    <w:rsid w:val="00D1450E"/>
    <w:rsid w:val="00D14512"/>
    <w:rsid w:val="00D14668"/>
    <w:rsid w:val="00D147EA"/>
    <w:rsid w:val="00D149BD"/>
    <w:rsid w:val="00D14AE0"/>
    <w:rsid w:val="00D14B10"/>
    <w:rsid w:val="00D14C8F"/>
    <w:rsid w:val="00D14CF2"/>
    <w:rsid w:val="00D14F59"/>
    <w:rsid w:val="00D14FE3"/>
    <w:rsid w:val="00D15054"/>
    <w:rsid w:val="00D1529C"/>
    <w:rsid w:val="00D152B5"/>
    <w:rsid w:val="00D15383"/>
    <w:rsid w:val="00D15422"/>
    <w:rsid w:val="00D154EE"/>
    <w:rsid w:val="00D155C3"/>
    <w:rsid w:val="00D156C7"/>
    <w:rsid w:val="00D156EE"/>
    <w:rsid w:val="00D15879"/>
    <w:rsid w:val="00D158CF"/>
    <w:rsid w:val="00D1594C"/>
    <w:rsid w:val="00D15A58"/>
    <w:rsid w:val="00D15A6D"/>
    <w:rsid w:val="00D15AA1"/>
    <w:rsid w:val="00D15B34"/>
    <w:rsid w:val="00D15B43"/>
    <w:rsid w:val="00D15BCE"/>
    <w:rsid w:val="00D15D97"/>
    <w:rsid w:val="00D15E54"/>
    <w:rsid w:val="00D15EB4"/>
    <w:rsid w:val="00D15EF6"/>
    <w:rsid w:val="00D15F37"/>
    <w:rsid w:val="00D15FBA"/>
    <w:rsid w:val="00D1623A"/>
    <w:rsid w:val="00D16253"/>
    <w:rsid w:val="00D16308"/>
    <w:rsid w:val="00D16347"/>
    <w:rsid w:val="00D16362"/>
    <w:rsid w:val="00D163AC"/>
    <w:rsid w:val="00D1646C"/>
    <w:rsid w:val="00D1667E"/>
    <w:rsid w:val="00D166F6"/>
    <w:rsid w:val="00D167C7"/>
    <w:rsid w:val="00D167DB"/>
    <w:rsid w:val="00D16879"/>
    <w:rsid w:val="00D168BC"/>
    <w:rsid w:val="00D1694A"/>
    <w:rsid w:val="00D16951"/>
    <w:rsid w:val="00D16998"/>
    <w:rsid w:val="00D169A1"/>
    <w:rsid w:val="00D169EB"/>
    <w:rsid w:val="00D16A28"/>
    <w:rsid w:val="00D16A61"/>
    <w:rsid w:val="00D16AFF"/>
    <w:rsid w:val="00D16B5B"/>
    <w:rsid w:val="00D16C19"/>
    <w:rsid w:val="00D16CB0"/>
    <w:rsid w:val="00D16CE1"/>
    <w:rsid w:val="00D16E26"/>
    <w:rsid w:val="00D16E37"/>
    <w:rsid w:val="00D16F70"/>
    <w:rsid w:val="00D1705D"/>
    <w:rsid w:val="00D170CE"/>
    <w:rsid w:val="00D170FE"/>
    <w:rsid w:val="00D17205"/>
    <w:rsid w:val="00D17244"/>
    <w:rsid w:val="00D1724F"/>
    <w:rsid w:val="00D1725D"/>
    <w:rsid w:val="00D172EF"/>
    <w:rsid w:val="00D17310"/>
    <w:rsid w:val="00D17395"/>
    <w:rsid w:val="00D173FD"/>
    <w:rsid w:val="00D17434"/>
    <w:rsid w:val="00D174B5"/>
    <w:rsid w:val="00D174B8"/>
    <w:rsid w:val="00D174D4"/>
    <w:rsid w:val="00D174E9"/>
    <w:rsid w:val="00D17551"/>
    <w:rsid w:val="00D177E4"/>
    <w:rsid w:val="00D17965"/>
    <w:rsid w:val="00D17A5D"/>
    <w:rsid w:val="00D17ABE"/>
    <w:rsid w:val="00D17AC3"/>
    <w:rsid w:val="00D17B18"/>
    <w:rsid w:val="00D17BF6"/>
    <w:rsid w:val="00D17CB9"/>
    <w:rsid w:val="00D17D08"/>
    <w:rsid w:val="00D17D3A"/>
    <w:rsid w:val="00D17D86"/>
    <w:rsid w:val="00D17DBC"/>
    <w:rsid w:val="00D17EFB"/>
    <w:rsid w:val="00D17F34"/>
    <w:rsid w:val="00D17F77"/>
    <w:rsid w:val="00D17FAC"/>
    <w:rsid w:val="00D2003F"/>
    <w:rsid w:val="00D20073"/>
    <w:rsid w:val="00D200A4"/>
    <w:rsid w:val="00D20188"/>
    <w:rsid w:val="00D2021E"/>
    <w:rsid w:val="00D20370"/>
    <w:rsid w:val="00D20381"/>
    <w:rsid w:val="00D20442"/>
    <w:rsid w:val="00D2051D"/>
    <w:rsid w:val="00D20593"/>
    <w:rsid w:val="00D20639"/>
    <w:rsid w:val="00D207D0"/>
    <w:rsid w:val="00D207EA"/>
    <w:rsid w:val="00D207F2"/>
    <w:rsid w:val="00D2084A"/>
    <w:rsid w:val="00D20928"/>
    <w:rsid w:val="00D2092E"/>
    <w:rsid w:val="00D20960"/>
    <w:rsid w:val="00D209AA"/>
    <w:rsid w:val="00D20A7C"/>
    <w:rsid w:val="00D20B2D"/>
    <w:rsid w:val="00D20BC6"/>
    <w:rsid w:val="00D20E38"/>
    <w:rsid w:val="00D20E45"/>
    <w:rsid w:val="00D20EF7"/>
    <w:rsid w:val="00D21000"/>
    <w:rsid w:val="00D21048"/>
    <w:rsid w:val="00D210FE"/>
    <w:rsid w:val="00D2111E"/>
    <w:rsid w:val="00D2126E"/>
    <w:rsid w:val="00D2130A"/>
    <w:rsid w:val="00D213B4"/>
    <w:rsid w:val="00D214A9"/>
    <w:rsid w:val="00D21523"/>
    <w:rsid w:val="00D215C9"/>
    <w:rsid w:val="00D21676"/>
    <w:rsid w:val="00D21697"/>
    <w:rsid w:val="00D217AB"/>
    <w:rsid w:val="00D217FF"/>
    <w:rsid w:val="00D218A6"/>
    <w:rsid w:val="00D21959"/>
    <w:rsid w:val="00D219D1"/>
    <w:rsid w:val="00D21CA0"/>
    <w:rsid w:val="00D21D1D"/>
    <w:rsid w:val="00D21E3C"/>
    <w:rsid w:val="00D21EBB"/>
    <w:rsid w:val="00D21F0D"/>
    <w:rsid w:val="00D21F5E"/>
    <w:rsid w:val="00D2207E"/>
    <w:rsid w:val="00D2208F"/>
    <w:rsid w:val="00D22122"/>
    <w:rsid w:val="00D2218C"/>
    <w:rsid w:val="00D22276"/>
    <w:rsid w:val="00D2227A"/>
    <w:rsid w:val="00D222DB"/>
    <w:rsid w:val="00D223A8"/>
    <w:rsid w:val="00D223FE"/>
    <w:rsid w:val="00D225FB"/>
    <w:rsid w:val="00D2260E"/>
    <w:rsid w:val="00D2266A"/>
    <w:rsid w:val="00D226DD"/>
    <w:rsid w:val="00D2272B"/>
    <w:rsid w:val="00D22828"/>
    <w:rsid w:val="00D228C5"/>
    <w:rsid w:val="00D228F8"/>
    <w:rsid w:val="00D229D3"/>
    <w:rsid w:val="00D229D9"/>
    <w:rsid w:val="00D22B6D"/>
    <w:rsid w:val="00D22B86"/>
    <w:rsid w:val="00D22C19"/>
    <w:rsid w:val="00D22DB9"/>
    <w:rsid w:val="00D22DEE"/>
    <w:rsid w:val="00D22E11"/>
    <w:rsid w:val="00D22F67"/>
    <w:rsid w:val="00D23046"/>
    <w:rsid w:val="00D23050"/>
    <w:rsid w:val="00D231DF"/>
    <w:rsid w:val="00D23312"/>
    <w:rsid w:val="00D23327"/>
    <w:rsid w:val="00D23360"/>
    <w:rsid w:val="00D235F8"/>
    <w:rsid w:val="00D2363F"/>
    <w:rsid w:val="00D23959"/>
    <w:rsid w:val="00D23AE4"/>
    <w:rsid w:val="00D23B5D"/>
    <w:rsid w:val="00D23B93"/>
    <w:rsid w:val="00D23C1C"/>
    <w:rsid w:val="00D23C86"/>
    <w:rsid w:val="00D23CEC"/>
    <w:rsid w:val="00D23D38"/>
    <w:rsid w:val="00D23D80"/>
    <w:rsid w:val="00D23E8E"/>
    <w:rsid w:val="00D241B2"/>
    <w:rsid w:val="00D2427B"/>
    <w:rsid w:val="00D242EE"/>
    <w:rsid w:val="00D24314"/>
    <w:rsid w:val="00D24456"/>
    <w:rsid w:val="00D244D5"/>
    <w:rsid w:val="00D245A2"/>
    <w:rsid w:val="00D245BA"/>
    <w:rsid w:val="00D24638"/>
    <w:rsid w:val="00D2474F"/>
    <w:rsid w:val="00D248AA"/>
    <w:rsid w:val="00D249B8"/>
    <w:rsid w:val="00D24B4E"/>
    <w:rsid w:val="00D24C63"/>
    <w:rsid w:val="00D24DFE"/>
    <w:rsid w:val="00D24E2E"/>
    <w:rsid w:val="00D24EA0"/>
    <w:rsid w:val="00D24F02"/>
    <w:rsid w:val="00D24F84"/>
    <w:rsid w:val="00D2505A"/>
    <w:rsid w:val="00D25076"/>
    <w:rsid w:val="00D253D9"/>
    <w:rsid w:val="00D25572"/>
    <w:rsid w:val="00D25582"/>
    <w:rsid w:val="00D255A3"/>
    <w:rsid w:val="00D255E1"/>
    <w:rsid w:val="00D25681"/>
    <w:rsid w:val="00D2575F"/>
    <w:rsid w:val="00D25788"/>
    <w:rsid w:val="00D2585D"/>
    <w:rsid w:val="00D2588B"/>
    <w:rsid w:val="00D259CD"/>
    <w:rsid w:val="00D25D5C"/>
    <w:rsid w:val="00D25DAD"/>
    <w:rsid w:val="00D25E3C"/>
    <w:rsid w:val="00D25E5D"/>
    <w:rsid w:val="00D25EA7"/>
    <w:rsid w:val="00D25F43"/>
    <w:rsid w:val="00D25F7D"/>
    <w:rsid w:val="00D25FC9"/>
    <w:rsid w:val="00D2607A"/>
    <w:rsid w:val="00D26111"/>
    <w:rsid w:val="00D26200"/>
    <w:rsid w:val="00D26318"/>
    <w:rsid w:val="00D26352"/>
    <w:rsid w:val="00D26356"/>
    <w:rsid w:val="00D26463"/>
    <w:rsid w:val="00D2646A"/>
    <w:rsid w:val="00D26538"/>
    <w:rsid w:val="00D265AC"/>
    <w:rsid w:val="00D265CC"/>
    <w:rsid w:val="00D265DE"/>
    <w:rsid w:val="00D2669D"/>
    <w:rsid w:val="00D266BE"/>
    <w:rsid w:val="00D267E7"/>
    <w:rsid w:val="00D269C3"/>
    <w:rsid w:val="00D26A21"/>
    <w:rsid w:val="00D26A82"/>
    <w:rsid w:val="00D26AED"/>
    <w:rsid w:val="00D26B57"/>
    <w:rsid w:val="00D26E41"/>
    <w:rsid w:val="00D26EB1"/>
    <w:rsid w:val="00D26FBB"/>
    <w:rsid w:val="00D270B8"/>
    <w:rsid w:val="00D270F6"/>
    <w:rsid w:val="00D27443"/>
    <w:rsid w:val="00D274A5"/>
    <w:rsid w:val="00D27557"/>
    <w:rsid w:val="00D276F5"/>
    <w:rsid w:val="00D277B4"/>
    <w:rsid w:val="00D277BF"/>
    <w:rsid w:val="00D277C0"/>
    <w:rsid w:val="00D2790D"/>
    <w:rsid w:val="00D279B0"/>
    <w:rsid w:val="00D279E1"/>
    <w:rsid w:val="00D279E6"/>
    <w:rsid w:val="00D27B5F"/>
    <w:rsid w:val="00D27B77"/>
    <w:rsid w:val="00D27C2F"/>
    <w:rsid w:val="00D27C7D"/>
    <w:rsid w:val="00D27CB1"/>
    <w:rsid w:val="00D27DFB"/>
    <w:rsid w:val="00D27EBF"/>
    <w:rsid w:val="00D27F42"/>
    <w:rsid w:val="00D27F62"/>
    <w:rsid w:val="00D27FF2"/>
    <w:rsid w:val="00D300B9"/>
    <w:rsid w:val="00D3011C"/>
    <w:rsid w:val="00D30230"/>
    <w:rsid w:val="00D3025F"/>
    <w:rsid w:val="00D30262"/>
    <w:rsid w:val="00D30343"/>
    <w:rsid w:val="00D303C0"/>
    <w:rsid w:val="00D30436"/>
    <w:rsid w:val="00D3050B"/>
    <w:rsid w:val="00D30518"/>
    <w:rsid w:val="00D305BF"/>
    <w:rsid w:val="00D30747"/>
    <w:rsid w:val="00D307BC"/>
    <w:rsid w:val="00D3089D"/>
    <w:rsid w:val="00D3097B"/>
    <w:rsid w:val="00D30A65"/>
    <w:rsid w:val="00D30BB8"/>
    <w:rsid w:val="00D30EF7"/>
    <w:rsid w:val="00D30F90"/>
    <w:rsid w:val="00D310BF"/>
    <w:rsid w:val="00D31142"/>
    <w:rsid w:val="00D31179"/>
    <w:rsid w:val="00D3133C"/>
    <w:rsid w:val="00D31383"/>
    <w:rsid w:val="00D3142B"/>
    <w:rsid w:val="00D31543"/>
    <w:rsid w:val="00D31661"/>
    <w:rsid w:val="00D316C7"/>
    <w:rsid w:val="00D316D8"/>
    <w:rsid w:val="00D31707"/>
    <w:rsid w:val="00D31782"/>
    <w:rsid w:val="00D31880"/>
    <w:rsid w:val="00D318C6"/>
    <w:rsid w:val="00D31940"/>
    <w:rsid w:val="00D319F7"/>
    <w:rsid w:val="00D31A70"/>
    <w:rsid w:val="00D31B6D"/>
    <w:rsid w:val="00D31CA0"/>
    <w:rsid w:val="00D31E1E"/>
    <w:rsid w:val="00D31E33"/>
    <w:rsid w:val="00D32023"/>
    <w:rsid w:val="00D3202B"/>
    <w:rsid w:val="00D3204C"/>
    <w:rsid w:val="00D32052"/>
    <w:rsid w:val="00D3205D"/>
    <w:rsid w:val="00D32269"/>
    <w:rsid w:val="00D322E0"/>
    <w:rsid w:val="00D32493"/>
    <w:rsid w:val="00D32664"/>
    <w:rsid w:val="00D326A3"/>
    <w:rsid w:val="00D32712"/>
    <w:rsid w:val="00D32753"/>
    <w:rsid w:val="00D32856"/>
    <w:rsid w:val="00D328C3"/>
    <w:rsid w:val="00D32973"/>
    <w:rsid w:val="00D32A99"/>
    <w:rsid w:val="00D32B8D"/>
    <w:rsid w:val="00D32BDE"/>
    <w:rsid w:val="00D32DAE"/>
    <w:rsid w:val="00D32DE9"/>
    <w:rsid w:val="00D33005"/>
    <w:rsid w:val="00D3315B"/>
    <w:rsid w:val="00D331CC"/>
    <w:rsid w:val="00D3320C"/>
    <w:rsid w:val="00D33430"/>
    <w:rsid w:val="00D33567"/>
    <w:rsid w:val="00D335A4"/>
    <w:rsid w:val="00D336E2"/>
    <w:rsid w:val="00D33708"/>
    <w:rsid w:val="00D3378A"/>
    <w:rsid w:val="00D33803"/>
    <w:rsid w:val="00D33847"/>
    <w:rsid w:val="00D3388A"/>
    <w:rsid w:val="00D338DA"/>
    <w:rsid w:val="00D3395F"/>
    <w:rsid w:val="00D33A38"/>
    <w:rsid w:val="00D33B11"/>
    <w:rsid w:val="00D33BD8"/>
    <w:rsid w:val="00D33BFB"/>
    <w:rsid w:val="00D33F8F"/>
    <w:rsid w:val="00D33F9A"/>
    <w:rsid w:val="00D33F9E"/>
    <w:rsid w:val="00D3402A"/>
    <w:rsid w:val="00D34080"/>
    <w:rsid w:val="00D34090"/>
    <w:rsid w:val="00D343CC"/>
    <w:rsid w:val="00D3442A"/>
    <w:rsid w:val="00D34433"/>
    <w:rsid w:val="00D34537"/>
    <w:rsid w:val="00D3454C"/>
    <w:rsid w:val="00D3475C"/>
    <w:rsid w:val="00D34780"/>
    <w:rsid w:val="00D347FA"/>
    <w:rsid w:val="00D34921"/>
    <w:rsid w:val="00D34965"/>
    <w:rsid w:val="00D349DB"/>
    <w:rsid w:val="00D349FD"/>
    <w:rsid w:val="00D34A14"/>
    <w:rsid w:val="00D34A80"/>
    <w:rsid w:val="00D34A81"/>
    <w:rsid w:val="00D34AD6"/>
    <w:rsid w:val="00D34CCD"/>
    <w:rsid w:val="00D34D26"/>
    <w:rsid w:val="00D34D9B"/>
    <w:rsid w:val="00D34FF3"/>
    <w:rsid w:val="00D35204"/>
    <w:rsid w:val="00D35259"/>
    <w:rsid w:val="00D352C6"/>
    <w:rsid w:val="00D3532E"/>
    <w:rsid w:val="00D35388"/>
    <w:rsid w:val="00D35390"/>
    <w:rsid w:val="00D35438"/>
    <w:rsid w:val="00D354DE"/>
    <w:rsid w:val="00D35515"/>
    <w:rsid w:val="00D355FA"/>
    <w:rsid w:val="00D356C5"/>
    <w:rsid w:val="00D357A2"/>
    <w:rsid w:val="00D35948"/>
    <w:rsid w:val="00D35957"/>
    <w:rsid w:val="00D35A61"/>
    <w:rsid w:val="00D35A8D"/>
    <w:rsid w:val="00D35D71"/>
    <w:rsid w:val="00D35F69"/>
    <w:rsid w:val="00D35F7D"/>
    <w:rsid w:val="00D35FB8"/>
    <w:rsid w:val="00D36138"/>
    <w:rsid w:val="00D36149"/>
    <w:rsid w:val="00D36273"/>
    <w:rsid w:val="00D362EE"/>
    <w:rsid w:val="00D3634F"/>
    <w:rsid w:val="00D36575"/>
    <w:rsid w:val="00D36724"/>
    <w:rsid w:val="00D367A3"/>
    <w:rsid w:val="00D3695C"/>
    <w:rsid w:val="00D36994"/>
    <w:rsid w:val="00D36A12"/>
    <w:rsid w:val="00D36AF7"/>
    <w:rsid w:val="00D36AFB"/>
    <w:rsid w:val="00D36B42"/>
    <w:rsid w:val="00D36BD5"/>
    <w:rsid w:val="00D36CF8"/>
    <w:rsid w:val="00D36D45"/>
    <w:rsid w:val="00D36D99"/>
    <w:rsid w:val="00D36FB0"/>
    <w:rsid w:val="00D36FC9"/>
    <w:rsid w:val="00D3706E"/>
    <w:rsid w:val="00D370B0"/>
    <w:rsid w:val="00D370B2"/>
    <w:rsid w:val="00D372A7"/>
    <w:rsid w:val="00D3735C"/>
    <w:rsid w:val="00D37421"/>
    <w:rsid w:val="00D375A7"/>
    <w:rsid w:val="00D37719"/>
    <w:rsid w:val="00D3773E"/>
    <w:rsid w:val="00D3776C"/>
    <w:rsid w:val="00D377C1"/>
    <w:rsid w:val="00D378C0"/>
    <w:rsid w:val="00D3791F"/>
    <w:rsid w:val="00D37A65"/>
    <w:rsid w:val="00D37AF1"/>
    <w:rsid w:val="00D37BF6"/>
    <w:rsid w:val="00D37C72"/>
    <w:rsid w:val="00D37CA6"/>
    <w:rsid w:val="00D37D6D"/>
    <w:rsid w:val="00D37DA4"/>
    <w:rsid w:val="00D37DA9"/>
    <w:rsid w:val="00D37F7C"/>
    <w:rsid w:val="00D4002E"/>
    <w:rsid w:val="00D400E7"/>
    <w:rsid w:val="00D40178"/>
    <w:rsid w:val="00D40270"/>
    <w:rsid w:val="00D402A2"/>
    <w:rsid w:val="00D402A7"/>
    <w:rsid w:val="00D402AD"/>
    <w:rsid w:val="00D402F0"/>
    <w:rsid w:val="00D402FA"/>
    <w:rsid w:val="00D40387"/>
    <w:rsid w:val="00D405C5"/>
    <w:rsid w:val="00D40609"/>
    <w:rsid w:val="00D40626"/>
    <w:rsid w:val="00D4062E"/>
    <w:rsid w:val="00D40854"/>
    <w:rsid w:val="00D408A9"/>
    <w:rsid w:val="00D408D4"/>
    <w:rsid w:val="00D40A5D"/>
    <w:rsid w:val="00D40AB5"/>
    <w:rsid w:val="00D40B81"/>
    <w:rsid w:val="00D40B92"/>
    <w:rsid w:val="00D40BAB"/>
    <w:rsid w:val="00D40C6B"/>
    <w:rsid w:val="00D40C9A"/>
    <w:rsid w:val="00D40D9E"/>
    <w:rsid w:val="00D40DFD"/>
    <w:rsid w:val="00D40E1D"/>
    <w:rsid w:val="00D40E86"/>
    <w:rsid w:val="00D40EAD"/>
    <w:rsid w:val="00D40F7F"/>
    <w:rsid w:val="00D4104E"/>
    <w:rsid w:val="00D410A9"/>
    <w:rsid w:val="00D410D3"/>
    <w:rsid w:val="00D410E9"/>
    <w:rsid w:val="00D412C5"/>
    <w:rsid w:val="00D4132C"/>
    <w:rsid w:val="00D413C2"/>
    <w:rsid w:val="00D41456"/>
    <w:rsid w:val="00D415D2"/>
    <w:rsid w:val="00D41706"/>
    <w:rsid w:val="00D4173F"/>
    <w:rsid w:val="00D4188B"/>
    <w:rsid w:val="00D418E0"/>
    <w:rsid w:val="00D41A78"/>
    <w:rsid w:val="00D41AAD"/>
    <w:rsid w:val="00D41B6C"/>
    <w:rsid w:val="00D41BC6"/>
    <w:rsid w:val="00D41BFF"/>
    <w:rsid w:val="00D41C60"/>
    <w:rsid w:val="00D41C96"/>
    <w:rsid w:val="00D41CD0"/>
    <w:rsid w:val="00D41D8C"/>
    <w:rsid w:val="00D41DBB"/>
    <w:rsid w:val="00D42072"/>
    <w:rsid w:val="00D42108"/>
    <w:rsid w:val="00D42130"/>
    <w:rsid w:val="00D42144"/>
    <w:rsid w:val="00D421BF"/>
    <w:rsid w:val="00D42299"/>
    <w:rsid w:val="00D4246A"/>
    <w:rsid w:val="00D42484"/>
    <w:rsid w:val="00D42522"/>
    <w:rsid w:val="00D425A0"/>
    <w:rsid w:val="00D42649"/>
    <w:rsid w:val="00D426BE"/>
    <w:rsid w:val="00D42795"/>
    <w:rsid w:val="00D428BA"/>
    <w:rsid w:val="00D4292F"/>
    <w:rsid w:val="00D42950"/>
    <w:rsid w:val="00D42B18"/>
    <w:rsid w:val="00D42B81"/>
    <w:rsid w:val="00D42BB5"/>
    <w:rsid w:val="00D42C43"/>
    <w:rsid w:val="00D42CE6"/>
    <w:rsid w:val="00D42D04"/>
    <w:rsid w:val="00D42D39"/>
    <w:rsid w:val="00D42D43"/>
    <w:rsid w:val="00D42D60"/>
    <w:rsid w:val="00D42D66"/>
    <w:rsid w:val="00D42F5C"/>
    <w:rsid w:val="00D4311D"/>
    <w:rsid w:val="00D43161"/>
    <w:rsid w:val="00D43188"/>
    <w:rsid w:val="00D431DE"/>
    <w:rsid w:val="00D43215"/>
    <w:rsid w:val="00D43305"/>
    <w:rsid w:val="00D4334B"/>
    <w:rsid w:val="00D43367"/>
    <w:rsid w:val="00D43540"/>
    <w:rsid w:val="00D435BB"/>
    <w:rsid w:val="00D43632"/>
    <w:rsid w:val="00D43656"/>
    <w:rsid w:val="00D43872"/>
    <w:rsid w:val="00D43899"/>
    <w:rsid w:val="00D43917"/>
    <w:rsid w:val="00D439C6"/>
    <w:rsid w:val="00D439C8"/>
    <w:rsid w:val="00D43B56"/>
    <w:rsid w:val="00D43DF7"/>
    <w:rsid w:val="00D43FC9"/>
    <w:rsid w:val="00D44064"/>
    <w:rsid w:val="00D44145"/>
    <w:rsid w:val="00D44164"/>
    <w:rsid w:val="00D4417B"/>
    <w:rsid w:val="00D441B7"/>
    <w:rsid w:val="00D4422A"/>
    <w:rsid w:val="00D442BB"/>
    <w:rsid w:val="00D4430B"/>
    <w:rsid w:val="00D443C9"/>
    <w:rsid w:val="00D444E8"/>
    <w:rsid w:val="00D4452F"/>
    <w:rsid w:val="00D44560"/>
    <w:rsid w:val="00D4456E"/>
    <w:rsid w:val="00D44608"/>
    <w:rsid w:val="00D4463A"/>
    <w:rsid w:val="00D446CF"/>
    <w:rsid w:val="00D44745"/>
    <w:rsid w:val="00D4492B"/>
    <w:rsid w:val="00D44B42"/>
    <w:rsid w:val="00D45027"/>
    <w:rsid w:val="00D4507A"/>
    <w:rsid w:val="00D4530B"/>
    <w:rsid w:val="00D453A3"/>
    <w:rsid w:val="00D454B8"/>
    <w:rsid w:val="00D45583"/>
    <w:rsid w:val="00D4559B"/>
    <w:rsid w:val="00D455BC"/>
    <w:rsid w:val="00D455FB"/>
    <w:rsid w:val="00D4566E"/>
    <w:rsid w:val="00D456D4"/>
    <w:rsid w:val="00D456E5"/>
    <w:rsid w:val="00D457A7"/>
    <w:rsid w:val="00D457D5"/>
    <w:rsid w:val="00D457DF"/>
    <w:rsid w:val="00D458B8"/>
    <w:rsid w:val="00D45992"/>
    <w:rsid w:val="00D45DA8"/>
    <w:rsid w:val="00D45EF1"/>
    <w:rsid w:val="00D45F73"/>
    <w:rsid w:val="00D46022"/>
    <w:rsid w:val="00D46098"/>
    <w:rsid w:val="00D460DD"/>
    <w:rsid w:val="00D46111"/>
    <w:rsid w:val="00D4613A"/>
    <w:rsid w:val="00D4617A"/>
    <w:rsid w:val="00D46252"/>
    <w:rsid w:val="00D46369"/>
    <w:rsid w:val="00D464E4"/>
    <w:rsid w:val="00D4651F"/>
    <w:rsid w:val="00D466AA"/>
    <w:rsid w:val="00D46721"/>
    <w:rsid w:val="00D467A1"/>
    <w:rsid w:val="00D469E2"/>
    <w:rsid w:val="00D46A59"/>
    <w:rsid w:val="00D46C04"/>
    <w:rsid w:val="00D46C22"/>
    <w:rsid w:val="00D46C62"/>
    <w:rsid w:val="00D46C9C"/>
    <w:rsid w:val="00D46D8A"/>
    <w:rsid w:val="00D46E9D"/>
    <w:rsid w:val="00D46FB6"/>
    <w:rsid w:val="00D46FBD"/>
    <w:rsid w:val="00D4701B"/>
    <w:rsid w:val="00D4706A"/>
    <w:rsid w:val="00D470A6"/>
    <w:rsid w:val="00D472E2"/>
    <w:rsid w:val="00D47319"/>
    <w:rsid w:val="00D47544"/>
    <w:rsid w:val="00D47556"/>
    <w:rsid w:val="00D475F0"/>
    <w:rsid w:val="00D4766C"/>
    <w:rsid w:val="00D476EA"/>
    <w:rsid w:val="00D4795C"/>
    <w:rsid w:val="00D479AD"/>
    <w:rsid w:val="00D479D8"/>
    <w:rsid w:val="00D479F2"/>
    <w:rsid w:val="00D47B2A"/>
    <w:rsid w:val="00D47B53"/>
    <w:rsid w:val="00D47B97"/>
    <w:rsid w:val="00D47C21"/>
    <w:rsid w:val="00D47C66"/>
    <w:rsid w:val="00D47E4D"/>
    <w:rsid w:val="00D47ECA"/>
    <w:rsid w:val="00D47FE9"/>
    <w:rsid w:val="00D5012B"/>
    <w:rsid w:val="00D50335"/>
    <w:rsid w:val="00D5039C"/>
    <w:rsid w:val="00D50430"/>
    <w:rsid w:val="00D50474"/>
    <w:rsid w:val="00D504A6"/>
    <w:rsid w:val="00D504AE"/>
    <w:rsid w:val="00D504B7"/>
    <w:rsid w:val="00D5076D"/>
    <w:rsid w:val="00D50A7A"/>
    <w:rsid w:val="00D50A82"/>
    <w:rsid w:val="00D50B3F"/>
    <w:rsid w:val="00D50B88"/>
    <w:rsid w:val="00D50BBA"/>
    <w:rsid w:val="00D50BF2"/>
    <w:rsid w:val="00D50CF4"/>
    <w:rsid w:val="00D50D50"/>
    <w:rsid w:val="00D50E42"/>
    <w:rsid w:val="00D5108F"/>
    <w:rsid w:val="00D5111F"/>
    <w:rsid w:val="00D51148"/>
    <w:rsid w:val="00D5115A"/>
    <w:rsid w:val="00D511B3"/>
    <w:rsid w:val="00D51209"/>
    <w:rsid w:val="00D51271"/>
    <w:rsid w:val="00D51291"/>
    <w:rsid w:val="00D513C0"/>
    <w:rsid w:val="00D5152D"/>
    <w:rsid w:val="00D51551"/>
    <w:rsid w:val="00D5162A"/>
    <w:rsid w:val="00D5166E"/>
    <w:rsid w:val="00D51676"/>
    <w:rsid w:val="00D516C9"/>
    <w:rsid w:val="00D51739"/>
    <w:rsid w:val="00D51988"/>
    <w:rsid w:val="00D51B39"/>
    <w:rsid w:val="00D51B98"/>
    <w:rsid w:val="00D51BF4"/>
    <w:rsid w:val="00D51D01"/>
    <w:rsid w:val="00D51D5D"/>
    <w:rsid w:val="00D51F32"/>
    <w:rsid w:val="00D51FEC"/>
    <w:rsid w:val="00D520D6"/>
    <w:rsid w:val="00D52190"/>
    <w:rsid w:val="00D522DD"/>
    <w:rsid w:val="00D52320"/>
    <w:rsid w:val="00D5240B"/>
    <w:rsid w:val="00D524C3"/>
    <w:rsid w:val="00D5256C"/>
    <w:rsid w:val="00D5260D"/>
    <w:rsid w:val="00D52689"/>
    <w:rsid w:val="00D526F1"/>
    <w:rsid w:val="00D526F9"/>
    <w:rsid w:val="00D52B12"/>
    <w:rsid w:val="00D52D52"/>
    <w:rsid w:val="00D52DBB"/>
    <w:rsid w:val="00D52DD4"/>
    <w:rsid w:val="00D52E34"/>
    <w:rsid w:val="00D52EF3"/>
    <w:rsid w:val="00D52F68"/>
    <w:rsid w:val="00D53107"/>
    <w:rsid w:val="00D53146"/>
    <w:rsid w:val="00D531B2"/>
    <w:rsid w:val="00D531B7"/>
    <w:rsid w:val="00D53207"/>
    <w:rsid w:val="00D532E1"/>
    <w:rsid w:val="00D5332D"/>
    <w:rsid w:val="00D5338C"/>
    <w:rsid w:val="00D534ED"/>
    <w:rsid w:val="00D5361D"/>
    <w:rsid w:val="00D5369A"/>
    <w:rsid w:val="00D536E5"/>
    <w:rsid w:val="00D537FD"/>
    <w:rsid w:val="00D53868"/>
    <w:rsid w:val="00D53926"/>
    <w:rsid w:val="00D53959"/>
    <w:rsid w:val="00D5398F"/>
    <w:rsid w:val="00D5399A"/>
    <w:rsid w:val="00D539AE"/>
    <w:rsid w:val="00D539DE"/>
    <w:rsid w:val="00D53A0F"/>
    <w:rsid w:val="00D53A5D"/>
    <w:rsid w:val="00D53BBD"/>
    <w:rsid w:val="00D53BE1"/>
    <w:rsid w:val="00D53C02"/>
    <w:rsid w:val="00D53C53"/>
    <w:rsid w:val="00D53C7F"/>
    <w:rsid w:val="00D53CA2"/>
    <w:rsid w:val="00D53D09"/>
    <w:rsid w:val="00D53D5E"/>
    <w:rsid w:val="00D53E1A"/>
    <w:rsid w:val="00D53E57"/>
    <w:rsid w:val="00D53F57"/>
    <w:rsid w:val="00D53FA9"/>
    <w:rsid w:val="00D5401D"/>
    <w:rsid w:val="00D54036"/>
    <w:rsid w:val="00D54072"/>
    <w:rsid w:val="00D5408D"/>
    <w:rsid w:val="00D540DE"/>
    <w:rsid w:val="00D540F8"/>
    <w:rsid w:val="00D54194"/>
    <w:rsid w:val="00D54344"/>
    <w:rsid w:val="00D54356"/>
    <w:rsid w:val="00D543D4"/>
    <w:rsid w:val="00D543EC"/>
    <w:rsid w:val="00D5478C"/>
    <w:rsid w:val="00D5485D"/>
    <w:rsid w:val="00D54881"/>
    <w:rsid w:val="00D54927"/>
    <w:rsid w:val="00D549B9"/>
    <w:rsid w:val="00D549F6"/>
    <w:rsid w:val="00D54ABC"/>
    <w:rsid w:val="00D54B31"/>
    <w:rsid w:val="00D54B87"/>
    <w:rsid w:val="00D54BE8"/>
    <w:rsid w:val="00D54C0F"/>
    <w:rsid w:val="00D54D8C"/>
    <w:rsid w:val="00D54E31"/>
    <w:rsid w:val="00D54E3D"/>
    <w:rsid w:val="00D54EBE"/>
    <w:rsid w:val="00D55055"/>
    <w:rsid w:val="00D550D4"/>
    <w:rsid w:val="00D551FF"/>
    <w:rsid w:val="00D55297"/>
    <w:rsid w:val="00D5535A"/>
    <w:rsid w:val="00D553D3"/>
    <w:rsid w:val="00D55473"/>
    <w:rsid w:val="00D55483"/>
    <w:rsid w:val="00D554B8"/>
    <w:rsid w:val="00D55545"/>
    <w:rsid w:val="00D55575"/>
    <w:rsid w:val="00D556FA"/>
    <w:rsid w:val="00D55714"/>
    <w:rsid w:val="00D55727"/>
    <w:rsid w:val="00D5573D"/>
    <w:rsid w:val="00D5583B"/>
    <w:rsid w:val="00D55861"/>
    <w:rsid w:val="00D55A01"/>
    <w:rsid w:val="00D55A4E"/>
    <w:rsid w:val="00D55A56"/>
    <w:rsid w:val="00D55A97"/>
    <w:rsid w:val="00D55B3A"/>
    <w:rsid w:val="00D55D58"/>
    <w:rsid w:val="00D55DED"/>
    <w:rsid w:val="00D55EC9"/>
    <w:rsid w:val="00D56013"/>
    <w:rsid w:val="00D5623E"/>
    <w:rsid w:val="00D562CB"/>
    <w:rsid w:val="00D562CF"/>
    <w:rsid w:val="00D562E0"/>
    <w:rsid w:val="00D5635F"/>
    <w:rsid w:val="00D564FF"/>
    <w:rsid w:val="00D56505"/>
    <w:rsid w:val="00D565F9"/>
    <w:rsid w:val="00D5666C"/>
    <w:rsid w:val="00D566B9"/>
    <w:rsid w:val="00D56803"/>
    <w:rsid w:val="00D568DF"/>
    <w:rsid w:val="00D56950"/>
    <w:rsid w:val="00D5696E"/>
    <w:rsid w:val="00D56975"/>
    <w:rsid w:val="00D56988"/>
    <w:rsid w:val="00D56CCC"/>
    <w:rsid w:val="00D56CD1"/>
    <w:rsid w:val="00D56DC3"/>
    <w:rsid w:val="00D56DC4"/>
    <w:rsid w:val="00D56EE3"/>
    <w:rsid w:val="00D5711C"/>
    <w:rsid w:val="00D57289"/>
    <w:rsid w:val="00D5730C"/>
    <w:rsid w:val="00D57325"/>
    <w:rsid w:val="00D575E1"/>
    <w:rsid w:val="00D57750"/>
    <w:rsid w:val="00D579D8"/>
    <w:rsid w:val="00D57A16"/>
    <w:rsid w:val="00D57A5D"/>
    <w:rsid w:val="00D57A5E"/>
    <w:rsid w:val="00D57BB9"/>
    <w:rsid w:val="00D57D37"/>
    <w:rsid w:val="00D57DAF"/>
    <w:rsid w:val="00D57DCA"/>
    <w:rsid w:val="00D57EF8"/>
    <w:rsid w:val="00D6004B"/>
    <w:rsid w:val="00D6006A"/>
    <w:rsid w:val="00D60199"/>
    <w:rsid w:val="00D6023F"/>
    <w:rsid w:val="00D603D4"/>
    <w:rsid w:val="00D60501"/>
    <w:rsid w:val="00D605A8"/>
    <w:rsid w:val="00D6060E"/>
    <w:rsid w:val="00D60614"/>
    <w:rsid w:val="00D60695"/>
    <w:rsid w:val="00D60791"/>
    <w:rsid w:val="00D607B9"/>
    <w:rsid w:val="00D60817"/>
    <w:rsid w:val="00D60831"/>
    <w:rsid w:val="00D60A32"/>
    <w:rsid w:val="00D60A79"/>
    <w:rsid w:val="00D60D1E"/>
    <w:rsid w:val="00D60D49"/>
    <w:rsid w:val="00D60D9A"/>
    <w:rsid w:val="00D60D9C"/>
    <w:rsid w:val="00D60DF6"/>
    <w:rsid w:val="00D60E44"/>
    <w:rsid w:val="00D60E89"/>
    <w:rsid w:val="00D60F27"/>
    <w:rsid w:val="00D60F56"/>
    <w:rsid w:val="00D60F94"/>
    <w:rsid w:val="00D61005"/>
    <w:rsid w:val="00D61102"/>
    <w:rsid w:val="00D613E5"/>
    <w:rsid w:val="00D61457"/>
    <w:rsid w:val="00D6147C"/>
    <w:rsid w:val="00D61587"/>
    <w:rsid w:val="00D615DA"/>
    <w:rsid w:val="00D615EB"/>
    <w:rsid w:val="00D6164A"/>
    <w:rsid w:val="00D616DD"/>
    <w:rsid w:val="00D61766"/>
    <w:rsid w:val="00D617C1"/>
    <w:rsid w:val="00D617DF"/>
    <w:rsid w:val="00D6184F"/>
    <w:rsid w:val="00D61892"/>
    <w:rsid w:val="00D61A2F"/>
    <w:rsid w:val="00D61B8F"/>
    <w:rsid w:val="00D61BD7"/>
    <w:rsid w:val="00D61C7F"/>
    <w:rsid w:val="00D61D31"/>
    <w:rsid w:val="00D61F9A"/>
    <w:rsid w:val="00D61FC5"/>
    <w:rsid w:val="00D61FFC"/>
    <w:rsid w:val="00D620BE"/>
    <w:rsid w:val="00D620CB"/>
    <w:rsid w:val="00D620EA"/>
    <w:rsid w:val="00D62174"/>
    <w:rsid w:val="00D621BD"/>
    <w:rsid w:val="00D62350"/>
    <w:rsid w:val="00D6240D"/>
    <w:rsid w:val="00D6250C"/>
    <w:rsid w:val="00D62550"/>
    <w:rsid w:val="00D6257E"/>
    <w:rsid w:val="00D625BC"/>
    <w:rsid w:val="00D62607"/>
    <w:rsid w:val="00D62699"/>
    <w:rsid w:val="00D6278B"/>
    <w:rsid w:val="00D628D3"/>
    <w:rsid w:val="00D62968"/>
    <w:rsid w:val="00D629E4"/>
    <w:rsid w:val="00D62A2A"/>
    <w:rsid w:val="00D62B68"/>
    <w:rsid w:val="00D62B84"/>
    <w:rsid w:val="00D62BD8"/>
    <w:rsid w:val="00D62BF1"/>
    <w:rsid w:val="00D62D64"/>
    <w:rsid w:val="00D62F7F"/>
    <w:rsid w:val="00D62F9C"/>
    <w:rsid w:val="00D63018"/>
    <w:rsid w:val="00D6301A"/>
    <w:rsid w:val="00D6303A"/>
    <w:rsid w:val="00D63081"/>
    <w:rsid w:val="00D63199"/>
    <w:rsid w:val="00D63329"/>
    <w:rsid w:val="00D63372"/>
    <w:rsid w:val="00D63435"/>
    <w:rsid w:val="00D6366D"/>
    <w:rsid w:val="00D636C9"/>
    <w:rsid w:val="00D6376B"/>
    <w:rsid w:val="00D637D5"/>
    <w:rsid w:val="00D63878"/>
    <w:rsid w:val="00D63A88"/>
    <w:rsid w:val="00D63A8E"/>
    <w:rsid w:val="00D63B64"/>
    <w:rsid w:val="00D63B85"/>
    <w:rsid w:val="00D63C00"/>
    <w:rsid w:val="00D63C01"/>
    <w:rsid w:val="00D63C33"/>
    <w:rsid w:val="00D63CA6"/>
    <w:rsid w:val="00D63CF6"/>
    <w:rsid w:val="00D63E2C"/>
    <w:rsid w:val="00D63E4D"/>
    <w:rsid w:val="00D63E9E"/>
    <w:rsid w:val="00D63EAE"/>
    <w:rsid w:val="00D64021"/>
    <w:rsid w:val="00D640CF"/>
    <w:rsid w:val="00D6424B"/>
    <w:rsid w:val="00D642E7"/>
    <w:rsid w:val="00D6437C"/>
    <w:rsid w:val="00D6438A"/>
    <w:rsid w:val="00D64459"/>
    <w:rsid w:val="00D6454C"/>
    <w:rsid w:val="00D646B4"/>
    <w:rsid w:val="00D64741"/>
    <w:rsid w:val="00D6474C"/>
    <w:rsid w:val="00D647AA"/>
    <w:rsid w:val="00D6486F"/>
    <w:rsid w:val="00D64BA9"/>
    <w:rsid w:val="00D64BB4"/>
    <w:rsid w:val="00D64BE5"/>
    <w:rsid w:val="00D64C31"/>
    <w:rsid w:val="00D64C4E"/>
    <w:rsid w:val="00D64CD1"/>
    <w:rsid w:val="00D64CE5"/>
    <w:rsid w:val="00D64D66"/>
    <w:rsid w:val="00D64D91"/>
    <w:rsid w:val="00D64DFD"/>
    <w:rsid w:val="00D64E02"/>
    <w:rsid w:val="00D64E38"/>
    <w:rsid w:val="00D64E74"/>
    <w:rsid w:val="00D64E9C"/>
    <w:rsid w:val="00D64EC2"/>
    <w:rsid w:val="00D64F55"/>
    <w:rsid w:val="00D651DF"/>
    <w:rsid w:val="00D6524C"/>
    <w:rsid w:val="00D6549F"/>
    <w:rsid w:val="00D654B8"/>
    <w:rsid w:val="00D654C8"/>
    <w:rsid w:val="00D655FC"/>
    <w:rsid w:val="00D65682"/>
    <w:rsid w:val="00D65702"/>
    <w:rsid w:val="00D65807"/>
    <w:rsid w:val="00D65873"/>
    <w:rsid w:val="00D6591B"/>
    <w:rsid w:val="00D65A35"/>
    <w:rsid w:val="00D65A58"/>
    <w:rsid w:val="00D65AB1"/>
    <w:rsid w:val="00D65B7E"/>
    <w:rsid w:val="00D65BD0"/>
    <w:rsid w:val="00D65C08"/>
    <w:rsid w:val="00D65C6B"/>
    <w:rsid w:val="00D65D80"/>
    <w:rsid w:val="00D65DF6"/>
    <w:rsid w:val="00D65E59"/>
    <w:rsid w:val="00D65EB7"/>
    <w:rsid w:val="00D65ED4"/>
    <w:rsid w:val="00D65FD9"/>
    <w:rsid w:val="00D65FFA"/>
    <w:rsid w:val="00D6609F"/>
    <w:rsid w:val="00D660C0"/>
    <w:rsid w:val="00D66250"/>
    <w:rsid w:val="00D6633A"/>
    <w:rsid w:val="00D664E4"/>
    <w:rsid w:val="00D66559"/>
    <w:rsid w:val="00D66655"/>
    <w:rsid w:val="00D666F4"/>
    <w:rsid w:val="00D66811"/>
    <w:rsid w:val="00D6694A"/>
    <w:rsid w:val="00D669AD"/>
    <w:rsid w:val="00D66B7F"/>
    <w:rsid w:val="00D66C69"/>
    <w:rsid w:val="00D66D6D"/>
    <w:rsid w:val="00D66D91"/>
    <w:rsid w:val="00D66E64"/>
    <w:rsid w:val="00D66E78"/>
    <w:rsid w:val="00D67028"/>
    <w:rsid w:val="00D67040"/>
    <w:rsid w:val="00D670DE"/>
    <w:rsid w:val="00D671B2"/>
    <w:rsid w:val="00D672B7"/>
    <w:rsid w:val="00D67787"/>
    <w:rsid w:val="00D6787D"/>
    <w:rsid w:val="00D67900"/>
    <w:rsid w:val="00D67980"/>
    <w:rsid w:val="00D67B38"/>
    <w:rsid w:val="00D67BB5"/>
    <w:rsid w:val="00D67D31"/>
    <w:rsid w:val="00D67EB0"/>
    <w:rsid w:val="00D67F56"/>
    <w:rsid w:val="00D7005E"/>
    <w:rsid w:val="00D70133"/>
    <w:rsid w:val="00D70260"/>
    <w:rsid w:val="00D7034E"/>
    <w:rsid w:val="00D7040F"/>
    <w:rsid w:val="00D7046C"/>
    <w:rsid w:val="00D704D9"/>
    <w:rsid w:val="00D705FE"/>
    <w:rsid w:val="00D706CA"/>
    <w:rsid w:val="00D70827"/>
    <w:rsid w:val="00D708D5"/>
    <w:rsid w:val="00D708DE"/>
    <w:rsid w:val="00D70928"/>
    <w:rsid w:val="00D70945"/>
    <w:rsid w:val="00D709E6"/>
    <w:rsid w:val="00D70A6D"/>
    <w:rsid w:val="00D70A7D"/>
    <w:rsid w:val="00D70AE2"/>
    <w:rsid w:val="00D70BBD"/>
    <w:rsid w:val="00D70BC6"/>
    <w:rsid w:val="00D70C69"/>
    <w:rsid w:val="00D70CE7"/>
    <w:rsid w:val="00D70D7F"/>
    <w:rsid w:val="00D70E07"/>
    <w:rsid w:val="00D70E0B"/>
    <w:rsid w:val="00D70E6A"/>
    <w:rsid w:val="00D710C9"/>
    <w:rsid w:val="00D71142"/>
    <w:rsid w:val="00D7119F"/>
    <w:rsid w:val="00D7120F"/>
    <w:rsid w:val="00D71215"/>
    <w:rsid w:val="00D712B4"/>
    <w:rsid w:val="00D712B6"/>
    <w:rsid w:val="00D713C2"/>
    <w:rsid w:val="00D713DF"/>
    <w:rsid w:val="00D714A7"/>
    <w:rsid w:val="00D71676"/>
    <w:rsid w:val="00D716AF"/>
    <w:rsid w:val="00D718A8"/>
    <w:rsid w:val="00D719DE"/>
    <w:rsid w:val="00D71AA5"/>
    <w:rsid w:val="00D71AF7"/>
    <w:rsid w:val="00D71B5C"/>
    <w:rsid w:val="00D71B70"/>
    <w:rsid w:val="00D71B7A"/>
    <w:rsid w:val="00D71C4C"/>
    <w:rsid w:val="00D71DA5"/>
    <w:rsid w:val="00D71DFB"/>
    <w:rsid w:val="00D71EC6"/>
    <w:rsid w:val="00D71EEB"/>
    <w:rsid w:val="00D71F20"/>
    <w:rsid w:val="00D71F31"/>
    <w:rsid w:val="00D72188"/>
    <w:rsid w:val="00D722FD"/>
    <w:rsid w:val="00D7235C"/>
    <w:rsid w:val="00D723BC"/>
    <w:rsid w:val="00D72598"/>
    <w:rsid w:val="00D7266F"/>
    <w:rsid w:val="00D72670"/>
    <w:rsid w:val="00D72761"/>
    <w:rsid w:val="00D72765"/>
    <w:rsid w:val="00D7278F"/>
    <w:rsid w:val="00D7286F"/>
    <w:rsid w:val="00D72930"/>
    <w:rsid w:val="00D72967"/>
    <w:rsid w:val="00D7297F"/>
    <w:rsid w:val="00D72A7C"/>
    <w:rsid w:val="00D72A9C"/>
    <w:rsid w:val="00D72B97"/>
    <w:rsid w:val="00D72CA3"/>
    <w:rsid w:val="00D72E1F"/>
    <w:rsid w:val="00D72E95"/>
    <w:rsid w:val="00D72ED8"/>
    <w:rsid w:val="00D72F0B"/>
    <w:rsid w:val="00D72F19"/>
    <w:rsid w:val="00D72F73"/>
    <w:rsid w:val="00D73049"/>
    <w:rsid w:val="00D730A2"/>
    <w:rsid w:val="00D730B1"/>
    <w:rsid w:val="00D73136"/>
    <w:rsid w:val="00D7324C"/>
    <w:rsid w:val="00D73388"/>
    <w:rsid w:val="00D733A0"/>
    <w:rsid w:val="00D733E0"/>
    <w:rsid w:val="00D733E2"/>
    <w:rsid w:val="00D733F5"/>
    <w:rsid w:val="00D73451"/>
    <w:rsid w:val="00D7375A"/>
    <w:rsid w:val="00D737ED"/>
    <w:rsid w:val="00D73819"/>
    <w:rsid w:val="00D738B6"/>
    <w:rsid w:val="00D73933"/>
    <w:rsid w:val="00D73944"/>
    <w:rsid w:val="00D739F0"/>
    <w:rsid w:val="00D73A2E"/>
    <w:rsid w:val="00D73A37"/>
    <w:rsid w:val="00D73ACF"/>
    <w:rsid w:val="00D73B7A"/>
    <w:rsid w:val="00D73CA2"/>
    <w:rsid w:val="00D73CB0"/>
    <w:rsid w:val="00D73D71"/>
    <w:rsid w:val="00D73EA1"/>
    <w:rsid w:val="00D73F6F"/>
    <w:rsid w:val="00D73FE0"/>
    <w:rsid w:val="00D74031"/>
    <w:rsid w:val="00D7403A"/>
    <w:rsid w:val="00D740DD"/>
    <w:rsid w:val="00D7410B"/>
    <w:rsid w:val="00D742A3"/>
    <w:rsid w:val="00D7430E"/>
    <w:rsid w:val="00D74530"/>
    <w:rsid w:val="00D74634"/>
    <w:rsid w:val="00D74722"/>
    <w:rsid w:val="00D747DA"/>
    <w:rsid w:val="00D7488F"/>
    <w:rsid w:val="00D748C0"/>
    <w:rsid w:val="00D7496F"/>
    <w:rsid w:val="00D74A4C"/>
    <w:rsid w:val="00D74B2D"/>
    <w:rsid w:val="00D74B67"/>
    <w:rsid w:val="00D74B80"/>
    <w:rsid w:val="00D74C08"/>
    <w:rsid w:val="00D74CE1"/>
    <w:rsid w:val="00D74CF3"/>
    <w:rsid w:val="00D74DA1"/>
    <w:rsid w:val="00D74E02"/>
    <w:rsid w:val="00D74E22"/>
    <w:rsid w:val="00D74E88"/>
    <w:rsid w:val="00D74F62"/>
    <w:rsid w:val="00D751D7"/>
    <w:rsid w:val="00D752A7"/>
    <w:rsid w:val="00D75400"/>
    <w:rsid w:val="00D7544C"/>
    <w:rsid w:val="00D75491"/>
    <w:rsid w:val="00D754A0"/>
    <w:rsid w:val="00D756F4"/>
    <w:rsid w:val="00D7589F"/>
    <w:rsid w:val="00D758A4"/>
    <w:rsid w:val="00D758EA"/>
    <w:rsid w:val="00D758F0"/>
    <w:rsid w:val="00D7593A"/>
    <w:rsid w:val="00D7594A"/>
    <w:rsid w:val="00D75979"/>
    <w:rsid w:val="00D759B4"/>
    <w:rsid w:val="00D75A4B"/>
    <w:rsid w:val="00D75A61"/>
    <w:rsid w:val="00D75A8A"/>
    <w:rsid w:val="00D75AA0"/>
    <w:rsid w:val="00D75C53"/>
    <w:rsid w:val="00D75D65"/>
    <w:rsid w:val="00D75D6A"/>
    <w:rsid w:val="00D75D79"/>
    <w:rsid w:val="00D761DA"/>
    <w:rsid w:val="00D7621F"/>
    <w:rsid w:val="00D7626C"/>
    <w:rsid w:val="00D7640E"/>
    <w:rsid w:val="00D76443"/>
    <w:rsid w:val="00D764D1"/>
    <w:rsid w:val="00D7659A"/>
    <w:rsid w:val="00D76638"/>
    <w:rsid w:val="00D76664"/>
    <w:rsid w:val="00D7667F"/>
    <w:rsid w:val="00D7686D"/>
    <w:rsid w:val="00D768BD"/>
    <w:rsid w:val="00D768C2"/>
    <w:rsid w:val="00D76AB2"/>
    <w:rsid w:val="00D76AD6"/>
    <w:rsid w:val="00D76B49"/>
    <w:rsid w:val="00D76C7F"/>
    <w:rsid w:val="00D76F09"/>
    <w:rsid w:val="00D76FCE"/>
    <w:rsid w:val="00D77005"/>
    <w:rsid w:val="00D77092"/>
    <w:rsid w:val="00D77241"/>
    <w:rsid w:val="00D77341"/>
    <w:rsid w:val="00D774FA"/>
    <w:rsid w:val="00D775AC"/>
    <w:rsid w:val="00D77643"/>
    <w:rsid w:val="00D776F0"/>
    <w:rsid w:val="00D77809"/>
    <w:rsid w:val="00D77893"/>
    <w:rsid w:val="00D778AD"/>
    <w:rsid w:val="00D77914"/>
    <w:rsid w:val="00D77929"/>
    <w:rsid w:val="00D7792E"/>
    <w:rsid w:val="00D7795E"/>
    <w:rsid w:val="00D77979"/>
    <w:rsid w:val="00D77B1D"/>
    <w:rsid w:val="00D77BB4"/>
    <w:rsid w:val="00D77BE7"/>
    <w:rsid w:val="00D77FAE"/>
    <w:rsid w:val="00D80161"/>
    <w:rsid w:val="00D801B5"/>
    <w:rsid w:val="00D803C1"/>
    <w:rsid w:val="00D80444"/>
    <w:rsid w:val="00D804EC"/>
    <w:rsid w:val="00D8053D"/>
    <w:rsid w:val="00D8053F"/>
    <w:rsid w:val="00D80670"/>
    <w:rsid w:val="00D80708"/>
    <w:rsid w:val="00D80866"/>
    <w:rsid w:val="00D80901"/>
    <w:rsid w:val="00D80904"/>
    <w:rsid w:val="00D809BB"/>
    <w:rsid w:val="00D809CA"/>
    <w:rsid w:val="00D809FD"/>
    <w:rsid w:val="00D80AB2"/>
    <w:rsid w:val="00D80AE1"/>
    <w:rsid w:val="00D80CBC"/>
    <w:rsid w:val="00D80D8C"/>
    <w:rsid w:val="00D80DCC"/>
    <w:rsid w:val="00D80E18"/>
    <w:rsid w:val="00D80EDC"/>
    <w:rsid w:val="00D80EE4"/>
    <w:rsid w:val="00D80F93"/>
    <w:rsid w:val="00D81175"/>
    <w:rsid w:val="00D811C2"/>
    <w:rsid w:val="00D81204"/>
    <w:rsid w:val="00D81329"/>
    <w:rsid w:val="00D8132C"/>
    <w:rsid w:val="00D813BB"/>
    <w:rsid w:val="00D81425"/>
    <w:rsid w:val="00D81568"/>
    <w:rsid w:val="00D81597"/>
    <w:rsid w:val="00D815D5"/>
    <w:rsid w:val="00D8161C"/>
    <w:rsid w:val="00D816FC"/>
    <w:rsid w:val="00D8170F"/>
    <w:rsid w:val="00D818F3"/>
    <w:rsid w:val="00D8191C"/>
    <w:rsid w:val="00D81AD4"/>
    <w:rsid w:val="00D81CA2"/>
    <w:rsid w:val="00D81CAC"/>
    <w:rsid w:val="00D81D30"/>
    <w:rsid w:val="00D81D93"/>
    <w:rsid w:val="00D81EC7"/>
    <w:rsid w:val="00D821D7"/>
    <w:rsid w:val="00D821E9"/>
    <w:rsid w:val="00D82250"/>
    <w:rsid w:val="00D8234A"/>
    <w:rsid w:val="00D82373"/>
    <w:rsid w:val="00D823EA"/>
    <w:rsid w:val="00D823FB"/>
    <w:rsid w:val="00D8249F"/>
    <w:rsid w:val="00D825E9"/>
    <w:rsid w:val="00D827F4"/>
    <w:rsid w:val="00D827FF"/>
    <w:rsid w:val="00D82813"/>
    <w:rsid w:val="00D828EF"/>
    <w:rsid w:val="00D8290A"/>
    <w:rsid w:val="00D82A10"/>
    <w:rsid w:val="00D82A32"/>
    <w:rsid w:val="00D82A5B"/>
    <w:rsid w:val="00D82AA8"/>
    <w:rsid w:val="00D82C1E"/>
    <w:rsid w:val="00D82CF9"/>
    <w:rsid w:val="00D82D0C"/>
    <w:rsid w:val="00D82D1C"/>
    <w:rsid w:val="00D82E44"/>
    <w:rsid w:val="00D831F3"/>
    <w:rsid w:val="00D8322E"/>
    <w:rsid w:val="00D832C3"/>
    <w:rsid w:val="00D8332F"/>
    <w:rsid w:val="00D83364"/>
    <w:rsid w:val="00D8337D"/>
    <w:rsid w:val="00D83474"/>
    <w:rsid w:val="00D8348D"/>
    <w:rsid w:val="00D834F2"/>
    <w:rsid w:val="00D835E7"/>
    <w:rsid w:val="00D835ED"/>
    <w:rsid w:val="00D836F8"/>
    <w:rsid w:val="00D83800"/>
    <w:rsid w:val="00D838D9"/>
    <w:rsid w:val="00D838EA"/>
    <w:rsid w:val="00D83900"/>
    <w:rsid w:val="00D83928"/>
    <w:rsid w:val="00D839CB"/>
    <w:rsid w:val="00D83A4D"/>
    <w:rsid w:val="00D83A97"/>
    <w:rsid w:val="00D83AAE"/>
    <w:rsid w:val="00D83B2D"/>
    <w:rsid w:val="00D83BC0"/>
    <w:rsid w:val="00D83C35"/>
    <w:rsid w:val="00D83CFA"/>
    <w:rsid w:val="00D83DA6"/>
    <w:rsid w:val="00D8401E"/>
    <w:rsid w:val="00D841A6"/>
    <w:rsid w:val="00D842CB"/>
    <w:rsid w:val="00D842D4"/>
    <w:rsid w:val="00D84353"/>
    <w:rsid w:val="00D84384"/>
    <w:rsid w:val="00D843BB"/>
    <w:rsid w:val="00D843E7"/>
    <w:rsid w:val="00D8457A"/>
    <w:rsid w:val="00D8467F"/>
    <w:rsid w:val="00D84742"/>
    <w:rsid w:val="00D84761"/>
    <w:rsid w:val="00D8488C"/>
    <w:rsid w:val="00D848DB"/>
    <w:rsid w:val="00D84944"/>
    <w:rsid w:val="00D849AC"/>
    <w:rsid w:val="00D84A0B"/>
    <w:rsid w:val="00D84A95"/>
    <w:rsid w:val="00D84AC3"/>
    <w:rsid w:val="00D84AFD"/>
    <w:rsid w:val="00D84B08"/>
    <w:rsid w:val="00D84B5E"/>
    <w:rsid w:val="00D84CC7"/>
    <w:rsid w:val="00D84D0A"/>
    <w:rsid w:val="00D85011"/>
    <w:rsid w:val="00D8508B"/>
    <w:rsid w:val="00D8512A"/>
    <w:rsid w:val="00D851D0"/>
    <w:rsid w:val="00D8520C"/>
    <w:rsid w:val="00D85256"/>
    <w:rsid w:val="00D852AD"/>
    <w:rsid w:val="00D852B2"/>
    <w:rsid w:val="00D85331"/>
    <w:rsid w:val="00D854C3"/>
    <w:rsid w:val="00D8559A"/>
    <w:rsid w:val="00D8559F"/>
    <w:rsid w:val="00D855CA"/>
    <w:rsid w:val="00D855E8"/>
    <w:rsid w:val="00D855EB"/>
    <w:rsid w:val="00D855F6"/>
    <w:rsid w:val="00D85672"/>
    <w:rsid w:val="00D85760"/>
    <w:rsid w:val="00D858C0"/>
    <w:rsid w:val="00D85925"/>
    <w:rsid w:val="00D85963"/>
    <w:rsid w:val="00D8599F"/>
    <w:rsid w:val="00D859D9"/>
    <w:rsid w:val="00D85A51"/>
    <w:rsid w:val="00D85A57"/>
    <w:rsid w:val="00D85A85"/>
    <w:rsid w:val="00D85CF6"/>
    <w:rsid w:val="00D85CFD"/>
    <w:rsid w:val="00D85E0A"/>
    <w:rsid w:val="00D85E9B"/>
    <w:rsid w:val="00D85EB6"/>
    <w:rsid w:val="00D85EE4"/>
    <w:rsid w:val="00D85F92"/>
    <w:rsid w:val="00D860DA"/>
    <w:rsid w:val="00D861DE"/>
    <w:rsid w:val="00D862B8"/>
    <w:rsid w:val="00D8657B"/>
    <w:rsid w:val="00D8664C"/>
    <w:rsid w:val="00D8669C"/>
    <w:rsid w:val="00D8674F"/>
    <w:rsid w:val="00D867DE"/>
    <w:rsid w:val="00D86802"/>
    <w:rsid w:val="00D86A45"/>
    <w:rsid w:val="00D86A99"/>
    <w:rsid w:val="00D86AA7"/>
    <w:rsid w:val="00D86B4F"/>
    <w:rsid w:val="00D86BBD"/>
    <w:rsid w:val="00D86BCF"/>
    <w:rsid w:val="00D86C99"/>
    <w:rsid w:val="00D86DB2"/>
    <w:rsid w:val="00D86F2A"/>
    <w:rsid w:val="00D86F66"/>
    <w:rsid w:val="00D86FA3"/>
    <w:rsid w:val="00D86FB3"/>
    <w:rsid w:val="00D86FF8"/>
    <w:rsid w:val="00D871E5"/>
    <w:rsid w:val="00D87278"/>
    <w:rsid w:val="00D872D1"/>
    <w:rsid w:val="00D873BB"/>
    <w:rsid w:val="00D874EE"/>
    <w:rsid w:val="00D87722"/>
    <w:rsid w:val="00D8772E"/>
    <w:rsid w:val="00D87873"/>
    <w:rsid w:val="00D878D4"/>
    <w:rsid w:val="00D879AD"/>
    <w:rsid w:val="00D87ACA"/>
    <w:rsid w:val="00D87B46"/>
    <w:rsid w:val="00D87C5B"/>
    <w:rsid w:val="00D87CB5"/>
    <w:rsid w:val="00D87D85"/>
    <w:rsid w:val="00D87DE6"/>
    <w:rsid w:val="00D87E5B"/>
    <w:rsid w:val="00D87ECC"/>
    <w:rsid w:val="00D87F7D"/>
    <w:rsid w:val="00D87F8F"/>
    <w:rsid w:val="00D9005A"/>
    <w:rsid w:val="00D9012D"/>
    <w:rsid w:val="00D90179"/>
    <w:rsid w:val="00D9019A"/>
    <w:rsid w:val="00D901FF"/>
    <w:rsid w:val="00D902D3"/>
    <w:rsid w:val="00D9041B"/>
    <w:rsid w:val="00D904DB"/>
    <w:rsid w:val="00D90512"/>
    <w:rsid w:val="00D90538"/>
    <w:rsid w:val="00D9053D"/>
    <w:rsid w:val="00D906F5"/>
    <w:rsid w:val="00D90777"/>
    <w:rsid w:val="00D907D2"/>
    <w:rsid w:val="00D908F9"/>
    <w:rsid w:val="00D90A22"/>
    <w:rsid w:val="00D90B5B"/>
    <w:rsid w:val="00D90BB2"/>
    <w:rsid w:val="00D90C9D"/>
    <w:rsid w:val="00D90E7E"/>
    <w:rsid w:val="00D91027"/>
    <w:rsid w:val="00D910D1"/>
    <w:rsid w:val="00D910D8"/>
    <w:rsid w:val="00D911B4"/>
    <w:rsid w:val="00D911CD"/>
    <w:rsid w:val="00D9127F"/>
    <w:rsid w:val="00D913BC"/>
    <w:rsid w:val="00D91435"/>
    <w:rsid w:val="00D914B2"/>
    <w:rsid w:val="00D915F6"/>
    <w:rsid w:val="00D91709"/>
    <w:rsid w:val="00D91745"/>
    <w:rsid w:val="00D91752"/>
    <w:rsid w:val="00D9178B"/>
    <w:rsid w:val="00D91AA9"/>
    <w:rsid w:val="00D91ADD"/>
    <w:rsid w:val="00D91C17"/>
    <w:rsid w:val="00D91D3F"/>
    <w:rsid w:val="00D91DAA"/>
    <w:rsid w:val="00D91DB9"/>
    <w:rsid w:val="00D91DD2"/>
    <w:rsid w:val="00D91EE5"/>
    <w:rsid w:val="00D91EEE"/>
    <w:rsid w:val="00D92032"/>
    <w:rsid w:val="00D92075"/>
    <w:rsid w:val="00D92099"/>
    <w:rsid w:val="00D920CE"/>
    <w:rsid w:val="00D9215E"/>
    <w:rsid w:val="00D9223E"/>
    <w:rsid w:val="00D9230A"/>
    <w:rsid w:val="00D925AC"/>
    <w:rsid w:val="00D925BF"/>
    <w:rsid w:val="00D925D1"/>
    <w:rsid w:val="00D92618"/>
    <w:rsid w:val="00D92AA4"/>
    <w:rsid w:val="00D92B0F"/>
    <w:rsid w:val="00D92B53"/>
    <w:rsid w:val="00D92B67"/>
    <w:rsid w:val="00D92C4B"/>
    <w:rsid w:val="00D92C8A"/>
    <w:rsid w:val="00D92CD6"/>
    <w:rsid w:val="00D92E4E"/>
    <w:rsid w:val="00D92FB9"/>
    <w:rsid w:val="00D92FC3"/>
    <w:rsid w:val="00D92FD7"/>
    <w:rsid w:val="00D9306F"/>
    <w:rsid w:val="00D9313D"/>
    <w:rsid w:val="00D93290"/>
    <w:rsid w:val="00D93330"/>
    <w:rsid w:val="00D93423"/>
    <w:rsid w:val="00D93476"/>
    <w:rsid w:val="00D934E6"/>
    <w:rsid w:val="00D935ED"/>
    <w:rsid w:val="00D93662"/>
    <w:rsid w:val="00D93696"/>
    <w:rsid w:val="00D9373E"/>
    <w:rsid w:val="00D937B9"/>
    <w:rsid w:val="00D93839"/>
    <w:rsid w:val="00D9386F"/>
    <w:rsid w:val="00D9391F"/>
    <w:rsid w:val="00D93991"/>
    <w:rsid w:val="00D939AE"/>
    <w:rsid w:val="00D939BF"/>
    <w:rsid w:val="00D93C36"/>
    <w:rsid w:val="00D93C44"/>
    <w:rsid w:val="00D93C9B"/>
    <w:rsid w:val="00D93CDB"/>
    <w:rsid w:val="00D93D5E"/>
    <w:rsid w:val="00D93E1A"/>
    <w:rsid w:val="00D93E70"/>
    <w:rsid w:val="00D93F0C"/>
    <w:rsid w:val="00D940D2"/>
    <w:rsid w:val="00D94156"/>
    <w:rsid w:val="00D94190"/>
    <w:rsid w:val="00D941D6"/>
    <w:rsid w:val="00D94379"/>
    <w:rsid w:val="00D9439D"/>
    <w:rsid w:val="00D943D4"/>
    <w:rsid w:val="00D94566"/>
    <w:rsid w:val="00D946AD"/>
    <w:rsid w:val="00D9487B"/>
    <w:rsid w:val="00D94948"/>
    <w:rsid w:val="00D94A5E"/>
    <w:rsid w:val="00D94A66"/>
    <w:rsid w:val="00D94B7B"/>
    <w:rsid w:val="00D94BFE"/>
    <w:rsid w:val="00D94C72"/>
    <w:rsid w:val="00D94CDC"/>
    <w:rsid w:val="00D94D76"/>
    <w:rsid w:val="00D94D9B"/>
    <w:rsid w:val="00D94E9D"/>
    <w:rsid w:val="00D94FE1"/>
    <w:rsid w:val="00D950CE"/>
    <w:rsid w:val="00D951B5"/>
    <w:rsid w:val="00D951C4"/>
    <w:rsid w:val="00D95267"/>
    <w:rsid w:val="00D95406"/>
    <w:rsid w:val="00D954D9"/>
    <w:rsid w:val="00D954F1"/>
    <w:rsid w:val="00D9566C"/>
    <w:rsid w:val="00D9569F"/>
    <w:rsid w:val="00D95712"/>
    <w:rsid w:val="00D957E3"/>
    <w:rsid w:val="00D958BB"/>
    <w:rsid w:val="00D9597B"/>
    <w:rsid w:val="00D95986"/>
    <w:rsid w:val="00D95BC6"/>
    <w:rsid w:val="00D95C48"/>
    <w:rsid w:val="00D95E69"/>
    <w:rsid w:val="00D9608B"/>
    <w:rsid w:val="00D96505"/>
    <w:rsid w:val="00D965A2"/>
    <w:rsid w:val="00D967DD"/>
    <w:rsid w:val="00D96919"/>
    <w:rsid w:val="00D96965"/>
    <w:rsid w:val="00D96AB8"/>
    <w:rsid w:val="00D96CE4"/>
    <w:rsid w:val="00D96D37"/>
    <w:rsid w:val="00D96D7F"/>
    <w:rsid w:val="00D96E5A"/>
    <w:rsid w:val="00D96EFF"/>
    <w:rsid w:val="00D96F02"/>
    <w:rsid w:val="00D96FCF"/>
    <w:rsid w:val="00D971CF"/>
    <w:rsid w:val="00D972D3"/>
    <w:rsid w:val="00D97390"/>
    <w:rsid w:val="00D973A8"/>
    <w:rsid w:val="00D973E2"/>
    <w:rsid w:val="00D975A6"/>
    <w:rsid w:val="00D975AE"/>
    <w:rsid w:val="00D976B0"/>
    <w:rsid w:val="00D97754"/>
    <w:rsid w:val="00D97771"/>
    <w:rsid w:val="00D97775"/>
    <w:rsid w:val="00D97887"/>
    <w:rsid w:val="00D978CE"/>
    <w:rsid w:val="00D9795B"/>
    <w:rsid w:val="00D979A0"/>
    <w:rsid w:val="00D97A08"/>
    <w:rsid w:val="00D97A7C"/>
    <w:rsid w:val="00D97B31"/>
    <w:rsid w:val="00D97B49"/>
    <w:rsid w:val="00D97BA5"/>
    <w:rsid w:val="00D97BD6"/>
    <w:rsid w:val="00D97CB6"/>
    <w:rsid w:val="00D97D53"/>
    <w:rsid w:val="00D97E07"/>
    <w:rsid w:val="00D97E3F"/>
    <w:rsid w:val="00D97E70"/>
    <w:rsid w:val="00DA0097"/>
    <w:rsid w:val="00DA00F7"/>
    <w:rsid w:val="00DA0119"/>
    <w:rsid w:val="00DA029A"/>
    <w:rsid w:val="00DA02A4"/>
    <w:rsid w:val="00DA02B7"/>
    <w:rsid w:val="00DA031A"/>
    <w:rsid w:val="00DA032C"/>
    <w:rsid w:val="00DA0355"/>
    <w:rsid w:val="00DA036A"/>
    <w:rsid w:val="00DA037B"/>
    <w:rsid w:val="00DA03A3"/>
    <w:rsid w:val="00DA03D2"/>
    <w:rsid w:val="00DA046F"/>
    <w:rsid w:val="00DA05A4"/>
    <w:rsid w:val="00DA062F"/>
    <w:rsid w:val="00DA066F"/>
    <w:rsid w:val="00DA0679"/>
    <w:rsid w:val="00DA07F8"/>
    <w:rsid w:val="00DA09A0"/>
    <w:rsid w:val="00DA09F8"/>
    <w:rsid w:val="00DA0A08"/>
    <w:rsid w:val="00DA0B76"/>
    <w:rsid w:val="00DA0B8D"/>
    <w:rsid w:val="00DA0BF4"/>
    <w:rsid w:val="00DA0C02"/>
    <w:rsid w:val="00DA0C69"/>
    <w:rsid w:val="00DA0CAB"/>
    <w:rsid w:val="00DA0D42"/>
    <w:rsid w:val="00DA0EA4"/>
    <w:rsid w:val="00DA0EB2"/>
    <w:rsid w:val="00DA0F41"/>
    <w:rsid w:val="00DA108F"/>
    <w:rsid w:val="00DA1148"/>
    <w:rsid w:val="00DA1232"/>
    <w:rsid w:val="00DA1439"/>
    <w:rsid w:val="00DA1456"/>
    <w:rsid w:val="00DA14A7"/>
    <w:rsid w:val="00DA14B0"/>
    <w:rsid w:val="00DA14B7"/>
    <w:rsid w:val="00DA1723"/>
    <w:rsid w:val="00DA17FB"/>
    <w:rsid w:val="00DA1855"/>
    <w:rsid w:val="00DA187F"/>
    <w:rsid w:val="00DA18BC"/>
    <w:rsid w:val="00DA18C9"/>
    <w:rsid w:val="00DA18FD"/>
    <w:rsid w:val="00DA1941"/>
    <w:rsid w:val="00DA1A3F"/>
    <w:rsid w:val="00DA1B60"/>
    <w:rsid w:val="00DA1DC2"/>
    <w:rsid w:val="00DA1DE4"/>
    <w:rsid w:val="00DA1DF9"/>
    <w:rsid w:val="00DA1EA6"/>
    <w:rsid w:val="00DA1EF3"/>
    <w:rsid w:val="00DA1F0A"/>
    <w:rsid w:val="00DA1F56"/>
    <w:rsid w:val="00DA1F6B"/>
    <w:rsid w:val="00DA1F71"/>
    <w:rsid w:val="00DA1F9D"/>
    <w:rsid w:val="00DA2169"/>
    <w:rsid w:val="00DA2295"/>
    <w:rsid w:val="00DA22C1"/>
    <w:rsid w:val="00DA2394"/>
    <w:rsid w:val="00DA23C4"/>
    <w:rsid w:val="00DA240A"/>
    <w:rsid w:val="00DA2592"/>
    <w:rsid w:val="00DA2678"/>
    <w:rsid w:val="00DA27BA"/>
    <w:rsid w:val="00DA28BF"/>
    <w:rsid w:val="00DA290E"/>
    <w:rsid w:val="00DA291C"/>
    <w:rsid w:val="00DA292E"/>
    <w:rsid w:val="00DA29FB"/>
    <w:rsid w:val="00DA2B75"/>
    <w:rsid w:val="00DA2C04"/>
    <w:rsid w:val="00DA2C98"/>
    <w:rsid w:val="00DA2D6E"/>
    <w:rsid w:val="00DA2D92"/>
    <w:rsid w:val="00DA2DC8"/>
    <w:rsid w:val="00DA2E1C"/>
    <w:rsid w:val="00DA3220"/>
    <w:rsid w:val="00DA3298"/>
    <w:rsid w:val="00DA3362"/>
    <w:rsid w:val="00DA34F1"/>
    <w:rsid w:val="00DA35E1"/>
    <w:rsid w:val="00DA3710"/>
    <w:rsid w:val="00DA3745"/>
    <w:rsid w:val="00DA374E"/>
    <w:rsid w:val="00DA386E"/>
    <w:rsid w:val="00DA3887"/>
    <w:rsid w:val="00DA38F6"/>
    <w:rsid w:val="00DA3962"/>
    <w:rsid w:val="00DA3A7A"/>
    <w:rsid w:val="00DA3D6E"/>
    <w:rsid w:val="00DA3DEA"/>
    <w:rsid w:val="00DA3E37"/>
    <w:rsid w:val="00DA3F0C"/>
    <w:rsid w:val="00DA4071"/>
    <w:rsid w:val="00DA413D"/>
    <w:rsid w:val="00DA4184"/>
    <w:rsid w:val="00DA4264"/>
    <w:rsid w:val="00DA4317"/>
    <w:rsid w:val="00DA4332"/>
    <w:rsid w:val="00DA4478"/>
    <w:rsid w:val="00DA4498"/>
    <w:rsid w:val="00DA44CF"/>
    <w:rsid w:val="00DA44E5"/>
    <w:rsid w:val="00DA453D"/>
    <w:rsid w:val="00DA4714"/>
    <w:rsid w:val="00DA47E4"/>
    <w:rsid w:val="00DA4830"/>
    <w:rsid w:val="00DA48BE"/>
    <w:rsid w:val="00DA491F"/>
    <w:rsid w:val="00DA4948"/>
    <w:rsid w:val="00DA4968"/>
    <w:rsid w:val="00DA497A"/>
    <w:rsid w:val="00DA49C2"/>
    <w:rsid w:val="00DA49EE"/>
    <w:rsid w:val="00DA4A2A"/>
    <w:rsid w:val="00DA4BF6"/>
    <w:rsid w:val="00DA4DC0"/>
    <w:rsid w:val="00DA4ECC"/>
    <w:rsid w:val="00DA5025"/>
    <w:rsid w:val="00DA513B"/>
    <w:rsid w:val="00DA51A2"/>
    <w:rsid w:val="00DA51A5"/>
    <w:rsid w:val="00DA51CF"/>
    <w:rsid w:val="00DA520D"/>
    <w:rsid w:val="00DA535E"/>
    <w:rsid w:val="00DA53DC"/>
    <w:rsid w:val="00DA54D2"/>
    <w:rsid w:val="00DA5687"/>
    <w:rsid w:val="00DA57D2"/>
    <w:rsid w:val="00DA5971"/>
    <w:rsid w:val="00DA5AA5"/>
    <w:rsid w:val="00DA5C57"/>
    <w:rsid w:val="00DA5D07"/>
    <w:rsid w:val="00DA5D8E"/>
    <w:rsid w:val="00DA5F0D"/>
    <w:rsid w:val="00DA605D"/>
    <w:rsid w:val="00DA609C"/>
    <w:rsid w:val="00DA61CA"/>
    <w:rsid w:val="00DA6229"/>
    <w:rsid w:val="00DA6232"/>
    <w:rsid w:val="00DA6246"/>
    <w:rsid w:val="00DA625E"/>
    <w:rsid w:val="00DA6267"/>
    <w:rsid w:val="00DA6269"/>
    <w:rsid w:val="00DA62F0"/>
    <w:rsid w:val="00DA6324"/>
    <w:rsid w:val="00DA6327"/>
    <w:rsid w:val="00DA635B"/>
    <w:rsid w:val="00DA645F"/>
    <w:rsid w:val="00DA648F"/>
    <w:rsid w:val="00DA66D4"/>
    <w:rsid w:val="00DA66FD"/>
    <w:rsid w:val="00DA671B"/>
    <w:rsid w:val="00DA676E"/>
    <w:rsid w:val="00DA6829"/>
    <w:rsid w:val="00DA687E"/>
    <w:rsid w:val="00DA6906"/>
    <w:rsid w:val="00DA6911"/>
    <w:rsid w:val="00DA692E"/>
    <w:rsid w:val="00DA6A29"/>
    <w:rsid w:val="00DA6B0F"/>
    <w:rsid w:val="00DA6BCD"/>
    <w:rsid w:val="00DA6BCE"/>
    <w:rsid w:val="00DA6BF7"/>
    <w:rsid w:val="00DA6BFC"/>
    <w:rsid w:val="00DA6CAF"/>
    <w:rsid w:val="00DA6D24"/>
    <w:rsid w:val="00DA6DF9"/>
    <w:rsid w:val="00DA6E1C"/>
    <w:rsid w:val="00DA6E80"/>
    <w:rsid w:val="00DA6E98"/>
    <w:rsid w:val="00DA7028"/>
    <w:rsid w:val="00DA70FB"/>
    <w:rsid w:val="00DA7161"/>
    <w:rsid w:val="00DA7170"/>
    <w:rsid w:val="00DA7197"/>
    <w:rsid w:val="00DA72AD"/>
    <w:rsid w:val="00DA7345"/>
    <w:rsid w:val="00DA7439"/>
    <w:rsid w:val="00DA74E3"/>
    <w:rsid w:val="00DA74F7"/>
    <w:rsid w:val="00DA753F"/>
    <w:rsid w:val="00DA7561"/>
    <w:rsid w:val="00DA779E"/>
    <w:rsid w:val="00DA7942"/>
    <w:rsid w:val="00DA79FA"/>
    <w:rsid w:val="00DA7B6A"/>
    <w:rsid w:val="00DA7D9D"/>
    <w:rsid w:val="00DA7E22"/>
    <w:rsid w:val="00DA7FEB"/>
    <w:rsid w:val="00DB0043"/>
    <w:rsid w:val="00DB009E"/>
    <w:rsid w:val="00DB0156"/>
    <w:rsid w:val="00DB03C5"/>
    <w:rsid w:val="00DB03CC"/>
    <w:rsid w:val="00DB05E9"/>
    <w:rsid w:val="00DB060B"/>
    <w:rsid w:val="00DB064F"/>
    <w:rsid w:val="00DB06D8"/>
    <w:rsid w:val="00DB080D"/>
    <w:rsid w:val="00DB0A43"/>
    <w:rsid w:val="00DB0A9F"/>
    <w:rsid w:val="00DB0AED"/>
    <w:rsid w:val="00DB0C40"/>
    <w:rsid w:val="00DB0DE9"/>
    <w:rsid w:val="00DB0EDC"/>
    <w:rsid w:val="00DB0F61"/>
    <w:rsid w:val="00DB10B6"/>
    <w:rsid w:val="00DB10EC"/>
    <w:rsid w:val="00DB110F"/>
    <w:rsid w:val="00DB1237"/>
    <w:rsid w:val="00DB1487"/>
    <w:rsid w:val="00DB15A3"/>
    <w:rsid w:val="00DB160A"/>
    <w:rsid w:val="00DB1692"/>
    <w:rsid w:val="00DB1702"/>
    <w:rsid w:val="00DB1828"/>
    <w:rsid w:val="00DB1834"/>
    <w:rsid w:val="00DB1987"/>
    <w:rsid w:val="00DB1A75"/>
    <w:rsid w:val="00DB1AD0"/>
    <w:rsid w:val="00DB1B4E"/>
    <w:rsid w:val="00DB1CE7"/>
    <w:rsid w:val="00DB1CFB"/>
    <w:rsid w:val="00DB1D2B"/>
    <w:rsid w:val="00DB1E1E"/>
    <w:rsid w:val="00DB1F03"/>
    <w:rsid w:val="00DB1F77"/>
    <w:rsid w:val="00DB2056"/>
    <w:rsid w:val="00DB2060"/>
    <w:rsid w:val="00DB22C4"/>
    <w:rsid w:val="00DB2362"/>
    <w:rsid w:val="00DB24DF"/>
    <w:rsid w:val="00DB2688"/>
    <w:rsid w:val="00DB2792"/>
    <w:rsid w:val="00DB292D"/>
    <w:rsid w:val="00DB292F"/>
    <w:rsid w:val="00DB29D9"/>
    <w:rsid w:val="00DB2CA1"/>
    <w:rsid w:val="00DB2CDA"/>
    <w:rsid w:val="00DB2D16"/>
    <w:rsid w:val="00DB2D63"/>
    <w:rsid w:val="00DB2F07"/>
    <w:rsid w:val="00DB300E"/>
    <w:rsid w:val="00DB31CE"/>
    <w:rsid w:val="00DB3223"/>
    <w:rsid w:val="00DB325B"/>
    <w:rsid w:val="00DB32AE"/>
    <w:rsid w:val="00DB32E9"/>
    <w:rsid w:val="00DB3361"/>
    <w:rsid w:val="00DB337F"/>
    <w:rsid w:val="00DB3421"/>
    <w:rsid w:val="00DB34DF"/>
    <w:rsid w:val="00DB3510"/>
    <w:rsid w:val="00DB35E6"/>
    <w:rsid w:val="00DB36DF"/>
    <w:rsid w:val="00DB3796"/>
    <w:rsid w:val="00DB37B1"/>
    <w:rsid w:val="00DB37C5"/>
    <w:rsid w:val="00DB37E1"/>
    <w:rsid w:val="00DB384D"/>
    <w:rsid w:val="00DB38FB"/>
    <w:rsid w:val="00DB395E"/>
    <w:rsid w:val="00DB3BA7"/>
    <w:rsid w:val="00DB3BD3"/>
    <w:rsid w:val="00DB3C25"/>
    <w:rsid w:val="00DB3C2D"/>
    <w:rsid w:val="00DB3DDD"/>
    <w:rsid w:val="00DB3EF6"/>
    <w:rsid w:val="00DB3FE1"/>
    <w:rsid w:val="00DB3FF7"/>
    <w:rsid w:val="00DB42DD"/>
    <w:rsid w:val="00DB4504"/>
    <w:rsid w:val="00DB45C7"/>
    <w:rsid w:val="00DB45D4"/>
    <w:rsid w:val="00DB46A6"/>
    <w:rsid w:val="00DB4771"/>
    <w:rsid w:val="00DB47DC"/>
    <w:rsid w:val="00DB4812"/>
    <w:rsid w:val="00DB48AD"/>
    <w:rsid w:val="00DB4917"/>
    <w:rsid w:val="00DB4A9C"/>
    <w:rsid w:val="00DB4ACC"/>
    <w:rsid w:val="00DB4BE0"/>
    <w:rsid w:val="00DB4C5C"/>
    <w:rsid w:val="00DB4CBA"/>
    <w:rsid w:val="00DB4D60"/>
    <w:rsid w:val="00DB4DA9"/>
    <w:rsid w:val="00DB4E5C"/>
    <w:rsid w:val="00DB4EC7"/>
    <w:rsid w:val="00DB4F91"/>
    <w:rsid w:val="00DB4FD4"/>
    <w:rsid w:val="00DB5351"/>
    <w:rsid w:val="00DB5361"/>
    <w:rsid w:val="00DB5397"/>
    <w:rsid w:val="00DB547E"/>
    <w:rsid w:val="00DB5485"/>
    <w:rsid w:val="00DB5562"/>
    <w:rsid w:val="00DB5587"/>
    <w:rsid w:val="00DB55ED"/>
    <w:rsid w:val="00DB571B"/>
    <w:rsid w:val="00DB574C"/>
    <w:rsid w:val="00DB57BE"/>
    <w:rsid w:val="00DB5889"/>
    <w:rsid w:val="00DB5ACB"/>
    <w:rsid w:val="00DB5B16"/>
    <w:rsid w:val="00DB5CCE"/>
    <w:rsid w:val="00DB5D83"/>
    <w:rsid w:val="00DB5F0E"/>
    <w:rsid w:val="00DB5FC1"/>
    <w:rsid w:val="00DB605F"/>
    <w:rsid w:val="00DB6068"/>
    <w:rsid w:val="00DB6151"/>
    <w:rsid w:val="00DB64A4"/>
    <w:rsid w:val="00DB658B"/>
    <w:rsid w:val="00DB6642"/>
    <w:rsid w:val="00DB666C"/>
    <w:rsid w:val="00DB66B2"/>
    <w:rsid w:val="00DB6738"/>
    <w:rsid w:val="00DB677E"/>
    <w:rsid w:val="00DB6895"/>
    <w:rsid w:val="00DB6955"/>
    <w:rsid w:val="00DB698A"/>
    <w:rsid w:val="00DB6A60"/>
    <w:rsid w:val="00DB6ACD"/>
    <w:rsid w:val="00DB6B98"/>
    <w:rsid w:val="00DB6D40"/>
    <w:rsid w:val="00DB6E31"/>
    <w:rsid w:val="00DB6E94"/>
    <w:rsid w:val="00DB71B4"/>
    <w:rsid w:val="00DB71BF"/>
    <w:rsid w:val="00DB720C"/>
    <w:rsid w:val="00DB7359"/>
    <w:rsid w:val="00DB74D1"/>
    <w:rsid w:val="00DB7778"/>
    <w:rsid w:val="00DB77AA"/>
    <w:rsid w:val="00DB77D1"/>
    <w:rsid w:val="00DB78CD"/>
    <w:rsid w:val="00DB79D3"/>
    <w:rsid w:val="00DB7A09"/>
    <w:rsid w:val="00DB7A66"/>
    <w:rsid w:val="00DB7B00"/>
    <w:rsid w:val="00DB7B59"/>
    <w:rsid w:val="00DB7BB2"/>
    <w:rsid w:val="00DB7BB7"/>
    <w:rsid w:val="00DB7C0E"/>
    <w:rsid w:val="00DB7C76"/>
    <w:rsid w:val="00DB7D07"/>
    <w:rsid w:val="00DB7D14"/>
    <w:rsid w:val="00DB7D8F"/>
    <w:rsid w:val="00DB7DB8"/>
    <w:rsid w:val="00DB7DEC"/>
    <w:rsid w:val="00DB7DF7"/>
    <w:rsid w:val="00DB7E99"/>
    <w:rsid w:val="00DB7F9E"/>
    <w:rsid w:val="00DB7FA6"/>
    <w:rsid w:val="00DC0084"/>
    <w:rsid w:val="00DC02C2"/>
    <w:rsid w:val="00DC03A6"/>
    <w:rsid w:val="00DC06DA"/>
    <w:rsid w:val="00DC076E"/>
    <w:rsid w:val="00DC07A5"/>
    <w:rsid w:val="00DC0933"/>
    <w:rsid w:val="00DC09BA"/>
    <w:rsid w:val="00DC0AA8"/>
    <w:rsid w:val="00DC0B99"/>
    <w:rsid w:val="00DC0D1A"/>
    <w:rsid w:val="00DC0E86"/>
    <w:rsid w:val="00DC0F4A"/>
    <w:rsid w:val="00DC0F4C"/>
    <w:rsid w:val="00DC0F9F"/>
    <w:rsid w:val="00DC105B"/>
    <w:rsid w:val="00DC10B0"/>
    <w:rsid w:val="00DC1124"/>
    <w:rsid w:val="00DC114D"/>
    <w:rsid w:val="00DC1287"/>
    <w:rsid w:val="00DC12C6"/>
    <w:rsid w:val="00DC13F7"/>
    <w:rsid w:val="00DC1417"/>
    <w:rsid w:val="00DC1483"/>
    <w:rsid w:val="00DC14CB"/>
    <w:rsid w:val="00DC14E9"/>
    <w:rsid w:val="00DC1599"/>
    <w:rsid w:val="00DC1633"/>
    <w:rsid w:val="00DC18A8"/>
    <w:rsid w:val="00DC18C8"/>
    <w:rsid w:val="00DC194A"/>
    <w:rsid w:val="00DC1980"/>
    <w:rsid w:val="00DC19EF"/>
    <w:rsid w:val="00DC1C8E"/>
    <w:rsid w:val="00DC1C8F"/>
    <w:rsid w:val="00DC1E5E"/>
    <w:rsid w:val="00DC1F3A"/>
    <w:rsid w:val="00DC1FA2"/>
    <w:rsid w:val="00DC203B"/>
    <w:rsid w:val="00DC220A"/>
    <w:rsid w:val="00DC2259"/>
    <w:rsid w:val="00DC2276"/>
    <w:rsid w:val="00DC2360"/>
    <w:rsid w:val="00DC236C"/>
    <w:rsid w:val="00DC236E"/>
    <w:rsid w:val="00DC238E"/>
    <w:rsid w:val="00DC23A2"/>
    <w:rsid w:val="00DC23CC"/>
    <w:rsid w:val="00DC2425"/>
    <w:rsid w:val="00DC2682"/>
    <w:rsid w:val="00DC26CF"/>
    <w:rsid w:val="00DC26E4"/>
    <w:rsid w:val="00DC26EF"/>
    <w:rsid w:val="00DC2A24"/>
    <w:rsid w:val="00DC2C69"/>
    <w:rsid w:val="00DC2CAA"/>
    <w:rsid w:val="00DC2E4C"/>
    <w:rsid w:val="00DC2EA7"/>
    <w:rsid w:val="00DC2EF9"/>
    <w:rsid w:val="00DC30B2"/>
    <w:rsid w:val="00DC30DE"/>
    <w:rsid w:val="00DC31C0"/>
    <w:rsid w:val="00DC3273"/>
    <w:rsid w:val="00DC32BF"/>
    <w:rsid w:val="00DC333C"/>
    <w:rsid w:val="00DC33CB"/>
    <w:rsid w:val="00DC33CF"/>
    <w:rsid w:val="00DC33D0"/>
    <w:rsid w:val="00DC3423"/>
    <w:rsid w:val="00DC3499"/>
    <w:rsid w:val="00DC355C"/>
    <w:rsid w:val="00DC37B6"/>
    <w:rsid w:val="00DC37FD"/>
    <w:rsid w:val="00DC383F"/>
    <w:rsid w:val="00DC3A34"/>
    <w:rsid w:val="00DC3B38"/>
    <w:rsid w:val="00DC3B6C"/>
    <w:rsid w:val="00DC3D69"/>
    <w:rsid w:val="00DC3F76"/>
    <w:rsid w:val="00DC3FD5"/>
    <w:rsid w:val="00DC4367"/>
    <w:rsid w:val="00DC43AE"/>
    <w:rsid w:val="00DC43BD"/>
    <w:rsid w:val="00DC43CC"/>
    <w:rsid w:val="00DC440C"/>
    <w:rsid w:val="00DC4433"/>
    <w:rsid w:val="00DC4483"/>
    <w:rsid w:val="00DC456B"/>
    <w:rsid w:val="00DC4723"/>
    <w:rsid w:val="00DC4728"/>
    <w:rsid w:val="00DC4878"/>
    <w:rsid w:val="00DC4905"/>
    <w:rsid w:val="00DC4B45"/>
    <w:rsid w:val="00DC4CCE"/>
    <w:rsid w:val="00DC4CF7"/>
    <w:rsid w:val="00DC4E01"/>
    <w:rsid w:val="00DC4EAF"/>
    <w:rsid w:val="00DC4F2C"/>
    <w:rsid w:val="00DC4FDD"/>
    <w:rsid w:val="00DC503D"/>
    <w:rsid w:val="00DC508C"/>
    <w:rsid w:val="00DC50DD"/>
    <w:rsid w:val="00DC5237"/>
    <w:rsid w:val="00DC5256"/>
    <w:rsid w:val="00DC526D"/>
    <w:rsid w:val="00DC533A"/>
    <w:rsid w:val="00DC5388"/>
    <w:rsid w:val="00DC5450"/>
    <w:rsid w:val="00DC5477"/>
    <w:rsid w:val="00DC54BB"/>
    <w:rsid w:val="00DC54C7"/>
    <w:rsid w:val="00DC5591"/>
    <w:rsid w:val="00DC55A7"/>
    <w:rsid w:val="00DC55B1"/>
    <w:rsid w:val="00DC5633"/>
    <w:rsid w:val="00DC57F4"/>
    <w:rsid w:val="00DC5808"/>
    <w:rsid w:val="00DC5814"/>
    <w:rsid w:val="00DC5907"/>
    <w:rsid w:val="00DC594F"/>
    <w:rsid w:val="00DC595D"/>
    <w:rsid w:val="00DC59BC"/>
    <w:rsid w:val="00DC5A78"/>
    <w:rsid w:val="00DC5B27"/>
    <w:rsid w:val="00DC5C03"/>
    <w:rsid w:val="00DC5CB2"/>
    <w:rsid w:val="00DC5D9F"/>
    <w:rsid w:val="00DC5E05"/>
    <w:rsid w:val="00DC5E5A"/>
    <w:rsid w:val="00DC5EA2"/>
    <w:rsid w:val="00DC5F01"/>
    <w:rsid w:val="00DC5F0C"/>
    <w:rsid w:val="00DC5FB1"/>
    <w:rsid w:val="00DC5FBE"/>
    <w:rsid w:val="00DC5FE5"/>
    <w:rsid w:val="00DC6064"/>
    <w:rsid w:val="00DC60CB"/>
    <w:rsid w:val="00DC6224"/>
    <w:rsid w:val="00DC632C"/>
    <w:rsid w:val="00DC6472"/>
    <w:rsid w:val="00DC6492"/>
    <w:rsid w:val="00DC65EC"/>
    <w:rsid w:val="00DC66D7"/>
    <w:rsid w:val="00DC673E"/>
    <w:rsid w:val="00DC6993"/>
    <w:rsid w:val="00DC6AB9"/>
    <w:rsid w:val="00DC6B3D"/>
    <w:rsid w:val="00DC6B51"/>
    <w:rsid w:val="00DC6BA1"/>
    <w:rsid w:val="00DC6BFA"/>
    <w:rsid w:val="00DC6C51"/>
    <w:rsid w:val="00DC706C"/>
    <w:rsid w:val="00DC72B7"/>
    <w:rsid w:val="00DC72CA"/>
    <w:rsid w:val="00DC72F7"/>
    <w:rsid w:val="00DC761D"/>
    <w:rsid w:val="00DC7639"/>
    <w:rsid w:val="00DC769C"/>
    <w:rsid w:val="00DC7730"/>
    <w:rsid w:val="00DC7772"/>
    <w:rsid w:val="00DC786F"/>
    <w:rsid w:val="00DC78C5"/>
    <w:rsid w:val="00DC795C"/>
    <w:rsid w:val="00DC79D3"/>
    <w:rsid w:val="00DC7AAF"/>
    <w:rsid w:val="00DC7B52"/>
    <w:rsid w:val="00DC7B85"/>
    <w:rsid w:val="00DC7BF0"/>
    <w:rsid w:val="00DC7F3E"/>
    <w:rsid w:val="00DC7FF1"/>
    <w:rsid w:val="00DD00AA"/>
    <w:rsid w:val="00DD0130"/>
    <w:rsid w:val="00DD0168"/>
    <w:rsid w:val="00DD01A5"/>
    <w:rsid w:val="00DD0238"/>
    <w:rsid w:val="00DD0282"/>
    <w:rsid w:val="00DD02CA"/>
    <w:rsid w:val="00DD04A6"/>
    <w:rsid w:val="00DD0669"/>
    <w:rsid w:val="00DD06C8"/>
    <w:rsid w:val="00DD0780"/>
    <w:rsid w:val="00DD078A"/>
    <w:rsid w:val="00DD07B0"/>
    <w:rsid w:val="00DD092E"/>
    <w:rsid w:val="00DD0958"/>
    <w:rsid w:val="00DD098A"/>
    <w:rsid w:val="00DD0A2B"/>
    <w:rsid w:val="00DD0A3F"/>
    <w:rsid w:val="00DD0BCA"/>
    <w:rsid w:val="00DD0D2F"/>
    <w:rsid w:val="00DD114E"/>
    <w:rsid w:val="00DD1179"/>
    <w:rsid w:val="00DD11F9"/>
    <w:rsid w:val="00DD11FB"/>
    <w:rsid w:val="00DD1216"/>
    <w:rsid w:val="00DD131B"/>
    <w:rsid w:val="00DD1342"/>
    <w:rsid w:val="00DD1381"/>
    <w:rsid w:val="00DD1482"/>
    <w:rsid w:val="00DD1490"/>
    <w:rsid w:val="00DD14A2"/>
    <w:rsid w:val="00DD1559"/>
    <w:rsid w:val="00DD161D"/>
    <w:rsid w:val="00DD16DC"/>
    <w:rsid w:val="00DD179D"/>
    <w:rsid w:val="00DD17B0"/>
    <w:rsid w:val="00DD1839"/>
    <w:rsid w:val="00DD1867"/>
    <w:rsid w:val="00DD18B6"/>
    <w:rsid w:val="00DD1A1E"/>
    <w:rsid w:val="00DD1AAE"/>
    <w:rsid w:val="00DD1B17"/>
    <w:rsid w:val="00DD1B20"/>
    <w:rsid w:val="00DD1D6B"/>
    <w:rsid w:val="00DD1EEF"/>
    <w:rsid w:val="00DD1F72"/>
    <w:rsid w:val="00DD1FC3"/>
    <w:rsid w:val="00DD20C6"/>
    <w:rsid w:val="00DD2106"/>
    <w:rsid w:val="00DD21E5"/>
    <w:rsid w:val="00DD22FA"/>
    <w:rsid w:val="00DD2345"/>
    <w:rsid w:val="00DD23CB"/>
    <w:rsid w:val="00DD2442"/>
    <w:rsid w:val="00DD24B7"/>
    <w:rsid w:val="00DD263E"/>
    <w:rsid w:val="00DD2816"/>
    <w:rsid w:val="00DD2864"/>
    <w:rsid w:val="00DD295F"/>
    <w:rsid w:val="00DD29AD"/>
    <w:rsid w:val="00DD2AC2"/>
    <w:rsid w:val="00DD2B17"/>
    <w:rsid w:val="00DD2B7D"/>
    <w:rsid w:val="00DD2E3B"/>
    <w:rsid w:val="00DD2E7C"/>
    <w:rsid w:val="00DD30AF"/>
    <w:rsid w:val="00DD3122"/>
    <w:rsid w:val="00DD3286"/>
    <w:rsid w:val="00DD329A"/>
    <w:rsid w:val="00DD329B"/>
    <w:rsid w:val="00DD32AF"/>
    <w:rsid w:val="00DD3330"/>
    <w:rsid w:val="00DD3452"/>
    <w:rsid w:val="00DD34A2"/>
    <w:rsid w:val="00DD3559"/>
    <w:rsid w:val="00DD37CD"/>
    <w:rsid w:val="00DD383D"/>
    <w:rsid w:val="00DD3B4B"/>
    <w:rsid w:val="00DD3B54"/>
    <w:rsid w:val="00DD3C5E"/>
    <w:rsid w:val="00DD3C78"/>
    <w:rsid w:val="00DD3D06"/>
    <w:rsid w:val="00DD3DB8"/>
    <w:rsid w:val="00DD3E76"/>
    <w:rsid w:val="00DD3EA1"/>
    <w:rsid w:val="00DD401E"/>
    <w:rsid w:val="00DD412A"/>
    <w:rsid w:val="00DD4195"/>
    <w:rsid w:val="00DD42D8"/>
    <w:rsid w:val="00DD4328"/>
    <w:rsid w:val="00DD43AD"/>
    <w:rsid w:val="00DD45AA"/>
    <w:rsid w:val="00DD45CB"/>
    <w:rsid w:val="00DD4643"/>
    <w:rsid w:val="00DD4670"/>
    <w:rsid w:val="00DD46B9"/>
    <w:rsid w:val="00DD4752"/>
    <w:rsid w:val="00DD4875"/>
    <w:rsid w:val="00DD48FA"/>
    <w:rsid w:val="00DD4914"/>
    <w:rsid w:val="00DD491B"/>
    <w:rsid w:val="00DD49A2"/>
    <w:rsid w:val="00DD4A1A"/>
    <w:rsid w:val="00DD4C90"/>
    <w:rsid w:val="00DD4CE2"/>
    <w:rsid w:val="00DD4E7B"/>
    <w:rsid w:val="00DD4F03"/>
    <w:rsid w:val="00DD4F34"/>
    <w:rsid w:val="00DD4FF1"/>
    <w:rsid w:val="00DD505D"/>
    <w:rsid w:val="00DD509A"/>
    <w:rsid w:val="00DD509E"/>
    <w:rsid w:val="00DD519F"/>
    <w:rsid w:val="00DD5220"/>
    <w:rsid w:val="00DD5239"/>
    <w:rsid w:val="00DD52B2"/>
    <w:rsid w:val="00DD52C0"/>
    <w:rsid w:val="00DD531F"/>
    <w:rsid w:val="00DD53B4"/>
    <w:rsid w:val="00DD5461"/>
    <w:rsid w:val="00DD5589"/>
    <w:rsid w:val="00DD55BB"/>
    <w:rsid w:val="00DD5611"/>
    <w:rsid w:val="00DD56C2"/>
    <w:rsid w:val="00DD578A"/>
    <w:rsid w:val="00DD5825"/>
    <w:rsid w:val="00DD599B"/>
    <w:rsid w:val="00DD59FC"/>
    <w:rsid w:val="00DD5A96"/>
    <w:rsid w:val="00DD5A98"/>
    <w:rsid w:val="00DD5AFA"/>
    <w:rsid w:val="00DD5B1D"/>
    <w:rsid w:val="00DD5BFA"/>
    <w:rsid w:val="00DD5CCE"/>
    <w:rsid w:val="00DD5D18"/>
    <w:rsid w:val="00DD5F20"/>
    <w:rsid w:val="00DD6028"/>
    <w:rsid w:val="00DD60A7"/>
    <w:rsid w:val="00DD610F"/>
    <w:rsid w:val="00DD6131"/>
    <w:rsid w:val="00DD62F6"/>
    <w:rsid w:val="00DD63AD"/>
    <w:rsid w:val="00DD6447"/>
    <w:rsid w:val="00DD64EF"/>
    <w:rsid w:val="00DD6567"/>
    <w:rsid w:val="00DD66F2"/>
    <w:rsid w:val="00DD6804"/>
    <w:rsid w:val="00DD6903"/>
    <w:rsid w:val="00DD6AF0"/>
    <w:rsid w:val="00DD6B60"/>
    <w:rsid w:val="00DD6C26"/>
    <w:rsid w:val="00DD6C7F"/>
    <w:rsid w:val="00DD6CA6"/>
    <w:rsid w:val="00DD6CC3"/>
    <w:rsid w:val="00DD6CCE"/>
    <w:rsid w:val="00DD7099"/>
    <w:rsid w:val="00DD71DA"/>
    <w:rsid w:val="00DD73C1"/>
    <w:rsid w:val="00DD73C3"/>
    <w:rsid w:val="00DD73F6"/>
    <w:rsid w:val="00DD73FE"/>
    <w:rsid w:val="00DD7446"/>
    <w:rsid w:val="00DD7545"/>
    <w:rsid w:val="00DD76B0"/>
    <w:rsid w:val="00DD76D0"/>
    <w:rsid w:val="00DD77EF"/>
    <w:rsid w:val="00DD785F"/>
    <w:rsid w:val="00DD78C7"/>
    <w:rsid w:val="00DD7932"/>
    <w:rsid w:val="00DD7982"/>
    <w:rsid w:val="00DD7AF4"/>
    <w:rsid w:val="00DD7CAD"/>
    <w:rsid w:val="00DD7CC4"/>
    <w:rsid w:val="00DD7E16"/>
    <w:rsid w:val="00DD7E23"/>
    <w:rsid w:val="00DD7F6C"/>
    <w:rsid w:val="00DD7FAA"/>
    <w:rsid w:val="00DE0164"/>
    <w:rsid w:val="00DE01DA"/>
    <w:rsid w:val="00DE01E3"/>
    <w:rsid w:val="00DE0225"/>
    <w:rsid w:val="00DE02F8"/>
    <w:rsid w:val="00DE030E"/>
    <w:rsid w:val="00DE035A"/>
    <w:rsid w:val="00DE0451"/>
    <w:rsid w:val="00DE048C"/>
    <w:rsid w:val="00DE0527"/>
    <w:rsid w:val="00DE0594"/>
    <w:rsid w:val="00DE0628"/>
    <w:rsid w:val="00DE06FA"/>
    <w:rsid w:val="00DE07BF"/>
    <w:rsid w:val="00DE0814"/>
    <w:rsid w:val="00DE0833"/>
    <w:rsid w:val="00DE0874"/>
    <w:rsid w:val="00DE08F2"/>
    <w:rsid w:val="00DE0915"/>
    <w:rsid w:val="00DE0AD0"/>
    <w:rsid w:val="00DE0CB0"/>
    <w:rsid w:val="00DE0CB6"/>
    <w:rsid w:val="00DE0D50"/>
    <w:rsid w:val="00DE0DAE"/>
    <w:rsid w:val="00DE0EED"/>
    <w:rsid w:val="00DE0F86"/>
    <w:rsid w:val="00DE0FE6"/>
    <w:rsid w:val="00DE1044"/>
    <w:rsid w:val="00DE12C1"/>
    <w:rsid w:val="00DE13EF"/>
    <w:rsid w:val="00DE143C"/>
    <w:rsid w:val="00DE1471"/>
    <w:rsid w:val="00DE1494"/>
    <w:rsid w:val="00DE149A"/>
    <w:rsid w:val="00DE159F"/>
    <w:rsid w:val="00DE15ED"/>
    <w:rsid w:val="00DE16CB"/>
    <w:rsid w:val="00DE16FB"/>
    <w:rsid w:val="00DE1767"/>
    <w:rsid w:val="00DE17A4"/>
    <w:rsid w:val="00DE189A"/>
    <w:rsid w:val="00DE189C"/>
    <w:rsid w:val="00DE1962"/>
    <w:rsid w:val="00DE197F"/>
    <w:rsid w:val="00DE1980"/>
    <w:rsid w:val="00DE19EB"/>
    <w:rsid w:val="00DE1AAE"/>
    <w:rsid w:val="00DE1B6C"/>
    <w:rsid w:val="00DE1BE3"/>
    <w:rsid w:val="00DE1CE4"/>
    <w:rsid w:val="00DE1E5C"/>
    <w:rsid w:val="00DE1E82"/>
    <w:rsid w:val="00DE1F4E"/>
    <w:rsid w:val="00DE20D3"/>
    <w:rsid w:val="00DE20D4"/>
    <w:rsid w:val="00DE2110"/>
    <w:rsid w:val="00DE211A"/>
    <w:rsid w:val="00DE217F"/>
    <w:rsid w:val="00DE23DC"/>
    <w:rsid w:val="00DE24B1"/>
    <w:rsid w:val="00DE2614"/>
    <w:rsid w:val="00DE2672"/>
    <w:rsid w:val="00DE26EF"/>
    <w:rsid w:val="00DE2775"/>
    <w:rsid w:val="00DE27C1"/>
    <w:rsid w:val="00DE27D0"/>
    <w:rsid w:val="00DE282B"/>
    <w:rsid w:val="00DE2856"/>
    <w:rsid w:val="00DE28E5"/>
    <w:rsid w:val="00DE2902"/>
    <w:rsid w:val="00DE2ADA"/>
    <w:rsid w:val="00DE2AED"/>
    <w:rsid w:val="00DE2BB7"/>
    <w:rsid w:val="00DE2BF3"/>
    <w:rsid w:val="00DE2C05"/>
    <w:rsid w:val="00DE2C27"/>
    <w:rsid w:val="00DE2C4D"/>
    <w:rsid w:val="00DE2D01"/>
    <w:rsid w:val="00DE2DC1"/>
    <w:rsid w:val="00DE2E46"/>
    <w:rsid w:val="00DE2E6D"/>
    <w:rsid w:val="00DE2EB0"/>
    <w:rsid w:val="00DE2F00"/>
    <w:rsid w:val="00DE2F09"/>
    <w:rsid w:val="00DE2F22"/>
    <w:rsid w:val="00DE2F61"/>
    <w:rsid w:val="00DE3049"/>
    <w:rsid w:val="00DE3215"/>
    <w:rsid w:val="00DE339C"/>
    <w:rsid w:val="00DE33A2"/>
    <w:rsid w:val="00DE3518"/>
    <w:rsid w:val="00DE3705"/>
    <w:rsid w:val="00DE37D9"/>
    <w:rsid w:val="00DE3984"/>
    <w:rsid w:val="00DE3A2B"/>
    <w:rsid w:val="00DE3A71"/>
    <w:rsid w:val="00DE3B23"/>
    <w:rsid w:val="00DE3C42"/>
    <w:rsid w:val="00DE3C56"/>
    <w:rsid w:val="00DE3C6B"/>
    <w:rsid w:val="00DE3C81"/>
    <w:rsid w:val="00DE3D39"/>
    <w:rsid w:val="00DE3ED0"/>
    <w:rsid w:val="00DE3F5C"/>
    <w:rsid w:val="00DE3F87"/>
    <w:rsid w:val="00DE411C"/>
    <w:rsid w:val="00DE416F"/>
    <w:rsid w:val="00DE41E2"/>
    <w:rsid w:val="00DE4232"/>
    <w:rsid w:val="00DE42BC"/>
    <w:rsid w:val="00DE447A"/>
    <w:rsid w:val="00DE4480"/>
    <w:rsid w:val="00DE448F"/>
    <w:rsid w:val="00DE4589"/>
    <w:rsid w:val="00DE45F0"/>
    <w:rsid w:val="00DE461A"/>
    <w:rsid w:val="00DE4758"/>
    <w:rsid w:val="00DE480F"/>
    <w:rsid w:val="00DE4840"/>
    <w:rsid w:val="00DE48ED"/>
    <w:rsid w:val="00DE4A95"/>
    <w:rsid w:val="00DE4ADE"/>
    <w:rsid w:val="00DE4B84"/>
    <w:rsid w:val="00DE4BEF"/>
    <w:rsid w:val="00DE4D06"/>
    <w:rsid w:val="00DE4D2F"/>
    <w:rsid w:val="00DE4F05"/>
    <w:rsid w:val="00DE4F93"/>
    <w:rsid w:val="00DE4FC1"/>
    <w:rsid w:val="00DE5024"/>
    <w:rsid w:val="00DE5110"/>
    <w:rsid w:val="00DE512C"/>
    <w:rsid w:val="00DE5132"/>
    <w:rsid w:val="00DE5253"/>
    <w:rsid w:val="00DE5282"/>
    <w:rsid w:val="00DE52AF"/>
    <w:rsid w:val="00DE5385"/>
    <w:rsid w:val="00DE543C"/>
    <w:rsid w:val="00DE545A"/>
    <w:rsid w:val="00DE5587"/>
    <w:rsid w:val="00DE55D5"/>
    <w:rsid w:val="00DE5642"/>
    <w:rsid w:val="00DE5678"/>
    <w:rsid w:val="00DE56B4"/>
    <w:rsid w:val="00DE57C9"/>
    <w:rsid w:val="00DE585B"/>
    <w:rsid w:val="00DE5887"/>
    <w:rsid w:val="00DE5949"/>
    <w:rsid w:val="00DE5B04"/>
    <w:rsid w:val="00DE5C4F"/>
    <w:rsid w:val="00DE5CE0"/>
    <w:rsid w:val="00DE5DE5"/>
    <w:rsid w:val="00DE5E0A"/>
    <w:rsid w:val="00DE5F44"/>
    <w:rsid w:val="00DE5F4A"/>
    <w:rsid w:val="00DE61D2"/>
    <w:rsid w:val="00DE6288"/>
    <w:rsid w:val="00DE6300"/>
    <w:rsid w:val="00DE6313"/>
    <w:rsid w:val="00DE6440"/>
    <w:rsid w:val="00DE646A"/>
    <w:rsid w:val="00DE6471"/>
    <w:rsid w:val="00DE658A"/>
    <w:rsid w:val="00DE667B"/>
    <w:rsid w:val="00DE67DD"/>
    <w:rsid w:val="00DE68DB"/>
    <w:rsid w:val="00DE6A55"/>
    <w:rsid w:val="00DE6E29"/>
    <w:rsid w:val="00DE6E69"/>
    <w:rsid w:val="00DE7020"/>
    <w:rsid w:val="00DE70E4"/>
    <w:rsid w:val="00DE721C"/>
    <w:rsid w:val="00DE7266"/>
    <w:rsid w:val="00DE72E6"/>
    <w:rsid w:val="00DE7301"/>
    <w:rsid w:val="00DE7324"/>
    <w:rsid w:val="00DE73AC"/>
    <w:rsid w:val="00DE786B"/>
    <w:rsid w:val="00DE789D"/>
    <w:rsid w:val="00DE7915"/>
    <w:rsid w:val="00DE793C"/>
    <w:rsid w:val="00DE79B5"/>
    <w:rsid w:val="00DE7AB1"/>
    <w:rsid w:val="00DE7B31"/>
    <w:rsid w:val="00DE7C5A"/>
    <w:rsid w:val="00DE7D0C"/>
    <w:rsid w:val="00DE7D28"/>
    <w:rsid w:val="00DE7DBC"/>
    <w:rsid w:val="00DE7DC8"/>
    <w:rsid w:val="00DE7E9D"/>
    <w:rsid w:val="00DE7F9A"/>
    <w:rsid w:val="00DF003B"/>
    <w:rsid w:val="00DF0094"/>
    <w:rsid w:val="00DF00A3"/>
    <w:rsid w:val="00DF016C"/>
    <w:rsid w:val="00DF01CC"/>
    <w:rsid w:val="00DF02B1"/>
    <w:rsid w:val="00DF0333"/>
    <w:rsid w:val="00DF034D"/>
    <w:rsid w:val="00DF0386"/>
    <w:rsid w:val="00DF0462"/>
    <w:rsid w:val="00DF0506"/>
    <w:rsid w:val="00DF0667"/>
    <w:rsid w:val="00DF082F"/>
    <w:rsid w:val="00DF09F7"/>
    <w:rsid w:val="00DF0A64"/>
    <w:rsid w:val="00DF0A9C"/>
    <w:rsid w:val="00DF0B40"/>
    <w:rsid w:val="00DF0BD7"/>
    <w:rsid w:val="00DF0DB0"/>
    <w:rsid w:val="00DF0E47"/>
    <w:rsid w:val="00DF0E4D"/>
    <w:rsid w:val="00DF10A1"/>
    <w:rsid w:val="00DF10C3"/>
    <w:rsid w:val="00DF1154"/>
    <w:rsid w:val="00DF123D"/>
    <w:rsid w:val="00DF1272"/>
    <w:rsid w:val="00DF1285"/>
    <w:rsid w:val="00DF134A"/>
    <w:rsid w:val="00DF13D3"/>
    <w:rsid w:val="00DF1423"/>
    <w:rsid w:val="00DF14D9"/>
    <w:rsid w:val="00DF1698"/>
    <w:rsid w:val="00DF16F7"/>
    <w:rsid w:val="00DF176B"/>
    <w:rsid w:val="00DF18FA"/>
    <w:rsid w:val="00DF1A1C"/>
    <w:rsid w:val="00DF1A38"/>
    <w:rsid w:val="00DF1AA3"/>
    <w:rsid w:val="00DF1CD1"/>
    <w:rsid w:val="00DF1D98"/>
    <w:rsid w:val="00DF1FA6"/>
    <w:rsid w:val="00DF1FDA"/>
    <w:rsid w:val="00DF2006"/>
    <w:rsid w:val="00DF20DD"/>
    <w:rsid w:val="00DF215B"/>
    <w:rsid w:val="00DF220F"/>
    <w:rsid w:val="00DF222D"/>
    <w:rsid w:val="00DF2254"/>
    <w:rsid w:val="00DF2306"/>
    <w:rsid w:val="00DF2371"/>
    <w:rsid w:val="00DF2390"/>
    <w:rsid w:val="00DF23EB"/>
    <w:rsid w:val="00DF27C3"/>
    <w:rsid w:val="00DF2880"/>
    <w:rsid w:val="00DF291C"/>
    <w:rsid w:val="00DF292E"/>
    <w:rsid w:val="00DF296C"/>
    <w:rsid w:val="00DF29BA"/>
    <w:rsid w:val="00DF2BFB"/>
    <w:rsid w:val="00DF2C89"/>
    <w:rsid w:val="00DF2CDE"/>
    <w:rsid w:val="00DF2DBF"/>
    <w:rsid w:val="00DF2E9B"/>
    <w:rsid w:val="00DF2F0A"/>
    <w:rsid w:val="00DF2F5A"/>
    <w:rsid w:val="00DF2FC1"/>
    <w:rsid w:val="00DF3000"/>
    <w:rsid w:val="00DF30E8"/>
    <w:rsid w:val="00DF313F"/>
    <w:rsid w:val="00DF316D"/>
    <w:rsid w:val="00DF31E6"/>
    <w:rsid w:val="00DF3278"/>
    <w:rsid w:val="00DF341F"/>
    <w:rsid w:val="00DF3458"/>
    <w:rsid w:val="00DF3656"/>
    <w:rsid w:val="00DF368D"/>
    <w:rsid w:val="00DF36B6"/>
    <w:rsid w:val="00DF3713"/>
    <w:rsid w:val="00DF37D8"/>
    <w:rsid w:val="00DF38AD"/>
    <w:rsid w:val="00DF395F"/>
    <w:rsid w:val="00DF3A10"/>
    <w:rsid w:val="00DF3A41"/>
    <w:rsid w:val="00DF3ABE"/>
    <w:rsid w:val="00DF3B05"/>
    <w:rsid w:val="00DF3D71"/>
    <w:rsid w:val="00DF3D7C"/>
    <w:rsid w:val="00DF3E1A"/>
    <w:rsid w:val="00DF3F43"/>
    <w:rsid w:val="00DF3FF8"/>
    <w:rsid w:val="00DF4184"/>
    <w:rsid w:val="00DF426D"/>
    <w:rsid w:val="00DF44AC"/>
    <w:rsid w:val="00DF44F7"/>
    <w:rsid w:val="00DF450D"/>
    <w:rsid w:val="00DF4546"/>
    <w:rsid w:val="00DF4563"/>
    <w:rsid w:val="00DF459B"/>
    <w:rsid w:val="00DF4634"/>
    <w:rsid w:val="00DF4751"/>
    <w:rsid w:val="00DF4793"/>
    <w:rsid w:val="00DF47A3"/>
    <w:rsid w:val="00DF4927"/>
    <w:rsid w:val="00DF4C1D"/>
    <w:rsid w:val="00DF4C29"/>
    <w:rsid w:val="00DF4CD2"/>
    <w:rsid w:val="00DF4D2D"/>
    <w:rsid w:val="00DF4D61"/>
    <w:rsid w:val="00DF4D71"/>
    <w:rsid w:val="00DF4D78"/>
    <w:rsid w:val="00DF4F3D"/>
    <w:rsid w:val="00DF4F61"/>
    <w:rsid w:val="00DF506D"/>
    <w:rsid w:val="00DF5142"/>
    <w:rsid w:val="00DF5162"/>
    <w:rsid w:val="00DF51B0"/>
    <w:rsid w:val="00DF5257"/>
    <w:rsid w:val="00DF5271"/>
    <w:rsid w:val="00DF5281"/>
    <w:rsid w:val="00DF5310"/>
    <w:rsid w:val="00DF5377"/>
    <w:rsid w:val="00DF541B"/>
    <w:rsid w:val="00DF557C"/>
    <w:rsid w:val="00DF56B1"/>
    <w:rsid w:val="00DF5727"/>
    <w:rsid w:val="00DF5847"/>
    <w:rsid w:val="00DF5858"/>
    <w:rsid w:val="00DF5872"/>
    <w:rsid w:val="00DF5928"/>
    <w:rsid w:val="00DF59C6"/>
    <w:rsid w:val="00DF5A73"/>
    <w:rsid w:val="00DF5B9B"/>
    <w:rsid w:val="00DF5CFF"/>
    <w:rsid w:val="00DF5D71"/>
    <w:rsid w:val="00DF5E62"/>
    <w:rsid w:val="00DF5EBB"/>
    <w:rsid w:val="00DF6022"/>
    <w:rsid w:val="00DF60A2"/>
    <w:rsid w:val="00DF61A9"/>
    <w:rsid w:val="00DF61AA"/>
    <w:rsid w:val="00DF6211"/>
    <w:rsid w:val="00DF6254"/>
    <w:rsid w:val="00DF6523"/>
    <w:rsid w:val="00DF6574"/>
    <w:rsid w:val="00DF6598"/>
    <w:rsid w:val="00DF669E"/>
    <w:rsid w:val="00DF6716"/>
    <w:rsid w:val="00DF67CA"/>
    <w:rsid w:val="00DF6A8E"/>
    <w:rsid w:val="00DF6AF4"/>
    <w:rsid w:val="00DF6B60"/>
    <w:rsid w:val="00DF6BEA"/>
    <w:rsid w:val="00DF6C78"/>
    <w:rsid w:val="00DF6CF9"/>
    <w:rsid w:val="00DF6D72"/>
    <w:rsid w:val="00DF6DF9"/>
    <w:rsid w:val="00DF6E4F"/>
    <w:rsid w:val="00DF6E9F"/>
    <w:rsid w:val="00DF6EF8"/>
    <w:rsid w:val="00DF6F26"/>
    <w:rsid w:val="00DF6FB9"/>
    <w:rsid w:val="00DF6FD3"/>
    <w:rsid w:val="00DF709D"/>
    <w:rsid w:val="00DF714A"/>
    <w:rsid w:val="00DF7182"/>
    <w:rsid w:val="00DF71BA"/>
    <w:rsid w:val="00DF726F"/>
    <w:rsid w:val="00DF73EC"/>
    <w:rsid w:val="00DF74A3"/>
    <w:rsid w:val="00DF74FC"/>
    <w:rsid w:val="00DF7547"/>
    <w:rsid w:val="00DF7671"/>
    <w:rsid w:val="00DF768E"/>
    <w:rsid w:val="00DF76A0"/>
    <w:rsid w:val="00DF7814"/>
    <w:rsid w:val="00DF7865"/>
    <w:rsid w:val="00DF79A9"/>
    <w:rsid w:val="00DF7A11"/>
    <w:rsid w:val="00DF7A6C"/>
    <w:rsid w:val="00DF7B92"/>
    <w:rsid w:val="00DF7BFA"/>
    <w:rsid w:val="00DF7D07"/>
    <w:rsid w:val="00DF7E8D"/>
    <w:rsid w:val="00DF7F82"/>
    <w:rsid w:val="00E00025"/>
    <w:rsid w:val="00E00189"/>
    <w:rsid w:val="00E00220"/>
    <w:rsid w:val="00E00231"/>
    <w:rsid w:val="00E00283"/>
    <w:rsid w:val="00E00288"/>
    <w:rsid w:val="00E002F7"/>
    <w:rsid w:val="00E00324"/>
    <w:rsid w:val="00E004ED"/>
    <w:rsid w:val="00E00771"/>
    <w:rsid w:val="00E00776"/>
    <w:rsid w:val="00E0077D"/>
    <w:rsid w:val="00E00807"/>
    <w:rsid w:val="00E00996"/>
    <w:rsid w:val="00E00B58"/>
    <w:rsid w:val="00E00B66"/>
    <w:rsid w:val="00E00B85"/>
    <w:rsid w:val="00E00C75"/>
    <w:rsid w:val="00E00CD4"/>
    <w:rsid w:val="00E00D82"/>
    <w:rsid w:val="00E00E70"/>
    <w:rsid w:val="00E00F68"/>
    <w:rsid w:val="00E01032"/>
    <w:rsid w:val="00E0104B"/>
    <w:rsid w:val="00E010D1"/>
    <w:rsid w:val="00E01251"/>
    <w:rsid w:val="00E01447"/>
    <w:rsid w:val="00E0151A"/>
    <w:rsid w:val="00E0159C"/>
    <w:rsid w:val="00E0163B"/>
    <w:rsid w:val="00E01679"/>
    <w:rsid w:val="00E016ED"/>
    <w:rsid w:val="00E01811"/>
    <w:rsid w:val="00E018B2"/>
    <w:rsid w:val="00E01A9B"/>
    <w:rsid w:val="00E01D72"/>
    <w:rsid w:val="00E01DE7"/>
    <w:rsid w:val="00E01E14"/>
    <w:rsid w:val="00E020EC"/>
    <w:rsid w:val="00E02191"/>
    <w:rsid w:val="00E022A4"/>
    <w:rsid w:val="00E02311"/>
    <w:rsid w:val="00E0238F"/>
    <w:rsid w:val="00E02453"/>
    <w:rsid w:val="00E024E2"/>
    <w:rsid w:val="00E025D2"/>
    <w:rsid w:val="00E0261D"/>
    <w:rsid w:val="00E02765"/>
    <w:rsid w:val="00E0276B"/>
    <w:rsid w:val="00E027C2"/>
    <w:rsid w:val="00E027C4"/>
    <w:rsid w:val="00E0284D"/>
    <w:rsid w:val="00E0284F"/>
    <w:rsid w:val="00E028C1"/>
    <w:rsid w:val="00E02B58"/>
    <w:rsid w:val="00E02BCA"/>
    <w:rsid w:val="00E02C7C"/>
    <w:rsid w:val="00E02D1B"/>
    <w:rsid w:val="00E02D90"/>
    <w:rsid w:val="00E02DB0"/>
    <w:rsid w:val="00E02EC6"/>
    <w:rsid w:val="00E03284"/>
    <w:rsid w:val="00E032AF"/>
    <w:rsid w:val="00E03337"/>
    <w:rsid w:val="00E0334C"/>
    <w:rsid w:val="00E033BD"/>
    <w:rsid w:val="00E0344D"/>
    <w:rsid w:val="00E0345A"/>
    <w:rsid w:val="00E03488"/>
    <w:rsid w:val="00E0358E"/>
    <w:rsid w:val="00E035A1"/>
    <w:rsid w:val="00E035E8"/>
    <w:rsid w:val="00E03688"/>
    <w:rsid w:val="00E03727"/>
    <w:rsid w:val="00E037DC"/>
    <w:rsid w:val="00E03821"/>
    <w:rsid w:val="00E0387C"/>
    <w:rsid w:val="00E038CF"/>
    <w:rsid w:val="00E03A75"/>
    <w:rsid w:val="00E03B6D"/>
    <w:rsid w:val="00E03BE8"/>
    <w:rsid w:val="00E03C74"/>
    <w:rsid w:val="00E03DC6"/>
    <w:rsid w:val="00E03DEB"/>
    <w:rsid w:val="00E03E89"/>
    <w:rsid w:val="00E04040"/>
    <w:rsid w:val="00E0407F"/>
    <w:rsid w:val="00E04188"/>
    <w:rsid w:val="00E042D0"/>
    <w:rsid w:val="00E043AB"/>
    <w:rsid w:val="00E0444F"/>
    <w:rsid w:val="00E045CA"/>
    <w:rsid w:val="00E04639"/>
    <w:rsid w:val="00E04773"/>
    <w:rsid w:val="00E047D3"/>
    <w:rsid w:val="00E04936"/>
    <w:rsid w:val="00E0495F"/>
    <w:rsid w:val="00E04A0C"/>
    <w:rsid w:val="00E04A1D"/>
    <w:rsid w:val="00E04AD4"/>
    <w:rsid w:val="00E04B30"/>
    <w:rsid w:val="00E04C67"/>
    <w:rsid w:val="00E04D25"/>
    <w:rsid w:val="00E04D90"/>
    <w:rsid w:val="00E04F56"/>
    <w:rsid w:val="00E04FEC"/>
    <w:rsid w:val="00E050D7"/>
    <w:rsid w:val="00E050EF"/>
    <w:rsid w:val="00E0519F"/>
    <w:rsid w:val="00E051D4"/>
    <w:rsid w:val="00E052F7"/>
    <w:rsid w:val="00E05448"/>
    <w:rsid w:val="00E05541"/>
    <w:rsid w:val="00E055EA"/>
    <w:rsid w:val="00E05667"/>
    <w:rsid w:val="00E0573B"/>
    <w:rsid w:val="00E05985"/>
    <w:rsid w:val="00E05A1A"/>
    <w:rsid w:val="00E05A6E"/>
    <w:rsid w:val="00E05AEB"/>
    <w:rsid w:val="00E05AEC"/>
    <w:rsid w:val="00E05C47"/>
    <w:rsid w:val="00E05D37"/>
    <w:rsid w:val="00E05D6D"/>
    <w:rsid w:val="00E05EC4"/>
    <w:rsid w:val="00E05F12"/>
    <w:rsid w:val="00E05F83"/>
    <w:rsid w:val="00E05FFA"/>
    <w:rsid w:val="00E060F6"/>
    <w:rsid w:val="00E0618A"/>
    <w:rsid w:val="00E0620E"/>
    <w:rsid w:val="00E06287"/>
    <w:rsid w:val="00E06337"/>
    <w:rsid w:val="00E064E9"/>
    <w:rsid w:val="00E0651E"/>
    <w:rsid w:val="00E065D8"/>
    <w:rsid w:val="00E065F8"/>
    <w:rsid w:val="00E066ED"/>
    <w:rsid w:val="00E066FB"/>
    <w:rsid w:val="00E06769"/>
    <w:rsid w:val="00E06792"/>
    <w:rsid w:val="00E0689F"/>
    <w:rsid w:val="00E06925"/>
    <w:rsid w:val="00E0692A"/>
    <w:rsid w:val="00E06948"/>
    <w:rsid w:val="00E069DA"/>
    <w:rsid w:val="00E069E2"/>
    <w:rsid w:val="00E06A4E"/>
    <w:rsid w:val="00E06B82"/>
    <w:rsid w:val="00E06C1E"/>
    <w:rsid w:val="00E06C78"/>
    <w:rsid w:val="00E06D91"/>
    <w:rsid w:val="00E06DE8"/>
    <w:rsid w:val="00E06E72"/>
    <w:rsid w:val="00E06ECA"/>
    <w:rsid w:val="00E06FA1"/>
    <w:rsid w:val="00E06FEF"/>
    <w:rsid w:val="00E07034"/>
    <w:rsid w:val="00E07307"/>
    <w:rsid w:val="00E0733E"/>
    <w:rsid w:val="00E073D7"/>
    <w:rsid w:val="00E073DC"/>
    <w:rsid w:val="00E07674"/>
    <w:rsid w:val="00E076AD"/>
    <w:rsid w:val="00E07731"/>
    <w:rsid w:val="00E07819"/>
    <w:rsid w:val="00E07931"/>
    <w:rsid w:val="00E07A69"/>
    <w:rsid w:val="00E07AE9"/>
    <w:rsid w:val="00E07B5A"/>
    <w:rsid w:val="00E07B68"/>
    <w:rsid w:val="00E07BB6"/>
    <w:rsid w:val="00E07BC7"/>
    <w:rsid w:val="00E07C99"/>
    <w:rsid w:val="00E07EC3"/>
    <w:rsid w:val="00E07F61"/>
    <w:rsid w:val="00E1017A"/>
    <w:rsid w:val="00E101AC"/>
    <w:rsid w:val="00E1024A"/>
    <w:rsid w:val="00E102FD"/>
    <w:rsid w:val="00E103B0"/>
    <w:rsid w:val="00E10408"/>
    <w:rsid w:val="00E1053E"/>
    <w:rsid w:val="00E1063D"/>
    <w:rsid w:val="00E10666"/>
    <w:rsid w:val="00E1069A"/>
    <w:rsid w:val="00E107B5"/>
    <w:rsid w:val="00E107CA"/>
    <w:rsid w:val="00E1082D"/>
    <w:rsid w:val="00E10849"/>
    <w:rsid w:val="00E10A3C"/>
    <w:rsid w:val="00E10A86"/>
    <w:rsid w:val="00E10A8A"/>
    <w:rsid w:val="00E10AAD"/>
    <w:rsid w:val="00E10BA9"/>
    <w:rsid w:val="00E10CFB"/>
    <w:rsid w:val="00E10DA8"/>
    <w:rsid w:val="00E10EDC"/>
    <w:rsid w:val="00E10F70"/>
    <w:rsid w:val="00E10FF4"/>
    <w:rsid w:val="00E1129D"/>
    <w:rsid w:val="00E112D9"/>
    <w:rsid w:val="00E112E8"/>
    <w:rsid w:val="00E1132B"/>
    <w:rsid w:val="00E11349"/>
    <w:rsid w:val="00E1134B"/>
    <w:rsid w:val="00E11382"/>
    <w:rsid w:val="00E11384"/>
    <w:rsid w:val="00E114DA"/>
    <w:rsid w:val="00E1165C"/>
    <w:rsid w:val="00E116F7"/>
    <w:rsid w:val="00E118F9"/>
    <w:rsid w:val="00E1197A"/>
    <w:rsid w:val="00E11A0C"/>
    <w:rsid w:val="00E11C9C"/>
    <w:rsid w:val="00E11CC2"/>
    <w:rsid w:val="00E11CFC"/>
    <w:rsid w:val="00E11DAD"/>
    <w:rsid w:val="00E11DE4"/>
    <w:rsid w:val="00E11EA1"/>
    <w:rsid w:val="00E11F26"/>
    <w:rsid w:val="00E11F68"/>
    <w:rsid w:val="00E11F7D"/>
    <w:rsid w:val="00E12014"/>
    <w:rsid w:val="00E120B8"/>
    <w:rsid w:val="00E120D6"/>
    <w:rsid w:val="00E121D8"/>
    <w:rsid w:val="00E1225C"/>
    <w:rsid w:val="00E12311"/>
    <w:rsid w:val="00E124CB"/>
    <w:rsid w:val="00E1250D"/>
    <w:rsid w:val="00E1254E"/>
    <w:rsid w:val="00E1257A"/>
    <w:rsid w:val="00E125FD"/>
    <w:rsid w:val="00E1261A"/>
    <w:rsid w:val="00E12762"/>
    <w:rsid w:val="00E1276E"/>
    <w:rsid w:val="00E1277E"/>
    <w:rsid w:val="00E127D8"/>
    <w:rsid w:val="00E12A5F"/>
    <w:rsid w:val="00E12C66"/>
    <w:rsid w:val="00E12CB5"/>
    <w:rsid w:val="00E12CC7"/>
    <w:rsid w:val="00E12E94"/>
    <w:rsid w:val="00E12E95"/>
    <w:rsid w:val="00E12EDD"/>
    <w:rsid w:val="00E13036"/>
    <w:rsid w:val="00E13074"/>
    <w:rsid w:val="00E13252"/>
    <w:rsid w:val="00E132CC"/>
    <w:rsid w:val="00E13381"/>
    <w:rsid w:val="00E13443"/>
    <w:rsid w:val="00E137F0"/>
    <w:rsid w:val="00E137FF"/>
    <w:rsid w:val="00E1380A"/>
    <w:rsid w:val="00E138B8"/>
    <w:rsid w:val="00E13936"/>
    <w:rsid w:val="00E13C59"/>
    <w:rsid w:val="00E13CB9"/>
    <w:rsid w:val="00E13D48"/>
    <w:rsid w:val="00E13F6B"/>
    <w:rsid w:val="00E13FBA"/>
    <w:rsid w:val="00E13FF0"/>
    <w:rsid w:val="00E14144"/>
    <w:rsid w:val="00E14177"/>
    <w:rsid w:val="00E14192"/>
    <w:rsid w:val="00E14213"/>
    <w:rsid w:val="00E143D3"/>
    <w:rsid w:val="00E14498"/>
    <w:rsid w:val="00E144DF"/>
    <w:rsid w:val="00E144F3"/>
    <w:rsid w:val="00E14523"/>
    <w:rsid w:val="00E145E3"/>
    <w:rsid w:val="00E146EB"/>
    <w:rsid w:val="00E14717"/>
    <w:rsid w:val="00E1484E"/>
    <w:rsid w:val="00E149A7"/>
    <w:rsid w:val="00E149FB"/>
    <w:rsid w:val="00E14B3F"/>
    <w:rsid w:val="00E14B66"/>
    <w:rsid w:val="00E14C54"/>
    <w:rsid w:val="00E14C9D"/>
    <w:rsid w:val="00E14DDE"/>
    <w:rsid w:val="00E14EA8"/>
    <w:rsid w:val="00E150AD"/>
    <w:rsid w:val="00E15139"/>
    <w:rsid w:val="00E1515C"/>
    <w:rsid w:val="00E15244"/>
    <w:rsid w:val="00E1531D"/>
    <w:rsid w:val="00E15396"/>
    <w:rsid w:val="00E15426"/>
    <w:rsid w:val="00E1543F"/>
    <w:rsid w:val="00E155B0"/>
    <w:rsid w:val="00E1564B"/>
    <w:rsid w:val="00E1564F"/>
    <w:rsid w:val="00E1570F"/>
    <w:rsid w:val="00E157BF"/>
    <w:rsid w:val="00E158AA"/>
    <w:rsid w:val="00E15901"/>
    <w:rsid w:val="00E15A8A"/>
    <w:rsid w:val="00E15BA1"/>
    <w:rsid w:val="00E15C60"/>
    <w:rsid w:val="00E15CD5"/>
    <w:rsid w:val="00E15DA9"/>
    <w:rsid w:val="00E15E72"/>
    <w:rsid w:val="00E15EC2"/>
    <w:rsid w:val="00E1639F"/>
    <w:rsid w:val="00E163E1"/>
    <w:rsid w:val="00E16413"/>
    <w:rsid w:val="00E164B7"/>
    <w:rsid w:val="00E164F8"/>
    <w:rsid w:val="00E16590"/>
    <w:rsid w:val="00E16650"/>
    <w:rsid w:val="00E166EE"/>
    <w:rsid w:val="00E166F5"/>
    <w:rsid w:val="00E16846"/>
    <w:rsid w:val="00E16A93"/>
    <w:rsid w:val="00E16AA4"/>
    <w:rsid w:val="00E16AEF"/>
    <w:rsid w:val="00E16BF5"/>
    <w:rsid w:val="00E16C13"/>
    <w:rsid w:val="00E16C79"/>
    <w:rsid w:val="00E16D67"/>
    <w:rsid w:val="00E16E16"/>
    <w:rsid w:val="00E16E30"/>
    <w:rsid w:val="00E1700D"/>
    <w:rsid w:val="00E17044"/>
    <w:rsid w:val="00E170B9"/>
    <w:rsid w:val="00E170D7"/>
    <w:rsid w:val="00E1710B"/>
    <w:rsid w:val="00E17229"/>
    <w:rsid w:val="00E1734B"/>
    <w:rsid w:val="00E17422"/>
    <w:rsid w:val="00E177A9"/>
    <w:rsid w:val="00E1785E"/>
    <w:rsid w:val="00E179DA"/>
    <w:rsid w:val="00E17CA1"/>
    <w:rsid w:val="00E17CF6"/>
    <w:rsid w:val="00E17D61"/>
    <w:rsid w:val="00E17F37"/>
    <w:rsid w:val="00E17F8A"/>
    <w:rsid w:val="00E2008A"/>
    <w:rsid w:val="00E200E8"/>
    <w:rsid w:val="00E20109"/>
    <w:rsid w:val="00E20179"/>
    <w:rsid w:val="00E201D8"/>
    <w:rsid w:val="00E2033A"/>
    <w:rsid w:val="00E20353"/>
    <w:rsid w:val="00E2036F"/>
    <w:rsid w:val="00E2037E"/>
    <w:rsid w:val="00E2051A"/>
    <w:rsid w:val="00E206BC"/>
    <w:rsid w:val="00E2077E"/>
    <w:rsid w:val="00E20845"/>
    <w:rsid w:val="00E208A5"/>
    <w:rsid w:val="00E208FD"/>
    <w:rsid w:val="00E20901"/>
    <w:rsid w:val="00E209FF"/>
    <w:rsid w:val="00E20A5F"/>
    <w:rsid w:val="00E20B9B"/>
    <w:rsid w:val="00E20C06"/>
    <w:rsid w:val="00E20C98"/>
    <w:rsid w:val="00E20CFE"/>
    <w:rsid w:val="00E20E20"/>
    <w:rsid w:val="00E20F27"/>
    <w:rsid w:val="00E210BF"/>
    <w:rsid w:val="00E2123F"/>
    <w:rsid w:val="00E21271"/>
    <w:rsid w:val="00E2146D"/>
    <w:rsid w:val="00E215C0"/>
    <w:rsid w:val="00E21614"/>
    <w:rsid w:val="00E2163E"/>
    <w:rsid w:val="00E217D3"/>
    <w:rsid w:val="00E217F6"/>
    <w:rsid w:val="00E218B5"/>
    <w:rsid w:val="00E2192F"/>
    <w:rsid w:val="00E219A2"/>
    <w:rsid w:val="00E21A2F"/>
    <w:rsid w:val="00E21A45"/>
    <w:rsid w:val="00E21A48"/>
    <w:rsid w:val="00E21A5A"/>
    <w:rsid w:val="00E21B2E"/>
    <w:rsid w:val="00E21B6C"/>
    <w:rsid w:val="00E21C60"/>
    <w:rsid w:val="00E21E6E"/>
    <w:rsid w:val="00E21EB8"/>
    <w:rsid w:val="00E21F22"/>
    <w:rsid w:val="00E21F93"/>
    <w:rsid w:val="00E22262"/>
    <w:rsid w:val="00E222AC"/>
    <w:rsid w:val="00E222D6"/>
    <w:rsid w:val="00E22387"/>
    <w:rsid w:val="00E2243A"/>
    <w:rsid w:val="00E22622"/>
    <w:rsid w:val="00E2270C"/>
    <w:rsid w:val="00E22724"/>
    <w:rsid w:val="00E22AFD"/>
    <w:rsid w:val="00E22B60"/>
    <w:rsid w:val="00E22B92"/>
    <w:rsid w:val="00E22BAD"/>
    <w:rsid w:val="00E22D14"/>
    <w:rsid w:val="00E22E40"/>
    <w:rsid w:val="00E22F96"/>
    <w:rsid w:val="00E2303B"/>
    <w:rsid w:val="00E2310C"/>
    <w:rsid w:val="00E23242"/>
    <w:rsid w:val="00E23266"/>
    <w:rsid w:val="00E233DC"/>
    <w:rsid w:val="00E234DA"/>
    <w:rsid w:val="00E234F0"/>
    <w:rsid w:val="00E235F9"/>
    <w:rsid w:val="00E23620"/>
    <w:rsid w:val="00E23B3D"/>
    <w:rsid w:val="00E23DF2"/>
    <w:rsid w:val="00E24323"/>
    <w:rsid w:val="00E243E0"/>
    <w:rsid w:val="00E245DC"/>
    <w:rsid w:val="00E24660"/>
    <w:rsid w:val="00E246D9"/>
    <w:rsid w:val="00E24B5B"/>
    <w:rsid w:val="00E24BAC"/>
    <w:rsid w:val="00E24BC4"/>
    <w:rsid w:val="00E24D02"/>
    <w:rsid w:val="00E24D2C"/>
    <w:rsid w:val="00E24D6A"/>
    <w:rsid w:val="00E24D8A"/>
    <w:rsid w:val="00E24DDE"/>
    <w:rsid w:val="00E24E05"/>
    <w:rsid w:val="00E24E4F"/>
    <w:rsid w:val="00E24ED3"/>
    <w:rsid w:val="00E25037"/>
    <w:rsid w:val="00E251E6"/>
    <w:rsid w:val="00E25203"/>
    <w:rsid w:val="00E2527A"/>
    <w:rsid w:val="00E2531A"/>
    <w:rsid w:val="00E254EF"/>
    <w:rsid w:val="00E2561B"/>
    <w:rsid w:val="00E2569C"/>
    <w:rsid w:val="00E25721"/>
    <w:rsid w:val="00E25AA3"/>
    <w:rsid w:val="00E25AC3"/>
    <w:rsid w:val="00E25C47"/>
    <w:rsid w:val="00E25E84"/>
    <w:rsid w:val="00E25EA6"/>
    <w:rsid w:val="00E25F04"/>
    <w:rsid w:val="00E26090"/>
    <w:rsid w:val="00E260ED"/>
    <w:rsid w:val="00E2622B"/>
    <w:rsid w:val="00E26267"/>
    <w:rsid w:val="00E26268"/>
    <w:rsid w:val="00E262AC"/>
    <w:rsid w:val="00E262E5"/>
    <w:rsid w:val="00E262F8"/>
    <w:rsid w:val="00E26457"/>
    <w:rsid w:val="00E264DB"/>
    <w:rsid w:val="00E2658E"/>
    <w:rsid w:val="00E26653"/>
    <w:rsid w:val="00E2671E"/>
    <w:rsid w:val="00E268A1"/>
    <w:rsid w:val="00E268FC"/>
    <w:rsid w:val="00E2693F"/>
    <w:rsid w:val="00E26950"/>
    <w:rsid w:val="00E26C2A"/>
    <w:rsid w:val="00E26D52"/>
    <w:rsid w:val="00E26E10"/>
    <w:rsid w:val="00E26F78"/>
    <w:rsid w:val="00E2706D"/>
    <w:rsid w:val="00E2709B"/>
    <w:rsid w:val="00E270D9"/>
    <w:rsid w:val="00E272A5"/>
    <w:rsid w:val="00E273FD"/>
    <w:rsid w:val="00E2751C"/>
    <w:rsid w:val="00E27520"/>
    <w:rsid w:val="00E275FD"/>
    <w:rsid w:val="00E2766A"/>
    <w:rsid w:val="00E27678"/>
    <w:rsid w:val="00E27711"/>
    <w:rsid w:val="00E278CF"/>
    <w:rsid w:val="00E27925"/>
    <w:rsid w:val="00E27960"/>
    <w:rsid w:val="00E2799B"/>
    <w:rsid w:val="00E27ADD"/>
    <w:rsid w:val="00E27B56"/>
    <w:rsid w:val="00E27C84"/>
    <w:rsid w:val="00E27CC7"/>
    <w:rsid w:val="00E27CCE"/>
    <w:rsid w:val="00E27D03"/>
    <w:rsid w:val="00E27D9A"/>
    <w:rsid w:val="00E27E69"/>
    <w:rsid w:val="00E27F6A"/>
    <w:rsid w:val="00E27F75"/>
    <w:rsid w:val="00E27FF2"/>
    <w:rsid w:val="00E30016"/>
    <w:rsid w:val="00E30063"/>
    <w:rsid w:val="00E30124"/>
    <w:rsid w:val="00E30145"/>
    <w:rsid w:val="00E3020F"/>
    <w:rsid w:val="00E303D1"/>
    <w:rsid w:val="00E305E1"/>
    <w:rsid w:val="00E305E4"/>
    <w:rsid w:val="00E30622"/>
    <w:rsid w:val="00E3072D"/>
    <w:rsid w:val="00E30762"/>
    <w:rsid w:val="00E30791"/>
    <w:rsid w:val="00E308A5"/>
    <w:rsid w:val="00E308EE"/>
    <w:rsid w:val="00E309B1"/>
    <w:rsid w:val="00E30A16"/>
    <w:rsid w:val="00E30A5F"/>
    <w:rsid w:val="00E30ACA"/>
    <w:rsid w:val="00E30B6F"/>
    <w:rsid w:val="00E30D2B"/>
    <w:rsid w:val="00E30E23"/>
    <w:rsid w:val="00E30E9A"/>
    <w:rsid w:val="00E30F2B"/>
    <w:rsid w:val="00E30FCD"/>
    <w:rsid w:val="00E31024"/>
    <w:rsid w:val="00E310B1"/>
    <w:rsid w:val="00E311CD"/>
    <w:rsid w:val="00E311D3"/>
    <w:rsid w:val="00E31264"/>
    <w:rsid w:val="00E3132F"/>
    <w:rsid w:val="00E31440"/>
    <w:rsid w:val="00E31655"/>
    <w:rsid w:val="00E31676"/>
    <w:rsid w:val="00E316BF"/>
    <w:rsid w:val="00E316E1"/>
    <w:rsid w:val="00E31838"/>
    <w:rsid w:val="00E31910"/>
    <w:rsid w:val="00E319F3"/>
    <w:rsid w:val="00E31AA9"/>
    <w:rsid w:val="00E31C03"/>
    <w:rsid w:val="00E32134"/>
    <w:rsid w:val="00E32190"/>
    <w:rsid w:val="00E32277"/>
    <w:rsid w:val="00E32376"/>
    <w:rsid w:val="00E323F0"/>
    <w:rsid w:val="00E325D8"/>
    <w:rsid w:val="00E3263D"/>
    <w:rsid w:val="00E3266F"/>
    <w:rsid w:val="00E32754"/>
    <w:rsid w:val="00E327A9"/>
    <w:rsid w:val="00E328B3"/>
    <w:rsid w:val="00E328F9"/>
    <w:rsid w:val="00E32973"/>
    <w:rsid w:val="00E32A68"/>
    <w:rsid w:val="00E32A96"/>
    <w:rsid w:val="00E32A9C"/>
    <w:rsid w:val="00E32A9E"/>
    <w:rsid w:val="00E32AE8"/>
    <w:rsid w:val="00E32BF3"/>
    <w:rsid w:val="00E32E24"/>
    <w:rsid w:val="00E33333"/>
    <w:rsid w:val="00E333F8"/>
    <w:rsid w:val="00E33400"/>
    <w:rsid w:val="00E33614"/>
    <w:rsid w:val="00E337BE"/>
    <w:rsid w:val="00E3384F"/>
    <w:rsid w:val="00E33853"/>
    <w:rsid w:val="00E338B9"/>
    <w:rsid w:val="00E33939"/>
    <w:rsid w:val="00E3393F"/>
    <w:rsid w:val="00E33943"/>
    <w:rsid w:val="00E33A68"/>
    <w:rsid w:val="00E33C9B"/>
    <w:rsid w:val="00E33D81"/>
    <w:rsid w:val="00E33E70"/>
    <w:rsid w:val="00E340A7"/>
    <w:rsid w:val="00E34105"/>
    <w:rsid w:val="00E341A6"/>
    <w:rsid w:val="00E342A3"/>
    <w:rsid w:val="00E343C2"/>
    <w:rsid w:val="00E3451C"/>
    <w:rsid w:val="00E3452A"/>
    <w:rsid w:val="00E345AD"/>
    <w:rsid w:val="00E345BF"/>
    <w:rsid w:val="00E345D4"/>
    <w:rsid w:val="00E345DC"/>
    <w:rsid w:val="00E3468E"/>
    <w:rsid w:val="00E347F1"/>
    <w:rsid w:val="00E34A47"/>
    <w:rsid w:val="00E34B84"/>
    <w:rsid w:val="00E34BE9"/>
    <w:rsid w:val="00E34D18"/>
    <w:rsid w:val="00E34D27"/>
    <w:rsid w:val="00E34D8E"/>
    <w:rsid w:val="00E34DB7"/>
    <w:rsid w:val="00E34E4C"/>
    <w:rsid w:val="00E35040"/>
    <w:rsid w:val="00E3507D"/>
    <w:rsid w:val="00E350F1"/>
    <w:rsid w:val="00E3512F"/>
    <w:rsid w:val="00E351F8"/>
    <w:rsid w:val="00E3526F"/>
    <w:rsid w:val="00E354F5"/>
    <w:rsid w:val="00E3555E"/>
    <w:rsid w:val="00E3557F"/>
    <w:rsid w:val="00E35667"/>
    <w:rsid w:val="00E356B6"/>
    <w:rsid w:val="00E3582F"/>
    <w:rsid w:val="00E35950"/>
    <w:rsid w:val="00E359D2"/>
    <w:rsid w:val="00E359FB"/>
    <w:rsid w:val="00E35A7F"/>
    <w:rsid w:val="00E35F47"/>
    <w:rsid w:val="00E35F67"/>
    <w:rsid w:val="00E35FA3"/>
    <w:rsid w:val="00E35FE2"/>
    <w:rsid w:val="00E36019"/>
    <w:rsid w:val="00E360D7"/>
    <w:rsid w:val="00E360FA"/>
    <w:rsid w:val="00E3619B"/>
    <w:rsid w:val="00E361B1"/>
    <w:rsid w:val="00E36357"/>
    <w:rsid w:val="00E3639A"/>
    <w:rsid w:val="00E363FB"/>
    <w:rsid w:val="00E36441"/>
    <w:rsid w:val="00E36482"/>
    <w:rsid w:val="00E366E0"/>
    <w:rsid w:val="00E36730"/>
    <w:rsid w:val="00E36A2E"/>
    <w:rsid w:val="00E36B35"/>
    <w:rsid w:val="00E36B64"/>
    <w:rsid w:val="00E36B8C"/>
    <w:rsid w:val="00E36C68"/>
    <w:rsid w:val="00E36CBD"/>
    <w:rsid w:val="00E36CCA"/>
    <w:rsid w:val="00E36EE9"/>
    <w:rsid w:val="00E36F28"/>
    <w:rsid w:val="00E36F96"/>
    <w:rsid w:val="00E371D6"/>
    <w:rsid w:val="00E371DA"/>
    <w:rsid w:val="00E37286"/>
    <w:rsid w:val="00E37287"/>
    <w:rsid w:val="00E37288"/>
    <w:rsid w:val="00E372A4"/>
    <w:rsid w:val="00E372AB"/>
    <w:rsid w:val="00E373CC"/>
    <w:rsid w:val="00E373EE"/>
    <w:rsid w:val="00E373F8"/>
    <w:rsid w:val="00E37456"/>
    <w:rsid w:val="00E374E0"/>
    <w:rsid w:val="00E37544"/>
    <w:rsid w:val="00E3755E"/>
    <w:rsid w:val="00E37588"/>
    <w:rsid w:val="00E378A5"/>
    <w:rsid w:val="00E37986"/>
    <w:rsid w:val="00E379E3"/>
    <w:rsid w:val="00E379F2"/>
    <w:rsid w:val="00E379FA"/>
    <w:rsid w:val="00E37A6C"/>
    <w:rsid w:val="00E37DBE"/>
    <w:rsid w:val="00E400B8"/>
    <w:rsid w:val="00E400E1"/>
    <w:rsid w:val="00E40200"/>
    <w:rsid w:val="00E40351"/>
    <w:rsid w:val="00E4038B"/>
    <w:rsid w:val="00E4038D"/>
    <w:rsid w:val="00E40409"/>
    <w:rsid w:val="00E405A1"/>
    <w:rsid w:val="00E4065F"/>
    <w:rsid w:val="00E40677"/>
    <w:rsid w:val="00E40864"/>
    <w:rsid w:val="00E40981"/>
    <w:rsid w:val="00E409B4"/>
    <w:rsid w:val="00E40A3F"/>
    <w:rsid w:val="00E40A6C"/>
    <w:rsid w:val="00E40AEE"/>
    <w:rsid w:val="00E40AFC"/>
    <w:rsid w:val="00E40B72"/>
    <w:rsid w:val="00E40B81"/>
    <w:rsid w:val="00E40E29"/>
    <w:rsid w:val="00E40FAC"/>
    <w:rsid w:val="00E40FD8"/>
    <w:rsid w:val="00E4112C"/>
    <w:rsid w:val="00E411F7"/>
    <w:rsid w:val="00E41271"/>
    <w:rsid w:val="00E41310"/>
    <w:rsid w:val="00E414C4"/>
    <w:rsid w:val="00E414D6"/>
    <w:rsid w:val="00E415E5"/>
    <w:rsid w:val="00E4161F"/>
    <w:rsid w:val="00E41683"/>
    <w:rsid w:val="00E418C1"/>
    <w:rsid w:val="00E41967"/>
    <w:rsid w:val="00E4197D"/>
    <w:rsid w:val="00E41A24"/>
    <w:rsid w:val="00E41AA6"/>
    <w:rsid w:val="00E41BB3"/>
    <w:rsid w:val="00E41BF8"/>
    <w:rsid w:val="00E41D05"/>
    <w:rsid w:val="00E41DC0"/>
    <w:rsid w:val="00E41E0B"/>
    <w:rsid w:val="00E41E4C"/>
    <w:rsid w:val="00E41E9C"/>
    <w:rsid w:val="00E41FCD"/>
    <w:rsid w:val="00E42016"/>
    <w:rsid w:val="00E420B5"/>
    <w:rsid w:val="00E420EA"/>
    <w:rsid w:val="00E42242"/>
    <w:rsid w:val="00E4226D"/>
    <w:rsid w:val="00E422DB"/>
    <w:rsid w:val="00E42366"/>
    <w:rsid w:val="00E425A3"/>
    <w:rsid w:val="00E4264E"/>
    <w:rsid w:val="00E4264F"/>
    <w:rsid w:val="00E426AF"/>
    <w:rsid w:val="00E426EB"/>
    <w:rsid w:val="00E426F0"/>
    <w:rsid w:val="00E4288C"/>
    <w:rsid w:val="00E428B0"/>
    <w:rsid w:val="00E428BB"/>
    <w:rsid w:val="00E428D7"/>
    <w:rsid w:val="00E42A98"/>
    <w:rsid w:val="00E42C69"/>
    <w:rsid w:val="00E42D01"/>
    <w:rsid w:val="00E42E3A"/>
    <w:rsid w:val="00E42ED5"/>
    <w:rsid w:val="00E42F00"/>
    <w:rsid w:val="00E42F2F"/>
    <w:rsid w:val="00E430FF"/>
    <w:rsid w:val="00E43246"/>
    <w:rsid w:val="00E4327B"/>
    <w:rsid w:val="00E432FD"/>
    <w:rsid w:val="00E433C6"/>
    <w:rsid w:val="00E433FC"/>
    <w:rsid w:val="00E43427"/>
    <w:rsid w:val="00E43556"/>
    <w:rsid w:val="00E435CF"/>
    <w:rsid w:val="00E43682"/>
    <w:rsid w:val="00E4384E"/>
    <w:rsid w:val="00E438FF"/>
    <w:rsid w:val="00E43917"/>
    <w:rsid w:val="00E439E2"/>
    <w:rsid w:val="00E43C17"/>
    <w:rsid w:val="00E43CDC"/>
    <w:rsid w:val="00E43CDD"/>
    <w:rsid w:val="00E43DB2"/>
    <w:rsid w:val="00E440B2"/>
    <w:rsid w:val="00E44134"/>
    <w:rsid w:val="00E44158"/>
    <w:rsid w:val="00E44381"/>
    <w:rsid w:val="00E44538"/>
    <w:rsid w:val="00E445B4"/>
    <w:rsid w:val="00E44960"/>
    <w:rsid w:val="00E44A32"/>
    <w:rsid w:val="00E44BC6"/>
    <w:rsid w:val="00E44C23"/>
    <w:rsid w:val="00E44CFE"/>
    <w:rsid w:val="00E44DF6"/>
    <w:rsid w:val="00E45090"/>
    <w:rsid w:val="00E45146"/>
    <w:rsid w:val="00E453F2"/>
    <w:rsid w:val="00E45481"/>
    <w:rsid w:val="00E455E1"/>
    <w:rsid w:val="00E45780"/>
    <w:rsid w:val="00E4578C"/>
    <w:rsid w:val="00E457AD"/>
    <w:rsid w:val="00E45816"/>
    <w:rsid w:val="00E45893"/>
    <w:rsid w:val="00E458BA"/>
    <w:rsid w:val="00E458E8"/>
    <w:rsid w:val="00E45979"/>
    <w:rsid w:val="00E45980"/>
    <w:rsid w:val="00E4598A"/>
    <w:rsid w:val="00E459EE"/>
    <w:rsid w:val="00E459FA"/>
    <w:rsid w:val="00E45B7E"/>
    <w:rsid w:val="00E45C73"/>
    <w:rsid w:val="00E45CA8"/>
    <w:rsid w:val="00E45D55"/>
    <w:rsid w:val="00E45DB6"/>
    <w:rsid w:val="00E45EC3"/>
    <w:rsid w:val="00E45F1D"/>
    <w:rsid w:val="00E45FC8"/>
    <w:rsid w:val="00E46007"/>
    <w:rsid w:val="00E46043"/>
    <w:rsid w:val="00E46068"/>
    <w:rsid w:val="00E460B2"/>
    <w:rsid w:val="00E4611D"/>
    <w:rsid w:val="00E46164"/>
    <w:rsid w:val="00E4624E"/>
    <w:rsid w:val="00E46265"/>
    <w:rsid w:val="00E4636B"/>
    <w:rsid w:val="00E46719"/>
    <w:rsid w:val="00E467B3"/>
    <w:rsid w:val="00E467D7"/>
    <w:rsid w:val="00E46A64"/>
    <w:rsid w:val="00E46AC4"/>
    <w:rsid w:val="00E46AC8"/>
    <w:rsid w:val="00E46B2E"/>
    <w:rsid w:val="00E46C1A"/>
    <w:rsid w:val="00E46C3F"/>
    <w:rsid w:val="00E46C9F"/>
    <w:rsid w:val="00E46CFA"/>
    <w:rsid w:val="00E46D83"/>
    <w:rsid w:val="00E46EC6"/>
    <w:rsid w:val="00E46F0F"/>
    <w:rsid w:val="00E46FC1"/>
    <w:rsid w:val="00E47227"/>
    <w:rsid w:val="00E47269"/>
    <w:rsid w:val="00E47281"/>
    <w:rsid w:val="00E4738E"/>
    <w:rsid w:val="00E47460"/>
    <w:rsid w:val="00E4756F"/>
    <w:rsid w:val="00E475D5"/>
    <w:rsid w:val="00E47620"/>
    <w:rsid w:val="00E476E7"/>
    <w:rsid w:val="00E47705"/>
    <w:rsid w:val="00E47827"/>
    <w:rsid w:val="00E47909"/>
    <w:rsid w:val="00E47A11"/>
    <w:rsid w:val="00E47B1B"/>
    <w:rsid w:val="00E47BF1"/>
    <w:rsid w:val="00E47D69"/>
    <w:rsid w:val="00E47DF9"/>
    <w:rsid w:val="00E47E12"/>
    <w:rsid w:val="00E47EC8"/>
    <w:rsid w:val="00E47F27"/>
    <w:rsid w:val="00E501B5"/>
    <w:rsid w:val="00E50244"/>
    <w:rsid w:val="00E5041D"/>
    <w:rsid w:val="00E5042F"/>
    <w:rsid w:val="00E50459"/>
    <w:rsid w:val="00E5046A"/>
    <w:rsid w:val="00E5059E"/>
    <w:rsid w:val="00E50659"/>
    <w:rsid w:val="00E5071B"/>
    <w:rsid w:val="00E508BB"/>
    <w:rsid w:val="00E508E0"/>
    <w:rsid w:val="00E509E6"/>
    <w:rsid w:val="00E50A5C"/>
    <w:rsid w:val="00E50B57"/>
    <w:rsid w:val="00E50BF8"/>
    <w:rsid w:val="00E50E67"/>
    <w:rsid w:val="00E50FDF"/>
    <w:rsid w:val="00E50FFA"/>
    <w:rsid w:val="00E51114"/>
    <w:rsid w:val="00E511DF"/>
    <w:rsid w:val="00E5130B"/>
    <w:rsid w:val="00E5138C"/>
    <w:rsid w:val="00E513A1"/>
    <w:rsid w:val="00E51538"/>
    <w:rsid w:val="00E51624"/>
    <w:rsid w:val="00E516E8"/>
    <w:rsid w:val="00E517AF"/>
    <w:rsid w:val="00E51803"/>
    <w:rsid w:val="00E51959"/>
    <w:rsid w:val="00E51A4B"/>
    <w:rsid w:val="00E51B44"/>
    <w:rsid w:val="00E51BE5"/>
    <w:rsid w:val="00E51BF1"/>
    <w:rsid w:val="00E51C0D"/>
    <w:rsid w:val="00E51C56"/>
    <w:rsid w:val="00E51DCA"/>
    <w:rsid w:val="00E51DE0"/>
    <w:rsid w:val="00E51E4B"/>
    <w:rsid w:val="00E51EB9"/>
    <w:rsid w:val="00E51ED1"/>
    <w:rsid w:val="00E51F1F"/>
    <w:rsid w:val="00E52138"/>
    <w:rsid w:val="00E52164"/>
    <w:rsid w:val="00E521A8"/>
    <w:rsid w:val="00E52287"/>
    <w:rsid w:val="00E523A4"/>
    <w:rsid w:val="00E52602"/>
    <w:rsid w:val="00E5261F"/>
    <w:rsid w:val="00E52848"/>
    <w:rsid w:val="00E52908"/>
    <w:rsid w:val="00E52A0C"/>
    <w:rsid w:val="00E52C39"/>
    <w:rsid w:val="00E52DD2"/>
    <w:rsid w:val="00E52E33"/>
    <w:rsid w:val="00E52E3D"/>
    <w:rsid w:val="00E52F39"/>
    <w:rsid w:val="00E52F50"/>
    <w:rsid w:val="00E530DE"/>
    <w:rsid w:val="00E53142"/>
    <w:rsid w:val="00E5324C"/>
    <w:rsid w:val="00E532CA"/>
    <w:rsid w:val="00E5360B"/>
    <w:rsid w:val="00E53692"/>
    <w:rsid w:val="00E536C0"/>
    <w:rsid w:val="00E53723"/>
    <w:rsid w:val="00E53754"/>
    <w:rsid w:val="00E538F8"/>
    <w:rsid w:val="00E539E7"/>
    <w:rsid w:val="00E53C0C"/>
    <w:rsid w:val="00E53C11"/>
    <w:rsid w:val="00E53D50"/>
    <w:rsid w:val="00E53D7A"/>
    <w:rsid w:val="00E53E9F"/>
    <w:rsid w:val="00E53F4E"/>
    <w:rsid w:val="00E5422C"/>
    <w:rsid w:val="00E54304"/>
    <w:rsid w:val="00E54364"/>
    <w:rsid w:val="00E54387"/>
    <w:rsid w:val="00E544DD"/>
    <w:rsid w:val="00E5473B"/>
    <w:rsid w:val="00E54A47"/>
    <w:rsid w:val="00E54B85"/>
    <w:rsid w:val="00E54B8E"/>
    <w:rsid w:val="00E54CED"/>
    <w:rsid w:val="00E54DA3"/>
    <w:rsid w:val="00E54E15"/>
    <w:rsid w:val="00E54E20"/>
    <w:rsid w:val="00E54F03"/>
    <w:rsid w:val="00E54F9A"/>
    <w:rsid w:val="00E5518D"/>
    <w:rsid w:val="00E551AE"/>
    <w:rsid w:val="00E55267"/>
    <w:rsid w:val="00E552A9"/>
    <w:rsid w:val="00E55301"/>
    <w:rsid w:val="00E55356"/>
    <w:rsid w:val="00E555F5"/>
    <w:rsid w:val="00E556B6"/>
    <w:rsid w:val="00E5576E"/>
    <w:rsid w:val="00E5584B"/>
    <w:rsid w:val="00E558A0"/>
    <w:rsid w:val="00E558A4"/>
    <w:rsid w:val="00E5596F"/>
    <w:rsid w:val="00E559C1"/>
    <w:rsid w:val="00E55B93"/>
    <w:rsid w:val="00E55BFC"/>
    <w:rsid w:val="00E55CBC"/>
    <w:rsid w:val="00E55CD5"/>
    <w:rsid w:val="00E55F18"/>
    <w:rsid w:val="00E56053"/>
    <w:rsid w:val="00E56239"/>
    <w:rsid w:val="00E56256"/>
    <w:rsid w:val="00E5627D"/>
    <w:rsid w:val="00E56291"/>
    <w:rsid w:val="00E5636D"/>
    <w:rsid w:val="00E56394"/>
    <w:rsid w:val="00E563B9"/>
    <w:rsid w:val="00E5661E"/>
    <w:rsid w:val="00E56657"/>
    <w:rsid w:val="00E56675"/>
    <w:rsid w:val="00E566CF"/>
    <w:rsid w:val="00E567F6"/>
    <w:rsid w:val="00E568D0"/>
    <w:rsid w:val="00E56952"/>
    <w:rsid w:val="00E56A5D"/>
    <w:rsid w:val="00E56B70"/>
    <w:rsid w:val="00E56BB1"/>
    <w:rsid w:val="00E56C0A"/>
    <w:rsid w:val="00E56D50"/>
    <w:rsid w:val="00E56E69"/>
    <w:rsid w:val="00E56E76"/>
    <w:rsid w:val="00E56EEA"/>
    <w:rsid w:val="00E56F56"/>
    <w:rsid w:val="00E56FDA"/>
    <w:rsid w:val="00E57074"/>
    <w:rsid w:val="00E5707B"/>
    <w:rsid w:val="00E570E9"/>
    <w:rsid w:val="00E5710C"/>
    <w:rsid w:val="00E57156"/>
    <w:rsid w:val="00E5722B"/>
    <w:rsid w:val="00E57234"/>
    <w:rsid w:val="00E572CA"/>
    <w:rsid w:val="00E572D8"/>
    <w:rsid w:val="00E572EB"/>
    <w:rsid w:val="00E57317"/>
    <w:rsid w:val="00E5752E"/>
    <w:rsid w:val="00E5754D"/>
    <w:rsid w:val="00E5757F"/>
    <w:rsid w:val="00E57623"/>
    <w:rsid w:val="00E5770F"/>
    <w:rsid w:val="00E5774B"/>
    <w:rsid w:val="00E5779F"/>
    <w:rsid w:val="00E577AE"/>
    <w:rsid w:val="00E577B2"/>
    <w:rsid w:val="00E5794B"/>
    <w:rsid w:val="00E57BC0"/>
    <w:rsid w:val="00E57C10"/>
    <w:rsid w:val="00E57C69"/>
    <w:rsid w:val="00E57C99"/>
    <w:rsid w:val="00E57D6B"/>
    <w:rsid w:val="00E57DC7"/>
    <w:rsid w:val="00E57E22"/>
    <w:rsid w:val="00E57E69"/>
    <w:rsid w:val="00E57E84"/>
    <w:rsid w:val="00E60001"/>
    <w:rsid w:val="00E60028"/>
    <w:rsid w:val="00E60185"/>
    <w:rsid w:val="00E6023C"/>
    <w:rsid w:val="00E60249"/>
    <w:rsid w:val="00E60373"/>
    <w:rsid w:val="00E604F2"/>
    <w:rsid w:val="00E60767"/>
    <w:rsid w:val="00E607F7"/>
    <w:rsid w:val="00E60849"/>
    <w:rsid w:val="00E60957"/>
    <w:rsid w:val="00E6098E"/>
    <w:rsid w:val="00E609FA"/>
    <w:rsid w:val="00E60B4A"/>
    <w:rsid w:val="00E60CBF"/>
    <w:rsid w:val="00E60D68"/>
    <w:rsid w:val="00E60DDA"/>
    <w:rsid w:val="00E60F02"/>
    <w:rsid w:val="00E60FF2"/>
    <w:rsid w:val="00E60FFF"/>
    <w:rsid w:val="00E610D2"/>
    <w:rsid w:val="00E6111D"/>
    <w:rsid w:val="00E6114E"/>
    <w:rsid w:val="00E61222"/>
    <w:rsid w:val="00E6127D"/>
    <w:rsid w:val="00E612B2"/>
    <w:rsid w:val="00E6131A"/>
    <w:rsid w:val="00E613E0"/>
    <w:rsid w:val="00E61450"/>
    <w:rsid w:val="00E6148C"/>
    <w:rsid w:val="00E61493"/>
    <w:rsid w:val="00E61687"/>
    <w:rsid w:val="00E616A4"/>
    <w:rsid w:val="00E616F1"/>
    <w:rsid w:val="00E61778"/>
    <w:rsid w:val="00E617BE"/>
    <w:rsid w:val="00E61863"/>
    <w:rsid w:val="00E618CC"/>
    <w:rsid w:val="00E61A94"/>
    <w:rsid w:val="00E61AF0"/>
    <w:rsid w:val="00E61BDF"/>
    <w:rsid w:val="00E61DB8"/>
    <w:rsid w:val="00E61FF9"/>
    <w:rsid w:val="00E620F6"/>
    <w:rsid w:val="00E6211F"/>
    <w:rsid w:val="00E62151"/>
    <w:rsid w:val="00E6226C"/>
    <w:rsid w:val="00E6254B"/>
    <w:rsid w:val="00E62597"/>
    <w:rsid w:val="00E625F5"/>
    <w:rsid w:val="00E6269A"/>
    <w:rsid w:val="00E627C5"/>
    <w:rsid w:val="00E62879"/>
    <w:rsid w:val="00E62A3E"/>
    <w:rsid w:val="00E62BB2"/>
    <w:rsid w:val="00E62BE0"/>
    <w:rsid w:val="00E62C13"/>
    <w:rsid w:val="00E62D69"/>
    <w:rsid w:val="00E62DA4"/>
    <w:rsid w:val="00E62F4F"/>
    <w:rsid w:val="00E62F78"/>
    <w:rsid w:val="00E6303B"/>
    <w:rsid w:val="00E6307B"/>
    <w:rsid w:val="00E63227"/>
    <w:rsid w:val="00E6336E"/>
    <w:rsid w:val="00E63378"/>
    <w:rsid w:val="00E633F9"/>
    <w:rsid w:val="00E63417"/>
    <w:rsid w:val="00E634B3"/>
    <w:rsid w:val="00E63521"/>
    <w:rsid w:val="00E635A1"/>
    <w:rsid w:val="00E636E6"/>
    <w:rsid w:val="00E636F7"/>
    <w:rsid w:val="00E63739"/>
    <w:rsid w:val="00E6375E"/>
    <w:rsid w:val="00E6388F"/>
    <w:rsid w:val="00E63982"/>
    <w:rsid w:val="00E63A84"/>
    <w:rsid w:val="00E63B79"/>
    <w:rsid w:val="00E63B7D"/>
    <w:rsid w:val="00E63B92"/>
    <w:rsid w:val="00E63CDB"/>
    <w:rsid w:val="00E63EED"/>
    <w:rsid w:val="00E63F53"/>
    <w:rsid w:val="00E641ED"/>
    <w:rsid w:val="00E642AB"/>
    <w:rsid w:val="00E64335"/>
    <w:rsid w:val="00E64380"/>
    <w:rsid w:val="00E6456D"/>
    <w:rsid w:val="00E646F2"/>
    <w:rsid w:val="00E648B4"/>
    <w:rsid w:val="00E64A3F"/>
    <w:rsid w:val="00E64A43"/>
    <w:rsid w:val="00E64A6C"/>
    <w:rsid w:val="00E64AC8"/>
    <w:rsid w:val="00E64B71"/>
    <w:rsid w:val="00E64C20"/>
    <w:rsid w:val="00E64C48"/>
    <w:rsid w:val="00E64CA8"/>
    <w:rsid w:val="00E64DE4"/>
    <w:rsid w:val="00E64F36"/>
    <w:rsid w:val="00E64F5A"/>
    <w:rsid w:val="00E65053"/>
    <w:rsid w:val="00E65102"/>
    <w:rsid w:val="00E65139"/>
    <w:rsid w:val="00E652E6"/>
    <w:rsid w:val="00E653EF"/>
    <w:rsid w:val="00E653FA"/>
    <w:rsid w:val="00E65442"/>
    <w:rsid w:val="00E65546"/>
    <w:rsid w:val="00E65590"/>
    <w:rsid w:val="00E6561C"/>
    <w:rsid w:val="00E65672"/>
    <w:rsid w:val="00E657A1"/>
    <w:rsid w:val="00E658B3"/>
    <w:rsid w:val="00E65958"/>
    <w:rsid w:val="00E65C68"/>
    <w:rsid w:val="00E65C70"/>
    <w:rsid w:val="00E65CA5"/>
    <w:rsid w:val="00E65D9F"/>
    <w:rsid w:val="00E65DA8"/>
    <w:rsid w:val="00E65DFE"/>
    <w:rsid w:val="00E65F84"/>
    <w:rsid w:val="00E66043"/>
    <w:rsid w:val="00E660EF"/>
    <w:rsid w:val="00E66159"/>
    <w:rsid w:val="00E661A6"/>
    <w:rsid w:val="00E66211"/>
    <w:rsid w:val="00E66312"/>
    <w:rsid w:val="00E6637B"/>
    <w:rsid w:val="00E663AE"/>
    <w:rsid w:val="00E6640F"/>
    <w:rsid w:val="00E6642B"/>
    <w:rsid w:val="00E66472"/>
    <w:rsid w:val="00E66488"/>
    <w:rsid w:val="00E66597"/>
    <w:rsid w:val="00E665B7"/>
    <w:rsid w:val="00E665DD"/>
    <w:rsid w:val="00E6664E"/>
    <w:rsid w:val="00E6667A"/>
    <w:rsid w:val="00E667E3"/>
    <w:rsid w:val="00E6687B"/>
    <w:rsid w:val="00E668E8"/>
    <w:rsid w:val="00E66B3C"/>
    <w:rsid w:val="00E66CC3"/>
    <w:rsid w:val="00E66D22"/>
    <w:rsid w:val="00E66D47"/>
    <w:rsid w:val="00E66D68"/>
    <w:rsid w:val="00E66EB5"/>
    <w:rsid w:val="00E66F0E"/>
    <w:rsid w:val="00E66F6B"/>
    <w:rsid w:val="00E67036"/>
    <w:rsid w:val="00E67174"/>
    <w:rsid w:val="00E6721E"/>
    <w:rsid w:val="00E672C8"/>
    <w:rsid w:val="00E673DB"/>
    <w:rsid w:val="00E6743C"/>
    <w:rsid w:val="00E674B3"/>
    <w:rsid w:val="00E6759A"/>
    <w:rsid w:val="00E676A1"/>
    <w:rsid w:val="00E67720"/>
    <w:rsid w:val="00E67752"/>
    <w:rsid w:val="00E67850"/>
    <w:rsid w:val="00E67860"/>
    <w:rsid w:val="00E678E0"/>
    <w:rsid w:val="00E67917"/>
    <w:rsid w:val="00E67964"/>
    <w:rsid w:val="00E67B37"/>
    <w:rsid w:val="00E67BFB"/>
    <w:rsid w:val="00E67D4A"/>
    <w:rsid w:val="00E67D9E"/>
    <w:rsid w:val="00E67DB9"/>
    <w:rsid w:val="00E67E71"/>
    <w:rsid w:val="00E67FD8"/>
    <w:rsid w:val="00E7001E"/>
    <w:rsid w:val="00E701A9"/>
    <w:rsid w:val="00E7043F"/>
    <w:rsid w:val="00E704A9"/>
    <w:rsid w:val="00E7051C"/>
    <w:rsid w:val="00E706D0"/>
    <w:rsid w:val="00E706E4"/>
    <w:rsid w:val="00E7072A"/>
    <w:rsid w:val="00E70743"/>
    <w:rsid w:val="00E70757"/>
    <w:rsid w:val="00E707B8"/>
    <w:rsid w:val="00E70805"/>
    <w:rsid w:val="00E70897"/>
    <w:rsid w:val="00E7090C"/>
    <w:rsid w:val="00E70ADD"/>
    <w:rsid w:val="00E70B01"/>
    <w:rsid w:val="00E70C01"/>
    <w:rsid w:val="00E70CBA"/>
    <w:rsid w:val="00E70CBE"/>
    <w:rsid w:val="00E70CDE"/>
    <w:rsid w:val="00E70D11"/>
    <w:rsid w:val="00E70E1B"/>
    <w:rsid w:val="00E70FA7"/>
    <w:rsid w:val="00E71016"/>
    <w:rsid w:val="00E713A1"/>
    <w:rsid w:val="00E713FA"/>
    <w:rsid w:val="00E716BF"/>
    <w:rsid w:val="00E7178A"/>
    <w:rsid w:val="00E718B5"/>
    <w:rsid w:val="00E71988"/>
    <w:rsid w:val="00E71BD3"/>
    <w:rsid w:val="00E71CC2"/>
    <w:rsid w:val="00E71CF6"/>
    <w:rsid w:val="00E71ECE"/>
    <w:rsid w:val="00E71F1E"/>
    <w:rsid w:val="00E720A5"/>
    <w:rsid w:val="00E721C1"/>
    <w:rsid w:val="00E72339"/>
    <w:rsid w:val="00E726E4"/>
    <w:rsid w:val="00E72807"/>
    <w:rsid w:val="00E72906"/>
    <w:rsid w:val="00E72948"/>
    <w:rsid w:val="00E72985"/>
    <w:rsid w:val="00E729FA"/>
    <w:rsid w:val="00E72B41"/>
    <w:rsid w:val="00E72BD3"/>
    <w:rsid w:val="00E72BDF"/>
    <w:rsid w:val="00E72C16"/>
    <w:rsid w:val="00E72D5F"/>
    <w:rsid w:val="00E72D73"/>
    <w:rsid w:val="00E72DE9"/>
    <w:rsid w:val="00E72E2B"/>
    <w:rsid w:val="00E72EBD"/>
    <w:rsid w:val="00E72FF3"/>
    <w:rsid w:val="00E73011"/>
    <w:rsid w:val="00E730BB"/>
    <w:rsid w:val="00E731A3"/>
    <w:rsid w:val="00E73219"/>
    <w:rsid w:val="00E7327D"/>
    <w:rsid w:val="00E7334E"/>
    <w:rsid w:val="00E73471"/>
    <w:rsid w:val="00E7364A"/>
    <w:rsid w:val="00E736C9"/>
    <w:rsid w:val="00E7385E"/>
    <w:rsid w:val="00E738F1"/>
    <w:rsid w:val="00E739EE"/>
    <w:rsid w:val="00E73A23"/>
    <w:rsid w:val="00E73A24"/>
    <w:rsid w:val="00E73A58"/>
    <w:rsid w:val="00E73BF8"/>
    <w:rsid w:val="00E73C44"/>
    <w:rsid w:val="00E73D88"/>
    <w:rsid w:val="00E73E48"/>
    <w:rsid w:val="00E73F52"/>
    <w:rsid w:val="00E73FC9"/>
    <w:rsid w:val="00E7403A"/>
    <w:rsid w:val="00E74180"/>
    <w:rsid w:val="00E7429B"/>
    <w:rsid w:val="00E74324"/>
    <w:rsid w:val="00E74489"/>
    <w:rsid w:val="00E745EB"/>
    <w:rsid w:val="00E746D2"/>
    <w:rsid w:val="00E746FE"/>
    <w:rsid w:val="00E747C1"/>
    <w:rsid w:val="00E7482B"/>
    <w:rsid w:val="00E7482C"/>
    <w:rsid w:val="00E74846"/>
    <w:rsid w:val="00E748D9"/>
    <w:rsid w:val="00E74B8E"/>
    <w:rsid w:val="00E74E4F"/>
    <w:rsid w:val="00E74ED4"/>
    <w:rsid w:val="00E74F70"/>
    <w:rsid w:val="00E74FA7"/>
    <w:rsid w:val="00E74FCB"/>
    <w:rsid w:val="00E7509D"/>
    <w:rsid w:val="00E7510D"/>
    <w:rsid w:val="00E75110"/>
    <w:rsid w:val="00E75170"/>
    <w:rsid w:val="00E7522E"/>
    <w:rsid w:val="00E7531F"/>
    <w:rsid w:val="00E7533C"/>
    <w:rsid w:val="00E75347"/>
    <w:rsid w:val="00E7542A"/>
    <w:rsid w:val="00E754C6"/>
    <w:rsid w:val="00E7561B"/>
    <w:rsid w:val="00E756A5"/>
    <w:rsid w:val="00E756D6"/>
    <w:rsid w:val="00E756ED"/>
    <w:rsid w:val="00E75743"/>
    <w:rsid w:val="00E75849"/>
    <w:rsid w:val="00E75881"/>
    <w:rsid w:val="00E75956"/>
    <w:rsid w:val="00E75962"/>
    <w:rsid w:val="00E759CE"/>
    <w:rsid w:val="00E75A0E"/>
    <w:rsid w:val="00E75AC2"/>
    <w:rsid w:val="00E75B87"/>
    <w:rsid w:val="00E75BFE"/>
    <w:rsid w:val="00E75E89"/>
    <w:rsid w:val="00E75F59"/>
    <w:rsid w:val="00E75FEF"/>
    <w:rsid w:val="00E761ED"/>
    <w:rsid w:val="00E76224"/>
    <w:rsid w:val="00E7623D"/>
    <w:rsid w:val="00E76352"/>
    <w:rsid w:val="00E76398"/>
    <w:rsid w:val="00E763E4"/>
    <w:rsid w:val="00E7643A"/>
    <w:rsid w:val="00E76580"/>
    <w:rsid w:val="00E76591"/>
    <w:rsid w:val="00E76614"/>
    <w:rsid w:val="00E76627"/>
    <w:rsid w:val="00E7668B"/>
    <w:rsid w:val="00E766D4"/>
    <w:rsid w:val="00E766D6"/>
    <w:rsid w:val="00E766E9"/>
    <w:rsid w:val="00E7673E"/>
    <w:rsid w:val="00E76798"/>
    <w:rsid w:val="00E76831"/>
    <w:rsid w:val="00E76A0A"/>
    <w:rsid w:val="00E76AE5"/>
    <w:rsid w:val="00E76B7C"/>
    <w:rsid w:val="00E76B81"/>
    <w:rsid w:val="00E76CB8"/>
    <w:rsid w:val="00E76E43"/>
    <w:rsid w:val="00E76F29"/>
    <w:rsid w:val="00E76F66"/>
    <w:rsid w:val="00E76FD3"/>
    <w:rsid w:val="00E770C8"/>
    <w:rsid w:val="00E771C9"/>
    <w:rsid w:val="00E771E6"/>
    <w:rsid w:val="00E77241"/>
    <w:rsid w:val="00E7726E"/>
    <w:rsid w:val="00E772DD"/>
    <w:rsid w:val="00E773B0"/>
    <w:rsid w:val="00E774B8"/>
    <w:rsid w:val="00E775AC"/>
    <w:rsid w:val="00E7761C"/>
    <w:rsid w:val="00E776EA"/>
    <w:rsid w:val="00E776EC"/>
    <w:rsid w:val="00E779A3"/>
    <w:rsid w:val="00E77A2B"/>
    <w:rsid w:val="00E77A38"/>
    <w:rsid w:val="00E77B06"/>
    <w:rsid w:val="00E77B13"/>
    <w:rsid w:val="00E77BE2"/>
    <w:rsid w:val="00E77C44"/>
    <w:rsid w:val="00E77E39"/>
    <w:rsid w:val="00E77FA3"/>
    <w:rsid w:val="00E80028"/>
    <w:rsid w:val="00E80150"/>
    <w:rsid w:val="00E8026F"/>
    <w:rsid w:val="00E8037A"/>
    <w:rsid w:val="00E80484"/>
    <w:rsid w:val="00E80492"/>
    <w:rsid w:val="00E80662"/>
    <w:rsid w:val="00E80736"/>
    <w:rsid w:val="00E807D8"/>
    <w:rsid w:val="00E807DE"/>
    <w:rsid w:val="00E807FA"/>
    <w:rsid w:val="00E809E5"/>
    <w:rsid w:val="00E80B29"/>
    <w:rsid w:val="00E80B48"/>
    <w:rsid w:val="00E80B4B"/>
    <w:rsid w:val="00E80B6F"/>
    <w:rsid w:val="00E80D6A"/>
    <w:rsid w:val="00E80E0C"/>
    <w:rsid w:val="00E80F14"/>
    <w:rsid w:val="00E80F7C"/>
    <w:rsid w:val="00E80FEF"/>
    <w:rsid w:val="00E80FF4"/>
    <w:rsid w:val="00E8101C"/>
    <w:rsid w:val="00E81195"/>
    <w:rsid w:val="00E811DD"/>
    <w:rsid w:val="00E813D5"/>
    <w:rsid w:val="00E813E2"/>
    <w:rsid w:val="00E81404"/>
    <w:rsid w:val="00E8140B"/>
    <w:rsid w:val="00E81436"/>
    <w:rsid w:val="00E81440"/>
    <w:rsid w:val="00E81471"/>
    <w:rsid w:val="00E81479"/>
    <w:rsid w:val="00E8149A"/>
    <w:rsid w:val="00E81576"/>
    <w:rsid w:val="00E8167E"/>
    <w:rsid w:val="00E817CB"/>
    <w:rsid w:val="00E81882"/>
    <w:rsid w:val="00E819FE"/>
    <w:rsid w:val="00E81B81"/>
    <w:rsid w:val="00E81C53"/>
    <w:rsid w:val="00E81CC7"/>
    <w:rsid w:val="00E81DB9"/>
    <w:rsid w:val="00E81DDE"/>
    <w:rsid w:val="00E81EF4"/>
    <w:rsid w:val="00E81F1B"/>
    <w:rsid w:val="00E81F61"/>
    <w:rsid w:val="00E81F93"/>
    <w:rsid w:val="00E82001"/>
    <w:rsid w:val="00E8201C"/>
    <w:rsid w:val="00E82136"/>
    <w:rsid w:val="00E8214C"/>
    <w:rsid w:val="00E82400"/>
    <w:rsid w:val="00E82464"/>
    <w:rsid w:val="00E824BF"/>
    <w:rsid w:val="00E82746"/>
    <w:rsid w:val="00E827D1"/>
    <w:rsid w:val="00E828C2"/>
    <w:rsid w:val="00E8296A"/>
    <w:rsid w:val="00E829A8"/>
    <w:rsid w:val="00E82B38"/>
    <w:rsid w:val="00E82C0E"/>
    <w:rsid w:val="00E82C13"/>
    <w:rsid w:val="00E82D79"/>
    <w:rsid w:val="00E82E5C"/>
    <w:rsid w:val="00E82E97"/>
    <w:rsid w:val="00E82EA3"/>
    <w:rsid w:val="00E82EF4"/>
    <w:rsid w:val="00E82F94"/>
    <w:rsid w:val="00E83063"/>
    <w:rsid w:val="00E8308C"/>
    <w:rsid w:val="00E830F3"/>
    <w:rsid w:val="00E831C1"/>
    <w:rsid w:val="00E83209"/>
    <w:rsid w:val="00E832F1"/>
    <w:rsid w:val="00E833B2"/>
    <w:rsid w:val="00E8348C"/>
    <w:rsid w:val="00E83526"/>
    <w:rsid w:val="00E836BA"/>
    <w:rsid w:val="00E83951"/>
    <w:rsid w:val="00E83A21"/>
    <w:rsid w:val="00E83AC8"/>
    <w:rsid w:val="00E83AFB"/>
    <w:rsid w:val="00E83BFB"/>
    <w:rsid w:val="00E83C13"/>
    <w:rsid w:val="00E83D92"/>
    <w:rsid w:val="00E83E23"/>
    <w:rsid w:val="00E83E46"/>
    <w:rsid w:val="00E83F40"/>
    <w:rsid w:val="00E84030"/>
    <w:rsid w:val="00E84056"/>
    <w:rsid w:val="00E841CA"/>
    <w:rsid w:val="00E841E3"/>
    <w:rsid w:val="00E843FA"/>
    <w:rsid w:val="00E844B4"/>
    <w:rsid w:val="00E845E1"/>
    <w:rsid w:val="00E84774"/>
    <w:rsid w:val="00E84852"/>
    <w:rsid w:val="00E84904"/>
    <w:rsid w:val="00E84A74"/>
    <w:rsid w:val="00E84AA8"/>
    <w:rsid w:val="00E84AF9"/>
    <w:rsid w:val="00E84BA6"/>
    <w:rsid w:val="00E84C1C"/>
    <w:rsid w:val="00E84CA2"/>
    <w:rsid w:val="00E84EB7"/>
    <w:rsid w:val="00E84F43"/>
    <w:rsid w:val="00E84FAE"/>
    <w:rsid w:val="00E85050"/>
    <w:rsid w:val="00E85092"/>
    <w:rsid w:val="00E850A1"/>
    <w:rsid w:val="00E8514E"/>
    <w:rsid w:val="00E8525B"/>
    <w:rsid w:val="00E8555B"/>
    <w:rsid w:val="00E855C2"/>
    <w:rsid w:val="00E8580A"/>
    <w:rsid w:val="00E858DD"/>
    <w:rsid w:val="00E858F0"/>
    <w:rsid w:val="00E85919"/>
    <w:rsid w:val="00E85AE0"/>
    <w:rsid w:val="00E85AFE"/>
    <w:rsid w:val="00E85BDB"/>
    <w:rsid w:val="00E85D61"/>
    <w:rsid w:val="00E85E21"/>
    <w:rsid w:val="00E85E5A"/>
    <w:rsid w:val="00E85F06"/>
    <w:rsid w:val="00E86047"/>
    <w:rsid w:val="00E86057"/>
    <w:rsid w:val="00E86083"/>
    <w:rsid w:val="00E860EB"/>
    <w:rsid w:val="00E861D1"/>
    <w:rsid w:val="00E86229"/>
    <w:rsid w:val="00E862AF"/>
    <w:rsid w:val="00E863C5"/>
    <w:rsid w:val="00E863D6"/>
    <w:rsid w:val="00E8662E"/>
    <w:rsid w:val="00E8666A"/>
    <w:rsid w:val="00E866C7"/>
    <w:rsid w:val="00E8677D"/>
    <w:rsid w:val="00E86827"/>
    <w:rsid w:val="00E86A70"/>
    <w:rsid w:val="00E86AD8"/>
    <w:rsid w:val="00E86C40"/>
    <w:rsid w:val="00E86C66"/>
    <w:rsid w:val="00E86DAB"/>
    <w:rsid w:val="00E86F4C"/>
    <w:rsid w:val="00E87019"/>
    <w:rsid w:val="00E87037"/>
    <w:rsid w:val="00E87070"/>
    <w:rsid w:val="00E870B5"/>
    <w:rsid w:val="00E870D1"/>
    <w:rsid w:val="00E87104"/>
    <w:rsid w:val="00E8724B"/>
    <w:rsid w:val="00E872AB"/>
    <w:rsid w:val="00E873B1"/>
    <w:rsid w:val="00E873C9"/>
    <w:rsid w:val="00E873F9"/>
    <w:rsid w:val="00E8740F"/>
    <w:rsid w:val="00E87A31"/>
    <w:rsid w:val="00E87A3B"/>
    <w:rsid w:val="00E87B84"/>
    <w:rsid w:val="00E87CB7"/>
    <w:rsid w:val="00E87E75"/>
    <w:rsid w:val="00E87F15"/>
    <w:rsid w:val="00E87FCB"/>
    <w:rsid w:val="00E87FE8"/>
    <w:rsid w:val="00E9000F"/>
    <w:rsid w:val="00E90028"/>
    <w:rsid w:val="00E9030B"/>
    <w:rsid w:val="00E9054D"/>
    <w:rsid w:val="00E905D7"/>
    <w:rsid w:val="00E90968"/>
    <w:rsid w:val="00E9097F"/>
    <w:rsid w:val="00E90C59"/>
    <w:rsid w:val="00E90CFC"/>
    <w:rsid w:val="00E90DCC"/>
    <w:rsid w:val="00E91009"/>
    <w:rsid w:val="00E9107C"/>
    <w:rsid w:val="00E910BD"/>
    <w:rsid w:val="00E91135"/>
    <w:rsid w:val="00E91196"/>
    <w:rsid w:val="00E91298"/>
    <w:rsid w:val="00E912A2"/>
    <w:rsid w:val="00E91440"/>
    <w:rsid w:val="00E9174D"/>
    <w:rsid w:val="00E91760"/>
    <w:rsid w:val="00E91766"/>
    <w:rsid w:val="00E91921"/>
    <w:rsid w:val="00E9192E"/>
    <w:rsid w:val="00E919C4"/>
    <w:rsid w:val="00E91A26"/>
    <w:rsid w:val="00E91A6F"/>
    <w:rsid w:val="00E91AE1"/>
    <w:rsid w:val="00E91BBB"/>
    <w:rsid w:val="00E91BC8"/>
    <w:rsid w:val="00E91BE7"/>
    <w:rsid w:val="00E91CCB"/>
    <w:rsid w:val="00E91DB8"/>
    <w:rsid w:val="00E91EB3"/>
    <w:rsid w:val="00E91EFE"/>
    <w:rsid w:val="00E92043"/>
    <w:rsid w:val="00E9207C"/>
    <w:rsid w:val="00E9218E"/>
    <w:rsid w:val="00E921CF"/>
    <w:rsid w:val="00E92394"/>
    <w:rsid w:val="00E923F1"/>
    <w:rsid w:val="00E92550"/>
    <w:rsid w:val="00E92593"/>
    <w:rsid w:val="00E9269F"/>
    <w:rsid w:val="00E9271F"/>
    <w:rsid w:val="00E92953"/>
    <w:rsid w:val="00E92986"/>
    <w:rsid w:val="00E9298F"/>
    <w:rsid w:val="00E929B2"/>
    <w:rsid w:val="00E92A3C"/>
    <w:rsid w:val="00E92AED"/>
    <w:rsid w:val="00E92C35"/>
    <w:rsid w:val="00E92DBE"/>
    <w:rsid w:val="00E92F0E"/>
    <w:rsid w:val="00E92F20"/>
    <w:rsid w:val="00E92F9F"/>
    <w:rsid w:val="00E92FFD"/>
    <w:rsid w:val="00E9301C"/>
    <w:rsid w:val="00E930E9"/>
    <w:rsid w:val="00E932C8"/>
    <w:rsid w:val="00E932E1"/>
    <w:rsid w:val="00E93329"/>
    <w:rsid w:val="00E933E3"/>
    <w:rsid w:val="00E93697"/>
    <w:rsid w:val="00E93737"/>
    <w:rsid w:val="00E937D5"/>
    <w:rsid w:val="00E937EC"/>
    <w:rsid w:val="00E9389A"/>
    <w:rsid w:val="00E9398F"/>
    <w:rsid w:val="00E939FD"/>
    <w:rsid w:val="00E93AD8"/>
    <w:rsid w:val="00E93B72"/>
    <w:rsid w:val="00E93C3B"/>
    <w:rsid w:val="00E93C6C"/>
    <w:rsid w:val="00E93D14"/>
    <w:rsid w:val="00E93EF6"/>
    <w:rsid w:val="00E93F31"/>
    <w:rsid w:val="00E93F44"/>
    <w:rsid w:val="00E93F7D"/>
    <w:rsid w:val="00E940D7"/>
    <w:rsid w:val="00E941C9"/>
    <w:rsid w:val="00E941E5"/>
    <w:rsid w:val="00E942EE"/>
    <w:rsid w:val="00E9440C"/>
    <w:rsid w:val="00E94449"/>
    <w:rsid w:val="00E945C4"/>
    <w:rsid w:val="00E948C3"/>
    <w:rsid w:val="00E948DA"/>
    <w:rsid w:val="00E948FC"/>
    <w:rsid w:val="00E94A7B"/>
    <w:rsid w:val="00E94AA9"/>
    <w:rsid w:val="00E94AE1"/>
    <w:rsid w:val="00E94AFB"/>
    <w:rsid w:val="00E94B68"/>
    <w:rsid w:val="00E94B89"/>
    <w:rsid w:val="00E94C58"/>
    <w:rsid w:val="00E94EB9"/>
    <w:rsid w:val="00E94EF0"/>
    <w:rsid w:val="00E94F62"/>
    <w:rsid w:val="00E94FF5"/>
    <w:rsid w:val="00E9505A"/>
    <w:rsid w:val="00E9506B"/>
    <w:rsid w:val="00E95104"/>
    <w:rsid w:val="00E95114"/>
    <w:rsid w:val="00E95129"/>
    <w:rsid w:val="00E953D1"/>
    <w:rsid w:val="00E95417"/>
    <w:rsid w:val="00E95481"/>
    <w:rsid w:val="00E955D2"/>
    <w:rsid w:val="00E955EC"/>
    <w:rsid w:val="00E95689"/>
    <w:rsid w:val="00E956F4"/>
    <w:rsid w:val="00E9571A"/>
    <w:rsid w:val="00E95931"/>
    <w:rsid w:val="00E9596A"/>
    <w:rsid w:val="00E9597C"/>
    <w:rsid w:val="00E95996"/>
    <w:rsid w:val="00E95A1B"/>
    <w:rsid w:val="00E95A7B"/>
    <w:rsid w:val="00E95B27"/>
    <w:rsid w:val="00E95B74"/>
    <w:rsid w:val="00E95BCF"/>
    <w:rsid w:val="00E95C57"/>
    <w:rsid w:val="00E95CE7"/>
    <w:rsid w:val="00E95DB7"/>
    <w:rsid w:val="00E95F01"/>
    <w:rsid w:val="00E95FCA"/>
    <w:rsid w:val="00E962AE"/>
    <w:rsid w:val="00E96450"/>
    <w:rsid w:val="00E96494"/>
    <w:rsid w:val="00E9660E"/>
    <w:rsid w:val="00E96621"/>
    <w:rsid w:val="00E96646"/>
    <w:rsid w:val="00E96817"/>
    <w:rsid w:val="00E968E5"/>
    <w:rsid w:val="00E96901"/>
    <w:rsid w:val="00E9691F"/>
    <w:rsid w:val="00E96960"/>
    <w:rsid w:val="00E96967"/>
    <w:rsid w:val="00E96A37"/>
    <w:rsid w:val="00E96ACE"/>
    <w:rsid w:val="00E96AF3"/>
    <w:rsid w:val="00E96BB6"/>
    <w:rsid w:val="00E96CF3"/>
    <w:rsid w:val="00E96D9F"/>
    <w:rsid w:val="00E96DFC"/>
    <w:rsid w:val="00E96ED8"/>
    <w:rsid w:val="00E97097"/>
    <w:rsid w:val="00E97139"/>
    <w:rsid w:val="00E97186"/>
    <w:rsid w:val="00E971D1"/>
    <w:rsid w:val="00E971E3"/>
    <w:rsid w:val="00E9720D"/>
    <w:rsid w:val="00E9722E"/>
    <w:rsid w:val="00E97372"/>
    <w:rsid w:val="00E974B0"/>
    <w:rsid w:val="00E97524"/>
    <w:rsid w:val="00E97544"/>
    <w:rsid w:val="00E97591"/>
    <w:rsid w:val="00E975A7"/>
    <w:rsid w:val="00E9774A"/>
    <w:rsid w:val="00E979CC"/>
    <w:rsid w:val="00E97B93"/>
    <w:rsid w:val="00E97B9C"/>
    <w:rsid w:val="00E97D79"/>
    <w:rsid w:val="00EA002F"/>
    <w:rsid w:val="00EA0074"/>
    <w:rsid w:val="00EA00B8"/>
    <w:rsid w:val="00EA0173"/>
    <w:rsid w:val="00EA026C"/>
    <w:rsid w:val="00EA0507"/>
    <w:rsid w:val="00EA0537"/>
    <w:rsid w:val="00EA05A6"/>
    <w:rsid w:val="00EA05E4"/>
    <w:rsid w:val="00EA065B"/>
    <w:rsid w:val="00EA0813"/>
    <w:rsid w:val="00EA0956"/>
    <w:rsid w:val="00EA0A7F"/>
    <w:rsid w:val="00EA0A8E"/>
    <w:rsid w:val="00EA0B28"/>
    <w:rsid w:val="00EA0BCB"/>
    <w:rsid w:val="00EA0C0F"/>
    <w:rsid w:val="00EA0C6D"/>
    <w:rsid w:val="00EA0E1F"/>
    <w:rsid w:val="00EA0EAE"/>
    <w:rsid w:val="00EA1078"/>
    <w:rsid w:val="00EA117C"/>
    <w:rsid w:val="00EA12B7"/>
    <w:rsid w:val="00EA1312"/>
    <w:rsid w:val="00EA13A3"/>
    <w:rsid w:val="00EA14AB"/>
    <w:rsid w:val="00EA14BC"/>
    <w:rsid w:val="00EA14EB"/>
    <w:rsid w:val="00EA1512"/>
    <w:rsid w:val="00EA151E"/>
    <w:rsid w:val="00EA15BE"/>
    <w:rsid w:val="00EA1747"/>
    <w:rsid w:val="00EA175D"/>
    <w:rsid w:val="00EA17C9"/>
    <w:rsid w:val="00EA193E"/>
    <w:rsid w:val="00EA195A"/>
    <w:rsid w:val="00EA1A55"/>
    <w:rsid w:val="00EA1F77"/>
    <w:rsid w:val="00EA1FC4"/>
    <w:rsid w:val="00EA2052"/>
    <w:rsid w:val="00EA21E6"/>
    <w:rsid w:val="00EA2234"/>
    <w:rsid w:val="00EA22B6"/>
    <w:rsid w:val="00EA2473"/>
    <w:rsid w:val="00EA2492"/>
    <w:rsid w:val="00EA2572"/>
    <w:rsid w:val="00EA2805"/>
    <w:rsid w:val="00EA2843"/>
    <w:rsid w:val="00EA2886"/>
    <w:rsid w:val="00EA2972"/>
    <w:rsid w:val="00EA29B0"/>
    <w:rsid w:val="00EA2A27"/>
    <w:rsid w:val="00EA2B13"/>
    <w:rsid w:val="00EA2BF6"/>
    <w:rsid w:val="00EA2BFE"/>
    <w:rsid w:val="00EA2C21"/>
    <w:rsid w:val="00EA2D36"/>
    <w:rsid w:val="00EA2F4D"/>
    <w:rsid w:val="00EA2FC2"/>
    <w:rsid w:val="00EA3037"/>
    <w:rsid w:val="00EA30D0"/>
    <w:rsid w:val="00EA31F9"/>
    <w:rsid w:val="00EA33C8"/>
    <w:rsid w:val="00EA3428"/>
    <w:rsid w:val="00EA3509"/>
    <w:rsid w:val="00EA35B1"/>
    <w:rsid w:val="00EA3604"/>
    <w:rsid w:val="00EA37B1"/>
    <w:rsid w:val="00EA38AD"/>
    <w:rsid w:val="00EA3916"/>
    <w:rsid w:val="00EA3A42"/>
    <w:rsid w:val="00EA3A55"/>
    <w:rsid w:val="00EA3A77"/>
    <w:rsid w:val="00EA3B3C"/>
    <w:rsid w:val="00EA3C3B"/>
    <w:rsid w:val="00EA3CCD"/>
    <w:rsid w:val="00EA3E87"/>
    <w:rsid w:val="00EA3F62"/>
    <w:rsid w:val="00EA3FB4"/>
    <w:rsid w:val="00EA40F2"/>
    <w:rsid w:val="00EA4113"/>
    <w:rsid w:val="00EA4135"/>
    <w:rsid w:val="00EA4251"/>
    <w:rsid w:val="00EA4295"/>
    <w:rsid w:val="00EA42A6"/>
    <w:rsid w:val="00EA46A7"/>
    <w:rsid w:val="00EA471B"/>
    <w:rsid w:val="00EA475D"/>
    <w:rsid w:val="00EA4847"/>
    <w:rsid w:val="00EA4902"/>
    <w:rsid w:val="00EA491E"/>
    <w:rsid w:val="00EA498C"/>
    <w:rsid w:val="00EA49A3"/>
    <w:rsid w:val="00EA4A7A"/>
    <w:rsid w:val="00EA4AB1"/>
    <w:rsid w:val="00EA4B09"/>
    <w:rsid w:val="00EA4B2A"/>
    <w:rsid w:val="00EA4C45"/>
    <w:rsid w:val="00EA4C90"/>
    <w:rsid w:val="00EA4D84"/>
    <w:rsid w:val="00EA4E11"/>
    <w:rsid w:val="00EA4F9A"/>
    <w:rsid w:val="00EA4FD6"/>
    <w:rsid w:val="00EA5001"/>
    <w:rsid w:val="00EA503B"/>
    <w:rsid w:val="00EA50B1"/>
    <w:rsid w:val="00EA523B"/>
    <w:rsid w:val="00EA5311"/>
    <w:rsid w:val="00EA545C"/>
    <w:rsid w:val="00EA54D9"/>
    <w:rsid w:val="00EA5582"/>
    <w:rsid w:val="00EA5594"/>
    <w:rsid w:val="00EA5679"/>
    <w:rsid w:val="00EA57DA"/>
    <w:rsid w:val="00EA5960"/>
    <w:rsid w:val="00EA5A07"/>
    <w:rsid w:val="00EA5B2A"/>
    <w:rsid w:val="00EA5B89"/>
    <w:rsid w:val="00EA5C16"/>
    <w:rsid w:val="00EA5D8A"/>
    <w:rsid w:val="00EA5F0B"/>
    <w:rsid w:val="00EA5F6B"/>
    <w:rsid w:val="00EA600E"/>
    <w:rsid w:val="00EA61A7"/>
    <w:rsid w:val="00EA6255"/>
    <w:rsid w:val="00EA62B1"/>
    <w:rsid w:val="00EA6355"/>
    <w:rsid w:val="00EA65CD"/>
    <w:rsid w:val="00EA6696"/>
    <w:rsid w:val="00EA67BF"/>
    <w:rsid w:val="00EA6827"/>
    <w:rsid w:val="00EA68A2"/>
    <w:rsid w:val="00EA6903"/>
    <w:rsid w:val="00EA6B0E"/>
    <w:rsid w:val="00EA6C09"/>
    <w:rsid w:val="00EA6C22"/>
    <w:rsid w:val="00EA6C94"/>
    <w:rsid w:val="00EA6D19"/>
    <w:rsid w:val="00EA6DF7"/>
    <w:rsid w:val="00EA6ED5"/>
    <w:rsid w:val="00EA6EDA"/>
    <w:rsid w:val="00EA6EE6"/>
    <w:rsid w:val="00EA710E"/>
    <w:rsid w:val="00EA7305"/>
    <w:rsid w:val="00EA73CC"/>
    <w:rsid w:val="00EA74E5"/>
    <w:rsid w:val="00EA7500"/>
    <w:rsid w:val="00EA7652"/>
    <w:rsid w:val="00EA7653"/>
    <w:rsid w:val="00EA778D"/>
    <w:rsid w:val="00EA78AC"/>
    <w:rsid w:val="00EA7C0E"/>
    <w:rsid w:val="00EA7C20"/>
    <w:rsid w:val="00EA7CB8"/>
    <w:rsid w:val="00EA7E08"/>
    <w:rsid w:val="00EA7F3F"/>
    <w:rsid w:val="00EB003A"/>
    <w:rsid w:val="00EB005F"/>
    <w:rsid w:val="00EB0200"/>
    <w:rsid w:val="00EB0263"/>
    <w:rsid w:val="00EB0283"/>
    <w:rsid w:val="00EB0299"/>
    <w:rsid w:val="00EB029F"/>
    <w:rsid w:val="00EB0324"/>
    <w:rsid w:val="00EB0355"/>
    <w:rsid w:val="00EB0394"/>
    <w:rsid w:val="00EB043C"/>
    <w:rsid w:val="00EB0457"/>
    <w:rsid w:val="00EB047D"/>
    <w:rsid w:val="00EB04BD"/>
    <w:rsid w:val="00EB057D"/>
    <w:rsid w:val="00EB05EE"/>
    <w:rsid w:val="00EB0687"/>
    <w:rsid w:val="00EB06B1"/>
    <w:rsid w:val="00EB07A7"/>
    <w:rsid w:val="00EB07B4"/>
    <w:rsid w:val="00EB08BA"/>
    <w:rsid w:val="00EB08C1"/>
    <w:rsid w:val="00EB0957"/>
    <w:rsid w:val="00EB0A7F"/>
    <w:rsid w:val="00EB0A91"/>
    <w:rsid w:val="00EB0B6F"/>
    <w:rsid w:val="00EB0D1E"/>
    <w:rsid w:val="00EB0E9F"/>
    <w:rsid w:val="00EB0FA5"/>
    <w:rsid w:val="00EB1039"/>
    <w:rsid w:val="00EB10DA"/>
    <w:rsid w:val="00EB10E9"/>
    <w:rsid w:val="00EB117C"/>
    <w:rsid w:val="00EB1199"/>
    <w:rsid w:val="00EB12C4"/>
    <w:rsid w:val="00EB12D4"/>
    <w:rsid w:val="00EB13B2"/>
    <w:rsid w:val="00EB1418"/>
    <w:rsid w:val="00EB14C0"/>
    <w:rsid w:val="00EB14E4"/>
    <w:rsid w:val="00EB159D"/>
    <w:rsid w:val="00EB162D"/>
    <w:rsid w:val="00EB16D8"/>
    <w:rsid w:val="00EB1770"/>
    <w:rsid w:val="00EB1776"/>
    <w:rsid w:val="00EB17BD"/>
    <w:rsid w:val="00EB1960"/>
    <w:rsid w:val="00EB1CEC"/>
    <w:rsid w:val="00EB1D12"/>
    <w:rsid w:val="00EB1D1C"/>
    <w:rsid w:val="00EB1D1D"/>
    <w:rsid w:val="00EB1D43"/>
    <w:rsid w:val="00EB1D5B"/>
    <w:rsid w:val="00EB1DA3"/>
    <w:rsid w:val="00EB1DC2"/>
    <w:rsid w:val="00EB1E04"/>
    <w:rsid w:val="00EB1F08"/>
    <w:rsid w:val="00EB2059"/>
    <w:rsid w:val="00EB20E2"/>
    <w:rsid w:val="00EB232E"/>
    <w:rsid w:val="00EB237D"/>
    <w:rsid w:val="00EB23E0"/>
    <w:rsid w:val="00EB24DF"/>
    <w:rsid w:val="00EB25E2"/>
    <w:rsid w:val="00EB2630"/>
    <w:rsid w:val="00EB280D"/>
    <w:rsid w:val="00EB281C"/>
    <w:rsid w:val="00EB285D"/>
    <w:rsid w:val="00EB28F8"/>
    <w:rsid w:val="00EB2929"/>
    <w:rsid w:val="00EB2994"/>
    <w:rsid w:val="00EB2A44"/>
    <w:rsid w:val="00EB2AB3"/>
    <w:rsid w:val="00EB2AB4"/>
    <w:rsid w:val="00EB2B2D"/>
    <w:rsid w:val="00EB2C73"/>
    <w:rsid w:val="00EB2D21"/>
    <w:rsid w:val="00EB2F5B"/>
    <w:rsid w:val="00EB3061"/>
    <w:rsid w:val="00EB30D9"/>
    <w:rsid w:val="00EB3168"/>
    <w:rsid w:val="00EB32AB"/>
    <w:rsid w:val="00EB34E2"/>
    <w:rsid w:val="00EB35AB"/>
    <w:rsid w:val="00EB35C5"/>
    <w:rsid w:val="00EB3632"/>
    <w:rsid w:val="00EB3646"/>
    <w:rsid w:val="00EB36A6"/>
    <w:rsid w:val="00EB36C2"/>
    <w:rsid w:val="00EB37FA"/>
    <w:rsid w:val="00EB3A1F"/>
    <w:rsid w:val="00EB3A6D"/>
    <w:rsid w:val="00EB3AC3"/>
    <w:rsid w:val="00EB3B10"/>
    <w:rsid w:val="00EB3C09"/>
    <w:rsid w:val="00EB3C89"/>
    <w:rsid w:val="00EB3CF4"/>
    <w:rsid w:val="00EB3D2F"/>
    <w:rsid w:val="00EB3DDE"/>
    <w:rsid w:val="00EB3E07"/>
    <w:rsid w:val="00EB3ECF"/>
    <w:rsid w:val="00EB3F14"/>
    <w:rsid w:val="00EB41D2"/>
    <w:rsid w:val="00EB41D4"/>
    <w:rsid w:val="00EB422E"/>
    <w:rsid w:val="00EB4291"/>
    <w:rsid w:val="00EB43D9"/>
    <w:rsid w:val="00EB4415"/>
    <w:rsid w:val="00EB4441"/>
    <w:rsid w:val="00EB45AE"/>
    <w:rsid w:val="00EB46C1"/>
    <w:rsid w:val="00EB4763"/>
    <w:rsid w:val="00EB48AB"/>
    <w:rsid w:val="00EB4936"/>
    <w:rsid w:val="00EB493E"/>
    <w:rsid w:val="00EB4990"/>
    <w:rsid w:val="00EB4A04"/>
    <w:rsid w:val="00EB4A3A"/>
    <w:rsid w:val="00EB4A4C"/>
    <w:rsid w:val="00EB4B5A"/>
    <w:rsid w:val="00EB4BC2"/>
    <w:rsid w:val="00EB4BEA"/>
    <w:rsid w:val="00EB4CE5"/>
    <w:rsid w:val="00EB4D1E"/>
    <w:rsid w:val="00EB4E21"/>
    <w:rsid w:val="00EB4EAB"/>
    <w:rsid w:val="00EB4EAE"/>
    <w:rsid w:val="00EB4EFA"/>
    <w:rsid w:val="00EB4F48"/>
    <w:rsid w:val="00EB4F55"/>
    <w:rsid w:val="00EB513B"/>
    <w:rsid w:val="00EB5165"/>
    <w:rsid w:val="00EB5197"/>
    <w:rsid w:val="00EB51D3"/>
    <w:rsid w:val="00EB531D"/>
    <w:rsid w:val="00EB545B"/>
    <w:rsid w:val="00EB5696"/>
    <w:rsid w:val="00EB56A5"/>
    <w:rsid w:val="00EB56A6"/>
    <w:rsid w:val="00EB56EC"/>
    <w:rsid w:val="00EB572F"/>
    <w:rsid w:val="00EB5740"/>
    <w:rsid w:val="00EB57CD"/>
    <w:rsid w:val="00EB57DD"/>
    <w:rsid w:val="00EB5971"/>
    <w:rsid w:val="00EB5A88"/>
    <w:rsid w:val="00EB5BBD"/>
    <w:rsid w:val="00EB5BD2"/>
    <w:rsid w:val="00EB5DDA"/>
    <w:rsid w:val="00EB5E01"/>
    <w:rsid w:val="00EB5E54"/>
    <w:rsid w:val="00EB5E72"/>
    <w:rsid w:val="00EB6088"/>
    <w:rsid w:val="00EB6099"/>
    <w:rsid w:val="00EB61A4"/>
    <w:rsid w:val="00EB61D0"/>
    <w:rsid w:val="00EB6248"/>
    <w:rsid w:val="00EB6320"/>
    <w:rsid w:val="00EB636A"/>
    <w:rsid w:val="00EB6386"/>
    <w:rsid w:val="00EB6465"/>
    <w:rsid w:val="00EB6482"/>
    <w:rsid w:val="00EB64FF"/>
    <w:rsid w:val="00EB65DE"/>
    <w:rsid w:val="00EB664D"/>
    <w:rsid w:val="00EB6701"/>
    <w:rsid w:val="00EB6853"/>
    <w:rsid w:val="00EB687B"/>
    <w:rsid w:val="00EB68BE"/>
    <w:rsid w:val="00EB68CE"/>
    <w:rsid w:val="00EB68E8"/>
    <w:rsid w:val="00EB69D4"/>
    <w:rsid w:val="00EB6A2F"/>
    <w:rsid w:val="00EB6B0A"/>
    <w:rsid w:val="00EB6B15"/>
    <w:rsid w:val="00EB6B25"/>
    <w:rsid w:val="00EB6D2D"/>
    <w:rsid w:val="00EB6D3E"/>
    <w:rsid w:val="00EB7132"/>
    <w:rsid w:val="00EB717A"/>
    <w:rsid w:val="00EB71AD"/>
    <w:rsid w:val="00EB7328"/>
    <w:rsid w:val="00EB740E"/>
    <w:rsid w:val="00EB742E"/>
    <w:rsid w:val="00EB7435"/>
    <w:rsid w:val="00EB754D"/>
    <w:rsid w:val="00EB7562"/>
    <w:rsid w:val="00EB756B"/>
    <w:rsid w:val="00EB7586"/>
    <w:rsid w:val="00EB75EA"/>
    <w:rsid w:val="00EB7778"/>
    <w:rsid w:val="00EB77A4"/>
    <w:rsid w:val="00EB780B"/>
    <w:rsid w:val="00EB78F7"/>
    <w:rsid w:val="00EB7906"/>
    <w:rsid w:val="00EB790B"/>
    <w:rsid w:val="00EB7B1B"/>
    <w:rsid w:val="00EB7C7A"/>
    <w:rsid w:val="00EB7F54"/>
    <w:rsid w:val="00EB7F70"/>
    <w:rsid w:val="00EC0025"/>
    <w:rsid w:val="00EC00B8"/>
    <w:rsid w:val="00EC00BE"/>
    <w:rsid w:val="00EC0170"/>
    <w:rsid w:val="00EC01C7"/>
    <w:rsid w:val="00EC0222"/>
    <w:rsid w:val="00EC022C"/>
    <w:rsid w:val="00EC02F4"/>
    <w:rsid w:val="00EC033C"/>
    <w:rsid w:val="00EC038A"/>
    <w:rsid w:val="00EC03B4"/>
    <w:rsid w:val="00EC040E"/>
    <w:rsid w:val="00EC042B"/>
    <w:rsid w:val="00EC042D"/>
    <w:rsid w:val="00EC0478"/>
    <w:rsid w:val="00EC04A9"/>
    <w:rsid w:val="00EC0718"/>
    <w:rsid w:val="00EC075A"/>
    <w:rsid w:val="00EC085F"/>
    <w:rsid w:val="00EC08E4"/>
    <w:rsid w:val="00EC0977"/>
    <w:rsid w:val="00EC0A60"/>
    <w:rsid w:val="00EC0EC1"/>
    <w:rsid w:val="00EC0F13"/>
    <w:rsid w:val="00EC10D1"/>
    <w:rsid w:val="00EC1256"/>
    <w:rsid w:val="00EC127D"/>
    <w:rsid w:val="00EC13D6"/>
    <w:rsid w:val="00EC142F"/>
    <w:rsid w:val="00EC14B4"/>
    <w:rsid w:val="00EC156C"/>
    <w:rsid w:val="00EC1596"/>
    <w:rsid w:val="00EC1865"/>
    <w:rsid w:val="00EC18DF"/>
    <w:rsid w:val="00EC198C"/>
    <w:rsid w:val="00EC1A6A"/>
    <w:rsid w:val="00EC1AAD"/>
    <w:rsid w:val="00EC1B84"/>
    <w:rsid w:val="00EC1BE5"/>
    <w:rsid w:val="00EC1C20"/>
    <w:rsid w:val="00EC1CAF"/>
    <w:rsid w:val="00EC1CF4"/>
    <w:rsid w:val="00EC1F2B"/>
    <w:rsid w:val="00EC20AB"/>
    <w:rsid w:val="00EC21B8"/>
    <w:rsid w:val="00EC2250"/>
    <w:rsid w:val="00EC232B"/>
    <w:rsid w:val="00EC23C5"/>
    <w:rsid w:val="00EC2437"/>
    <w:rsid w:val="00EC25E9"/>
    <w:rsid w:val="00EC28CF"/>
    <w:rsid w:val="00EC2921"/>
    <w:rsid w:val="00EC29AC"/>
    <w:rsid w:val="00EC2B3E"/>
    <w:rsid w:val="00EC2B5E"/>
    <w:rsid w:val="00EC2C2B"/>
    <w:rsid w:val="00EC2EB2"/>
    <w:rsid w:val="00EC2F78"/>
    <w:rsid w:val="00EC3198"/>
    <w:rsid w:val="00EC3218"/>
    <w:rsid w:val="00EC32AB"/>
    <w:rsid w:val="00EC3385"/>
    <w:rsid w:val="00EC33DF"/>
    <w:rsid w:val="00EC343E"/>
    <w:rsid w:val="00EC34B3"/>
    <w:rsid w:val="00EC34DD"/>
    <w:rsid w:val="00EC350C"/>
    <w:rsid w:val="00EC3545"/>
    <w:rsid w:val="00EC3573"/>
    <w:rsid w:val="00EC36C9"/>
    <w:rsid w:val="00EC38C9"/>
    <w:rsid w:val="00EC39DB"/>
    <w:rsid w:val="00EC3A41"/>
    <w:rsid w:val="00EC3A9F"/>
    <w:rsid w:val="00EC3C9D"/>
    <w:rsid w:val="00EC3CA2"/>
    <w:rsid w:val="00EC3D37"/>
    <w:rsid w:val="00EC3D43"/>
    <w:rsid w:val="00EC3D84"/>
    <w:rsid w:val="00EC3DE9"/>
    <w:rsid w:val="00EC3E53"/>
    <w:rsid w:val="00EC3FBA"/>
    <w:rsid w:val="00EC404E"/>
    <w:rsid w:val="00EC407F"/>
    <w:rsid w:val="00EC4121"/>
    <w:rsid w:val="00EC42C4"/>
    <w:rsid w:val="00EC45B1"/>
    <w:rsid w:val="00EC45B9"/>
    <w:rsid w:val="00EC45DD"/>
    <w:rsid w:val="00EC475A"/>
    <w:rsid w:val="00EC4796"/>
    <w:rsid w:val="00EC47C9"/>
    <w:rsid w:val="00EC4878"/>
    <w:rsid w:val="00EC490A"/>
    <w:rsid w:val="00EC498B"/>
    <w:rsid w:val="00EC49A1"/>
    <w:rsid w:val="00EC49E9"/>
    <w:rsid w:val="00EC4ABD"/>
    <w:rsid w:val="00EC4AC7"/>
    <w:rsid w:val="00EC4C12"/>
    <w:rsid w:val="00EC4C74"/>
    <w:rsid w:val="00EC4DAE"/>
    <w:rsid w:val="00EC4E05"/>
    <w:rsid w:val="00EC507E"/>
    <w:rsid w:val="00EC5084"/>
    <w:rsid w:val="00EC512D"/>
    <w:rsid w:val="00EC51F5"/>
    <w:rsid w:val="00EC52F1"/>
    <w:rsid w:val="00EC54A3"/>
    <w:rsid w:val="00EC569F"/>
    <w:rsid w:val="00EC56F1"/>
    <w:rsid w:val="00EC5830"/>
    <w:rsid w:val="00EC5911"/>
    <w:rsid w:val="00EC5955"/>
    <w:rsid w:val="00EC59BF"/>
    <w:rsid w:val="00EC59DD"/>
    <w:rsid w:val="00EC5A59"/>
    <w:rsid w:val="00EC5B38"/>
    <w:rsid w:val="00EC5CDC"/>
    <w:rsid w:val="00EC5D52"/>
    <w:rsid w:val="00EC5E5E"/>
    <w:rsid w:val="00EC5F66"/>
    <w:rsid w:val="00EC6027"/>
    <w:rsid w:val="00EC6046"/>
    <w:rsid w:val="00EC618C"/>
    <w:rsid w:val="00EC63FF"/>
    <w:rsid w:val="00EC6510"/>
    <w:rsid w:val="00EC657F"/>
    <w:rsid w:val="00EC6630"/>
    <w:rsid w:val="00EC664B"/>
    <w:rsid w:val="00EC6733"/>
    <w:rsid w:val="00EC67CA"/>
    <w:rsid w:val="00EC6810"/>
    <w:rsid w:val="00EC6837"/>
    <w:rsid w:val="00EC684B"/>
    <w:rsid w:val="00EC688A"/>
    <w:rsid w:val="00EC689E"/>
    <w:rsid w:val="00EC68DC"/>
    <w:rsid w:val="00EC698A"/>
    <w:rsid w:val="00EC69F1"/>
    <w:rsid w:val="00EC6A86"/>
    <w:rsid w:val="00EC6AC3"/>
    <w:rsid w:val="00EC6B4A"/>
    <w:rsid w:val="00EC7004"/>
    <w:rsid w:val="00EC7093"/>
    <w:rsid w:val="00EC70BE"/>
    <w:rsid w:val="00EC7175"/>
    <w:rsid w:val="00EC7182"/>
    <w:rsid w:val="00EC71CF"/>
    <w:rsid w:val="00EC71F2"/>
    <w:rsid w:val="00EC728B"/>
    <w:rsid w:val="00EC74B9"/>
    <w:rsid w:val="00EC7554"/>
    <w:rsid w:val="00EC75BA"/>
    <w:rsid w:val="00EC7650"/>
    <w:rsid w:val="00EC770C"/>
    <w:rsid w:val="00EC77F1"/>
    <w:rsid w:val="00EC77F7"/>
    <w:rsid w:val="00EC7812"/>
    <w:rsid w:val="00EC7822"/>
    <w:rsid w:val="00EC7843"/>
    <w:rsid w:val="00EC7868"/>
    <w:rsid w:val="00EC7880"/>
    <w:rsid w:val="00EC7907"/>
    <w:rsid w:val="00EC79E5"/>
    <w:rsid w:val="00EC7A18"/>
    <w:rsid w:val="00EC7AD6"/>
    <w:rsid w:val="00EC7ADB"/>
    <w:rsid w:val="00EC7BCA"/>
    <w:rsid w:val="00EC7BFD"/>
    <w:rsid w:val="00EC7C68"/>
    <w:rsid w:val="00EC7CB6"/>
    <w:rsid w:val="00EC7D54"/>
    <w:rsid w:val="00EC7DF6"/>
    <w:rsid w:val="00EC7ED2"/>
    <w:rsid w:val="00EC7F07"/>
    <w:rsid w:val="00EC7F6B"/>
    <w:rsid w:val="00ED0089"/>
    <w:rsid w:val="00ED00CD"/>
    <w:rsid w:val="00ED01E9"/>
    <w:rsid w:val="00ED0222"/>
    <w:rsid w:val="00ED023B"/>
    <w:rsid w:val="00ED0498"/>
    <w:rsid w:val="00ED05D7"/>
    <w:rsid w:val="00ED0743"/>
    <w:rsid w:val="00ED079C"/>
    <w:rsid w:val="00ED07AD"/>
    <w:rsid w:val="00ED07B1"/>
    <w:rsid w:val="00ED081C"/>
    <w:rsid w:val="00ED0887"/>
    <w:rsid w:val="00ED0A03"/>
    <w:rsid w:val="00ED0AED"/>
    <w:rsid w:val="00ED0B3B"/>
    <w:rsid w:val="00ED0BC5"/>
    <w:rsid w:val="00ED0C8C"/>
    <w:rsid w:val="00ED0F2E"/>
    <w:rsid w:val="00ED0FE4"/>
    <w:rsid w:val="00ED1156"/>
    <w:rsid w:val="00ED1161"/>
    <w:rsid w:val="00ED1234"/>
    <w:rsid w:val="00ED13BD"/>
    <w:rsid w:val="00ED1466"/>
    <w:rsid w:val="00ED14D7"/>
    <w:rsid w:val="00ED1565"/>
    <w:rsid w:val="00ED1685"/>
    <w:rsid w:val="00ED16EC"/>
    <w:rsid w:val="00ED175D"/>
    <w:rsid w:val="00ED17B0"/>
    <w:rsid w:val="00ED17D0"/>
    <w:rsid w:val="00ED1894"/>
    <w:rsid w:val="00ED1A4A"/>
    <w:rsid w:val="00ED1C0A"/>
    <w:rsid w:val="00ED1E26"/>
    <w:rsid w:val="00ED1E2D"/>
    <w:rsid w:val="00ED1E7B"/>
    <w:rsid w:val="00ED1EAF"/>
    <w:rsid w:val="00ED1F3A"/>
    <w:rsid w:val="00ED1F78"/>
    <w:rsid w:val="00ED1FAC"/>
    <w:rsid w:val="00ED2058"/>
    <w:rsid w:val="00ED205D"/>
    <w:rsid w:val="00ED206F"/>
    <w:rsid w:val="00ED207A"/>
    <w:rsid w:val="00ED20C9"/>
    <w:rsid w:val="00ED21FE"/>
    <w:rsid w:val="00ED22D8"/>
    <w:rsid w:val="00ED2306"/>
    <w:rsid w:val="00ED2360"/>
    <w:rsid w:val="00ED2411"/>
    <w:rsid w:val="00ED24DD"/>
    <w:rsid w:val="00ED259B"/>
    <w:rsid w:val="00ED25B1"/>
    <w:rsid w:val="00ED269E"/>
    <w:rsid w:val="00ED26A7"/>
    <w:rsid w:val="00ED27C4"/>
    <w:rsid w:val="00ED2899"/>
    <w:rsid w:val="00ED28DD"/>
    <w:rsid w:val="00ED2908"/>
    <w:rsid w:val="00ED2984"/>
    <w:rsid w:val="00ED2A50"/>
    <w:rsid w:val="00ED2AC0"/>
    <w:rsid w:val="00ED2B1F"/>
    <w:rsid w:val="00ED2B2C"/>
    <w:rsid w:val="00ED2B93"/>
    <w:rsid w:val="00ED2BDC"/>
    <w:rsid w:val="00ED2C9F"/>
    <w:rsid w:val="00ED2D3B"/>
    <w:rsid w:val="00ED2E98"/>
    <w:rsid w:val="00ED2FC9"/>
    <w:rsid w:val="00ED2FCE"/>
    <w:rsid w:val="00ED2FF0"/>
    <w:rsid w:val="00ED32C3"/>
    <w:rsid w:val="00ED36CE"/>
    <w:rsid w:val="00ED37CF"/>
    <w:rsid w:val="00ED3CD4"/>
    <w:rsid w:val="00ED3CE7"/>
    <w:rsid w:val="00ED3D0E"/>
    <w:rsid w:val="00ED3D5E"/>
    <w:rsid w:val="00ED3DF4"/>
    <w:rsid w:val="00ED3E05"/>
    <w:rsid w:val="00ED3E4F"/>
    <w:rsid w:val="00ED3EBB"/>
    <w:rsid w:val="00ED3EEB"/>
    <w:rsid w:val="00ED3FDB"/>
    <w:rsid w:val="00ED40C7"/>
    <w:rsid w:val="00ED40ED"/>
    <w:rsid w:val="00ED41BC"/>
    <w:rsid w:val="00ED41D3"/>
    <w:rsid w:val="00ED4306"/>
    <w:rsid w:val="00ED44CE"/>
    <w:rsid w:val="00ED4541"/>
    <w:rsid w:val="00ED45F0"/>
    <w:rsid w:val="00ED46AD"/>
    <w:rsid w:val="00ED46C7"/>
    <w:rsid w:val="00ED4779"/>
    <w:rsid w:val="00ED479F"/>
    <w:rsid w:val="00ED4864"/>
    <w:rsid w:val="00ED48DB"/>
    <w:rsid w:val="00ED48EF"/>
    <w:rsid w:val="00ED4912"/>
    <w:rsid w:val="00ED4A23"/>
    <w:rsid w:val="00ED4AE4"/>
    <w:rsid w:val="00ED4AF6"/>
    <w:rsid w:val="00ED4B8D"/>
    <w:rsid w:val="00ED4E69"/>
    <w:rsid w:val="00ED4F77"/>
    <w:rsid w:val="00ED4F8C"/>
    <w:rsid w:val="00ED4FB4"/>
    <w:rsid w:val="00ED5175"/>
    <w:rsid w:val="00ED51F6"/>
    <w:rsid w:val="00ED521F"/>
    <w:rsid w:val="00ED541F"/>
    <w:rsid w:val="00ED542C"/>
    <w:rsid w:val="00ED5490"/>
    <w:rsid w:val="00ED54BC"/>
    <w:rsid w:val="00ED54EF"/>
    <w:rsid w:val="00ED57CE"/>
    <w:rsid w:val="00ED5957"/>
    <w:rsid w:val="00ED5964"/>
    <w:rsid w:val="00ED59C1"/>
    <w:rsid w:val="00ED59CD"/>
    <w:rsid w:val="00ED5A22"/>
    <w:rsid w:val="00ED5A54"/>
    <w:rsid w:val="00ED5D70"/>
    <w:rsid w:val="00ED5DDA"/>
    <w:rsid w:val="00ED5EA7"/>
    <w:rsid w:val="00ED5FBB"/>
    <w:rsid w:val="00ED602E"/>
    <w:rsid w:val="00ED6074"/>
    <w:rsid w:val="00ED607B"/>
    <w:rsid w:val="00ED639A"/>
    <w:rsid w:val="00ED6594"/>
    <w:rsid w:val="00ED65C8"/>
    <w:rsid w:val="00ED65F8"/>
    <w:rsid w:val="00ED663B"/>
    <w:rsid w:val="00ED6784"/>
    <w:rsid w:val="00ED67E3"/>
    <w:rsid w:val="00ED6816"/>
    <w:rsid w:val="00ED68B9"/>
    <w:rsid w:val="00ED6B6E"/>
    <w:rsid w:val="00ED6C33"/>
    <w:rsid w:val="00ED6E38"/>
    <w:rsid w:val="00ED6F71"/>
    <w:rsid w:val="00ED6F8F"/>
    <w:rsid w:val="00ED7034"/>
    <w:rsid w:val="00ED71F0"/>
    <w:rsid w:val="00ED7209"/>
    <w:rsid w:val="00ED72DC"/>
    <w:rsid w:val="00ED732C"/>
    <w:rsid w:val="00ED75E0"/>
    <w:rsid w:val="00ED7623"/>
    <w:rsid w:val="00ED7735"/>
    <w:rsid w:val="00ED77FB"/>
    <w:rsid w:val="00ED7954"/>
    <w:rsid w:val="00ED79FA"/>
    <w:rsid w:val="00ED7A89"/>
    <w:rsid w:val="00ED7AD6"/>
    <w:rsid w:val="00ED7ADC"/>
    <w:rsid w:val="00ED7B30"/>
    <w:rsid w:val="00ED7BB3"/>
    <w:rsid w:val="00ED7BC8"/>
    <w:rsid w:val="00ED7C0E"/>
    <w:rsid w:val="00ED7C87"/>
    <w:rsid w:val="00ED7D82"/>
    <w:rsid w:val="00ED7ED0"/>
    <w:rsid w:val="00ED7FB3"/>
    <w:rsid w:val="00ED7FF0"/>
    <w:rsid w:val="00EE0043"/>
    <w:rsid w:val="00EE011F"/>
    <w:rsid w:val="00EE01BE"/>
    <w:rsid w:val="00EE02B2"/>
    <w:rsid w:val="00EE0302"/>
    <w:rsid w:val="00EE04E5"/>
    <w:rsid w:val="00EE04EB"/>
    <w:rsid w:val="00EE0727"/>
    <w:rsid w:val="00EE0851"/>
    <w:rsid w:val="00EE08D4"/>
    <w:rsid w:val="00EE0904"/>
    <w:rsid w:val="00EE094A"/>
    <w:rsid w:val="00EE0D5A"/>
    <w:rsid w:val="00EE0DBD"/>
    <w:rsid w:val="00EE0E27"/>
    <w:rsid w:val="00EE111B"/>
    <w:rsid w:val="00EE11B8"/>
    <w:rsid w:val="00EE132D"/>
    <w:rsid w:val="00EE1352"/>
    <w:rsid w:val="00EE14C5"/>
    <w:rsid w:val="00EE153D"/>
    <w:rsid w:val="00EE1595"/>
    <w:rsid w:val="00EE164B"/>
    <w:rsid w:val="00EE1729"/>
    <w:rsid w:val="00EE1783"/>
    <w:rsid w:val="00EE1864"/>
    <w:rsid w:val="00EE18D0"/>
    <w:rsid w:val="00EE1A43"/>
    <w:rsid w:val="00EE1C2D"/>
    <w:rsid w:val="00EE1CCB"/>
    <w:rsid w:val="00EE1DAD"/>
    <w:rsid w:val="00EE1DBD"/>
    <w:rsid w:val="00EE1DE2"/>
    <w:rsid w:val="00EE1ED7"/>
    <w:rsid w:val="00EE2004"/>
    <w:rsid w:val="00EE202D"/>
    <w:rsid w:val="00EE20C8"/>
    <w:rsid w:val="00EE21A6"/>
    <w:rsid w:val="00EE229D"/>
    <w:rsid w:val="00EE235A"/>
    <w:rsid w:val="00EE23BD"/>
    <w:rsid w:val="00EE2563"/>
    <w:rsid w:val="00EE2646"/>
    <w:rsid w:val="00EE26D0"/>
    <w:rsid w:val="00EE2777"/>
    <w:rsid w:val="00EE2881"/>
    <w:rsid w:val="00EE2883"/>
    <w:rsid w:val="00EE28F6"/>
    <w:rsid w:val="00EE29CE"/>
    <w:rsid w:val="00EE2A2A"/>
    <w:rsid w:val="00EE2A50"/>
    <w:rsid w:val="00EE2AB5"/>
    <w:rsid w:val="00EE2AD4"/>
    <w:rsid w:val="00EE2B55"/>
    <w:rsid w:val="00EE2B82"/>
    <w:rsid w:val="00EE2D6F"/>
    <w:rsid w:val="00EE3108"/>
    <w:rsid w:val="00EE31AA"/>
    <w:rsid w:val="00EE32E5"/>
    <w:rsid w:val="00EE32F0"/>
    <w:rsid w:val="00EE3337"/>
    <w:rsid w:val="00EE3380"/>
    <w:rsid w:val="00EE33EC"/>
    <w:rsid w:val="00EE3443"/>
    <w:rsid w:val="00EE3543"/>
    <w:rsid w:val="00EE3571"/>
    <w:rsid w:val="00EE3686"/>
    <w:rsid w:val="00EE3729"/>
    <w:rsid w:val="00EE37B7"/>
    <w:rsid w:val="00EE385C"/>
    <w:rsid w:val="00EE3A5A"/>
    <w:rsid w:val="00EE3D60"/>
    <w:rsid w:val="00EE3DFA"/>
    <w:rsid w:val="00EE3E60"/>
    <w:rsid w:val="00EE3EDD"/>
    <w:rsid w:val="00EE4020"/>
    <w:rsid w:val="00EE4107"/>
    <w:rsid w:val="00EE4238"/>
    <w:rsid w:val="00EE4269"/>
    <w:rsid w:val="00EE42C7"/>
    <w:rsid w:val="00EE432E"/>
    <w:rsid w:val="00EE43D7"/>
    <w:rsid w:val="00EE447E"/>
    <w:rsid w:val="00EE4513"/>
    <w:rsid w:val="00EE4616"/>
    <w:rsid w:val="00EE4627"/>
    <w:rsid w:val="00EE4651"/>
    <w:rsid w:val="00EE47C9"/>
    <w:rsid w:val="00EE47ED"/>
    <w:rsid w:val="00EE47FA"/>
    <w:rsid w:val="00EE4886"/>
    <w:rsid w:val="00EE49EB"/>
    <w:rsid w:val="00EE4A41"/>
    <w:rsid w:val="00EE4B24"/>
    <w:rsid w:val="00EE4B8D"/>
    <w:rsid w:val="00EE4BAB"/>
    <w:rsid w:val="00EE4BE9"/>
    <w:rsid w:val="00EE4C4B"/>
    <w:rsid w:val="00EE4D69"/>
    <w:rsid w:val="00EE4D6C"/>
    <w:rsid w:val="00EE4E6E"/>
    <w:rsid w:val="00EE4F2B"/>
    <w:rsid w:val="00EE4F3E"/>
    <w:rsid w:val="00EE5052"/>
    <w:rsid w:val="00EE50BB"/>
    <w:rsid w:val="00EE5125"/>
    <w:rsid w:val="00EE5183"/>
    <w:rsid w:val="00EE51E5"/>
    <w:rsid w:val="00EE5204"/>
    <w:rsid w:val="00EE5331"/>
    <w:rsid w:val="00EE53B4"/>
    <w:rsid w:val="00EE53F3"/>
    <w:rsid w:val="00EE54F0"/>
    <w:rsid w:val="00EE551E"/>
    <w:rsid w:val="00EE55BD"/>
    <w:rsid w:val="00EE5607"/>
    <w:rsid w:val="00EE57A3"/>
    <w:rsid w:val="00EE57B6"/>
    <w:rsid w:val="00EE582B"/>
    <w:rsid w:val="00EE58EE"/>
    <w:rsid w:val="00EE5936"/>
    <w:rsid w:val="00EE5A40"/>
    <w:rsid w:val="00EE5AC8"/>
    <w:rsid w:val="00EE5C06"/>
    <w:rsid w:val="00EE5D18"/>
    <w:rsid w:val="00EE5D90"/>
    <w:rsid w:val="00EE5EF5"/>
    <w:rsid w:val="00EE600D"/>
    <w:rsid w:val="00EE609E"/>
    <w:rsid w:val="00EE6178"/>
    <w:rsid w:val="00EE6292"/>
    <w:rsid w:val="00EE62A2"/>
    <w:rsid w:val="00EE631E"/>
    <w:rsid w:val="00EE639C"/>
    <w:rsid w:val="00EE63F5"/>
    <w:rsid w:val="00EE643B"/>
    <w:rsid w:val="00EE64B2"/>
    <w:rsid w:val="00EE65F1"/>
    <w:rsid w:val="00EE6604"/>
    <w:rsid w:val="00EE663B"/>
    <w:rsid w:val="00EE663E"/>
    <w:rsid w:val="00EE6692"/>
    <w:rsid w:val="00EE66BB"/>
    <w:rsid w:val="00EE67D7"/>
    <w:rsid w:val="00EE698C"/>
    <w:rsid w:val="00EE6B52"/>
    <w:rsid w:val="00EE6B70"/>
    <w:rsid w:val="00EE6CF4"/>
    <w:rsid w:val="00EE6D27"/>
    <w:rsid w:val="00EE7087"/>
    <w:rsid w:val="00EE732C"/>
    <w:rsid w:val="00EE73E6"/>
    <w:rsid w:val="00EE745F"/>
    <w:rsid w:val="00EE7519"/>
    <w:rsid w:val="00EE75AA"/>
    <w:rsid w:val="00EE75E6"/>
    <w:rsid w:val="00EE7689"/>
    <w:rsid w:val="00EE76EC"/>
    <w:rsid w:val="00EE79DB"/>
    <w:rsid w:val="00EE7A02"/>
    <w:rsid w:val="00EE7A18"/>
    <w:rsid w:val="00EE7A82"/>
    <w:rsid w:val="00EE7A97"/>
    <w:rsid w:val="00EE7AFB"/>
    <w:rsid w:val="00EE7B17"/>
    <w:rsid w:val="00EE7BBD"/>
    <w:rsid w:val="00EE7C0B"/>
    <w:rsid w:val="00EE7C9C"/>
    <w:rsid w:val="00EE7D4F"/>
    <w:rsid w:val="00EE7DFC"/>
    <w:rsid w:val="00EE7EB9"/>
    <w:rsid w:val="00EF013E"/>
    <w:rsid w:val="00EF016D"/>
    <w:rsid w:val="00EF017B"/>
    <w:rsid w:val="00EF01E3"/>
    <w:rsid w:val="00EF0208"/>
    <w:rsid w:val="00EF0216"/>
    <w:rsid w:val="00EF0259"/>
    <w:rsid w:val="00EF0287"/>
    <w:rsid w:val="00EF0463"/>
    <w:rsid w:val="00EF0489"/>
    <w:rsid w:val="00EF056C"/>
    <w:rsid w:val="00EF0572"/>
    <w:rsid w:val="00EF0589"/>
    <w:rsid w:val="00EF05CB"/>
    <w:rsid w:val="00EF05D2"/>
    <w:rsid w:val="00EF0780"/>
    <w:rsid w:val="00EF080C"/>
    <w:rsid w:val="00EF0850"/>
    <w:rsid w:val="00EF0851"/>
    <w:rsid w:val="00EF0869"/>
    <w:rsid w:val="00EF0956"/>
    <w:rsid w:val="00EF097F"/>
    <w:rsid w:val="00EF09B4"/>
    <w:rsid w:val="00EF0A37"/>
    <w:rsid w:val="00EF0A4E"/>
    <w:rsid w:val="00EF0C15"/>
    <w:rsid w:val="00EF0CFC"/>
    <w:rsid w:val="00EF0DAF"/>
    <w:rsid w:val="00EF0E21"/>
    <w:rsid w:val="00EF100A"/>
    <w:rsid w:val="00EF1233"/>
    <w:rsid w:val="00EF1297"/>
    <w:rsid w:val="00EF145E"/>
    <w:rsid w:val="00EF1547"/>
    <w:rsid w:val="00EF158A"/>
    <w:rsid w:val="00EF166D"/>
    <w:rsid w:val="00EF170D"/>
    <w:rsid w:val="00EF1761"/>
    <w:rsid w:val="00EF1AB8"/>
    <w:rsid w:val="00EF1D00"/>
    <w:rsid w:val="00EF1D7F"/>
    <w:rsid w:val="00EF1DF1"/>
    <w:rsid w:val="00EF1E8F"/>
    <w:rsid w:val="00EF1EC6"/>
    <w:rsid w:val="00EF1F79"/>
    <w:rsid w:val="00EF1F8C"/>
    <w:rsid w:val="00EF20E6"/>
    <w:rsid w:val="00EF215F"/>
    <w:rsid w:val="00EF21AB"/>
    <w:rsid w:val="00EF21C7"/>
    <w:rsid w:val="00EF2209"/>
    <w:rsid w:val="00EF22F2"/>
    <w:rsid w:val="00EF2402"/>
    <w:rsid w:val="00EF268A"/>
    <w:rsid w:val="00EF271C"/>
    <w:rsid w:val="00EF2731"/>
    <w:rsid w:val="00EF276D"/>
    <w:rsid w:val="00EF278E"/>
    <w:rsid w:val="00EF27E5"/>
    <w:rsid w:val="00EF28F2"/>
    <w:rsid w:val="00EF295C"/>
    <w:rsid w:val="00EF2982"/>
    <w:rsid w:val="00EF29DB"/>
    <w:rsid w:val="00EF2F29"/>
    <w:rsid w:val="00EF3063"/>
    <w:rsid w:val="00EF30C9"/>
    <w:rsid w:val="00EF30E9"/>
    <w:rsid w:val="00EF31B2"/>
    <w:rsid w:val="00EF33BF"/>
    <w:rsid w:val="00EF34C1"/>
    <w:rsid w:val="00EF3500"/>
    <w:rsid w:val="00EF3582"/>
    <w:rsid w:val="00EF3587"/>
    <w:rsid w:val="00EF35DA"/>
    <w:rsid w:val="00EF3707"/>
    <w:rsid w:val="00EF38EF"/>
    <w:rsid w:val="00EF3B88"/>
    <w:rsid w:val="00EF3BFC"/>
    <w:rsid w:val="00EF3CD3"/>
    <w:rsid w:val="00EF3D41"/>
    <w:rsid w:val="00EF3D8F"/>
    <w:rsid w:val="00EF3DC9"/>
    <w:rsid w:val="00EF3E02"/>
    <w:rsid w:val="00EF3E18"/>
    <w:rsid w:val="00EF3E70"/>
    <w:rsid w:val="00EF4099"/>
    <w:rsid w:val="00EF41BB"/>
    <w:rsid w:val="00EF41F0"/>
    <w:rsid w:val="00EF42D2"/>
    <w:rsid w:val="00EF42EA"/>
    <w:rsid w:val="00EF4310"/>
    <w:rsid w:val="00EF43FC"/>
    <w:rsid w:val="00EF44C0"/>
    <w:rsid w:val="00EF471C"/>
    <w:rsid w:val="00EF4739"/>
    <w:rsid w:val="00EF485A"/>
    <w:rsid w:val="00EF4896"/>
    <w:rsid w:val="00EF48AD"/>
    <w:rsid w:val="00EF48FE"/>
    <w:rsid w:val="00EF4918"/>
    <w:rsid w:val="00EF4923"/>
    <w:rsid w:val="00EF4A63"/>
    <w:rsid w:val="00EF4A73"/>
    <w:rsid w:val="00EF4AE5"/>
    <w:rsid w:val="00EF4B52"/>
    <w:rsid w:val="00EF4DE1"/>
    <w:rsid w:val="00EF4E6C"/>
    <w:rsid w:val="00EF4EBE"/>
    <w:rsid w:val="00EF4F2F"/>
    <w:rsid w:val="00EF4F35"/>
    <w:rsid w:val="00EF4FBE"/>
    <w:rsid w:val="00EF4FDA"/>
    <w:rsid w:val="00EF4FE1"/>
    <w:rsid w:val="00EF51C0"/>
    <w:rsid w:val="00EF5280"/>
    <w:rsid w:val="00EF529D"/>
    <w:rsid w:val="00EF52C3"/>
    <w:rsid w:val="00EF5352"/>
    <w:rsid w:val="00EF53ED"/>
    <w:rsid w:val="00EF542B"/>
    <w:rsid w:val="00EF54D4"/>
    <w:rsid w:val="00EF559F"/>
    <w:rsid w:val="00EF56BF"/>
    <w:rsid w:val="00EF5881"/>
    <w:rsid w:val="00EF5C57"/>
    <w:rsid w:val="00EF5C7C"/>
    <w:rsid w:val="00EF5D5B"/>
    <w:rsid w:val="00EF5D90"/>
    <w:rsid w:val="00EF5F5D"/>
    <w:rsid w:val="00EF6431"/>
    <w:rsid w:val="00EF6493"/>
    <w:rsid w:val="00EF64E0"/>
    <w:rsid w:val="00EF6892"/>
    <w:rsid w:val="00EF68E7"/>
    <w:rsid w:val="00EF68FB"/>
    <w:rsid w:val="00EF69D3"/>
    <w:rsid w:val="00EF69FE"/>
    <w:rsid w:val="00EF6B9E"/>
    <w:rsid w:val="00EF6C18"/>
    <w:rsid w:val="00EF6C44"/>
    <w:rsid w:val="00EF6CAD"/>
    <w:rsid w:val="00EF6DB7"/>
    <w:rsid w:val="00EF6F9E"/>
    <w:rsid w:val="00EF701E"/>
    <w:rsid w:val="00EF709F"/>
    <w:rsid w:val="00EF727C"/>
    <w:rsid w:val="00EF7322"/>
    <w:rsid w:val="00EF737F"/>
    <w:rsid w:val="00EF7455"/>
    <w:rsid w:val="00EF7493"/>
    <w:rsid w:val="00EF7551"/>
    <w:rsid w:val="00EF7574"/>
    <w:rsid w:val="00EF7582"/>
    <w:rsid w:val="00EF760C"/>
    <w:rsid w:val="00EF7742"/>
    <w:rsid w:val="00EF7763"/>
    <w:rsid w:val="00EF7770"/>
    <w:rsid w:val="00EF7797"/>
    <w:rsid w:val="00EF78D4"/>
    <w:rsid w:val="00EF78DF"/>
    <w:rsid w:val="00EF78F7"/>
    <w:rsid w:val="00EF798A"/>
    <w:rsid w:val="00EF79D9"/>
    <w:rsid w:val="00EF7B73"/>
    <w:rsid w:val="00EF7B76"/>
    <w:rsid w:val="00EF7BCC"/>
    <w:rsid w:val="00EF7CF6"/>
    <w:rsid w:val="00EF7D2F"/>
    <w:rsid w:val="00EF7D96"/>
    <w:rsid w:val="00EF7DFA"/>
    <w:rsid w:val="00EF7F6E"/>
    <w:rsid w:val="00EF7FE2"/>
    <w:rsid w:val="00F00055"/>
    <w:rsid w:val="00F000D4"/>
    <w:rsid w:val="00F00266"/>
    <w:rsid w:val="00F00268"/>
    <w:rsid w:val="00F00376"/>
    <w:rsid w:val="00F004A6"/>
    <w:rsid w:val="00F00589"/>
    <w:rsid w:val="00F005EC"/>
    <w:rsid w:val="00F0062C"/>
    <w:rsid w:val="00F006A0"/>
    <w:rsid w:val="00F006F3"/>
    <w:rsid w:val="00F00744"/>
    <w:rsid w:val="00F0090B"/>
    <w:rsid w:val="00F0091C"/>
    <w:rsid w:val="00F00922"/>
    <w:rsid w:val="00F00B9D"/>
    <w:rsid w:val="00F00BC7"/>
    <w:rsid w:val="00F00BE5"/>
    <w:rsid w:val="00F00E23"/>
    <w:rsid w:val="00F00F1E"/>
    <w:rsid w:val="00F00FE6"/>
    <w:rsid w:val="00F01127"/>
    <w:rsid w:val="00F01130"/>
    <w:rsid w:val="00F011CF"/>
    <w:rsid w:val="00F012EB"/>
    <w:rsid w:val="00F0130D"/>
    <w:rsid w:val="00F01416"/>
    <w:rsid w:val="00F0144A"/>
    <w:rsid w:val="00F0148D"/>
    <w:rsid w:val="00F01558"/>
    <w:rsid w:val="00F015BC"/>
    <w:rsid w:val="00F015C0"/>
    <w:rsid w:val="00F015C1"/>
    <w:rsid w:val="00F017AA"/>
    <w:rsid w:val="00F018EF"/>
    <w:rsid w:val="00F01993"/>
    <w:rsid w:val="00F01A4E"/>
    <w:rsid w:val="00F01A57"/>
    <w:rsid w:val="00F01A6F"/>
    <w:rsid w:val="00F01B84"/>
    <w:rsid w:val="00F01BB2"/>
    <w:rsid w:val="00F01E47"/>
    <w:rsid w:val="00F01E9E"/>
    <w:rsid w:val="00F01F04"/>
    <w:rsid w:val="00F01F24"/>
    <w:rsid w:val="00F02083"/>
    <w:rsid w:val="00F02160"/>
    <w:rsid w:val="00F021AD"/>
    <w:rsid w:val="00F02226"/>
    <w:rsid w:val="00F02232"/>
    <w:rsid w:val="00F025BC"/>
    <w:rsid w:val="00F025D1"/>
    <w:rsid w:val="00F02665"/>
    <w:rsid w:val="00F026B5"/>
    <w:rsid w:val="00F027A2"/>
    <w:rsid w:val="00F027F4"/>
    <w:rsid w:val="00F0286F"/>
    <w:rsid w:val="00F0288D"/>
    <w:rsid w:val="00F02919"/>
    <w:rsid w:val="00F029A0"/>
    <w:rsid w:val="00F02A9B"/>
    <w:rsid w:val="00F02AB3"/>
    <w:rsid w:val="00F02C89"/>
    <w:rsid w:val="00F02F33"/>
    <w:rsid w:val="00F03176"/>
    <w:rsid w:val="00F03183"/>
    <w:rsid w:val="00F031D4"/>
    <w:rsid w:val="00F0328E"/>
    <w:rsid w:val="00F032C9"/>
    <w:rsid w:val="00F032E3"/>
    <w:rsid w:val="00F0331D"/>
    <w:rsid w:val="00F0346C"/>
    <w:rsid w:val="00F0351C"/>
    <w:rsid w:val="00F0353C"/>
    <w:rsid w:val="00F0357B"/>
    <w:rsid w:val="00F036E6"/>
    <w:rsid w:val="00F03725"/>
    <w:rsid w:val="00F0383A"/>
    <w:rsid w:val="00F038A1"/>
    <w:rsid w:val="00F038E1"/>
    <w:rsid w:val="00F03963"/>
    <w:rsid w:val="00F03AA4"/>
    <w:rsid w:val="00F03B38"/>
    <w:rsid w:val="00F03B4A"/>
    <w:rsid w:val="00F03B9F"/>
    <w:rsid w:val="00F03C53"/>
    <w:rsid w:val="00F03CE1"/>
    <w:rsid w:val="00F03CED"/>
    <w:rsid w:val="00F03EAF"/>
    <w:rsid w:val="00F04043"/>
    <w:rsid w:val="00F0413D"/>
    <w:rsid w:val="00F0436D"/>
    <w:rsid w:val="00F04499"/>
    <w:rsid w:val="00F045C1"/>
    <w:rsid w:val="00F04792"/>
    <w:rsid w:val="00F047B7"/>
    <w:rsid w:val="00F047C5"/>
    <w:rsid w:val="00F04890"/>
    <w:rsid w:val="00F049B4"/>
    <w:rsid w:val="00F04ACA"/>
    <w:rsid w:val="00F04F4D"/>
    <w:rsid w:val="00F04F75"/>
    <w:rsid w:val="00F04FC5"/>
    <w:rsid w:val="00F04FCA"/>
    <w:rsid w:val="00F04FEA"/>
    <w:rsid w:val="00F050D5"/>
    <w:rsid w:val="00F051F0"/>
    <w:rsid w:val="00F0525C"/>
    <w:rsid w:val="00F053A4"/>
    <w:rsid w:val="00F054A4"/>
    <w:rsid w:val="00F054B3"/>
    <w:rsid w:val="00F05528"/>
    <w:rsid w:val="00F055EA"/>
    <w:rsid w:val="00F056FD"/>
    <w:rsid w:val="00F058DC"/>
    <w:rsid w:val="00F05962"/>
    <w:rsid w:val="00F05A6B"/>
    <w:rsid w:val="00F05B83"/>
    <w:rsid w:val="00F05BF3"/>
    <w:rsid w:val="00F05C77"/>
    <w:rsid w:val="00F05CE7"/>
    <w:rsid w:val="00F05EE4"/>
    <w:rsid w:val="00F05F5A"/>
    <w:rsid w:val="00F05FFC"/>
    <w:rsid w:val="00F0606C"/>
    <w:rsid w:val="00F06113"/>
    <w:rsid w:val="00F0611C"/>
    <w:rsid w:val="00F0612E"/>
    <w:rsid w:val="00F06232"/>
    <w:rsid w:val="00F06254"/>
    <w:rsid w:val="00F06458"/>
    <w:rsid w:val="00F0649F"/>
    <w:rsid w:val="00F0660D"/>
    <w:rsid w:val="00F0669E"/>
    <w:rsid w:val="00F066E4"/>
    <w:rsid w:val="00F0674A"/>
    <w:rsid w:val="00F06782"/>
    <w:rsid w:val="00F0683D"/>
    <w:rsid w:val="00F06855"/>
    <w:rsid w:val="00F068F4"/>
    <w:rsid w:val="00F068FD"/>
    <w:rsid w:val="00F069B6"/>
    <w:rsid w:val="00F06A70"/>
    <w:rsid w:val="00F06B70"/>
    <w:rsid w:val="00F06B72"/>
    <w:rsid w:val="00F06BA3"/>
    <w:rsid w:val="00F06C4C"/>
    <w:rsid w:val="00F06CB4"/>
    <w:rsid w:val="00F06CD2"/>
    <w:rsid w:val="00F06E4E"/>
    <w:rsid w:val="00F06ED7"/>
    <w:rsid w:val="00F06F5E"/>
    <w:rsid w:val="00F07082"/>
    <w:rsid w:val="00F07177"/>
    <w:rsid w:val="00F07198"/>
    <w:rsid w:val="00F071BB"/>
    <w:rsid w:val="00F0725B"/>
    <w:rsid w:val="00F0726D"/>
    <w:rsid w:val="00F0748F"/>
    <w:rsid w:val="00F0750B"/>
    <w:rsid w:val="00F0751A"/>
    <w:rsid w:val="00F0752F"/>
    <w:rsid w:val="00F0757C"/>
    <w:rsid w:val="00F07596"/>
    <w:rsid w:val="00F0776B"/>
    <w:rsid w:val="00F07783"/>
    <w:rsid w:val="00F07A86"/>
    <w:rsid w:val="00F07DDB"/>
    <w:rsid w:val="00F07E77"/>
    <w:rsid w:val="00F07F4E"/>
    <w:rsid w:val="00F1002D"/>
    <w:rsid w:val="00F10298"/>
    <w:rsid w:val="00F102A8"/>
    <w:rsid w:val="00F102DD"/>
    <w:rsid w:val="00F102F0"/>
    <w:rsid w:val="00F103C2"/>
    <w:rsid w:val="00F1040F"/>
    <w:rsid w:val="00F10413"/>
    <w:rsid w:val="00F1041C"/>
    <w:rsid w:val="00F10548"/>
    <w:rsid w:val="00F10666"/>
    <w:rsid w:val="00F10803"/>
    <w:rsid w:val="00F1081E"/>
    <w:rsid w:val="00F10902"/>
    <w:rsid w:val="00F109EE"/>
    <w:rsid w:val="00F10A6F"/>
    <w:rsid w:val="00F10AFC"/>
    <w:rsid w:val="00F10B1E"/>
    <w:rsid w:val="00F10D04"/>
    <w:rsid w:val="00F10DD4"/>
    <w:rsid w:val="00F10F51"/>
    <w:rsid w:val="00F11000"/>
    <w:rsid w:val="00F110B9"/>
    <w:rsid w:val="00F110C3"/>
    <w:rsid w:val="00F110F2"/>
    <w:rsid w:val="00F112D7"/>
    <w:rsid w:val="00F1141F"/>
    <w:rsid w:val="00F114A0"/>
    <w:rsid w:val="00F114EB"/>
    <w:rsid w:val="00F11538"/>
    <w:rsid w:val="00F115FC"/>
    <w:rsid w:val="00F11648"/>
    <w:rsid w:val="00F1175E"/>
    <w:rsid w:val="00F1188D"/>
    <w:rsid w:val="00F119C0"/>
    <w:rsid w:val="00F11A5C"/>
    <w:rsid w:val="00F11A66"/>
    <w:rsid w:val="00F11AFD"/>
    <w:rsid w:val="00F11C52"/>
    <w:rsid w:val="00F11D4D"/>
    <w:rsid w:val="00F11D8C"/>
    <w:rsid w:val="00F11EFB"/>
    <w:rsid w:val="00F12048"/>
    <w:rsid w:val="00F121B3"/>
    <w:rsid w:val="00F12239"/>
    <w:rsid w:val="00F123EA"/>
    <w:rsid w:val="00F12423"/>
    <w:rsid w:val="00F124CB"/>
    <w:rsid w:val="00F12524"/>
    <w:rsid w:val="00F12542"/>
    <w:rsid w:val="00F1258D"/>
    <w:rsid w:val="00F1265F"/>
    <w:rsid w:val="00F12706"/>
    <w:rsid w:val="00F127DD"/>
    <w:rsid w:val="00F129D8"/>
    <w:rsid w:val="00F12A83"/>
    <w:rsid w:val="00F12A89"/>
    <w:rsid w:val="00F12A98"/>
    <w:rsid w:val="00F12B37"/>
    <w:rsid w:val="00F12BF6"/>
    <w:rsid w:val="00F12D1F"/>
    <w:rsid w:val="00F12DA6"/>
    <w:rsid w:val="00F12DE9"/>
    <w:rsid w:val="00F12E2B"/>
    <w:rsid w:val="00F13038"/>
    <w:rsid w:val="00F132A3"/>
    <w:rsid w:val="00F132A5"/>
    <w:rsid w:val="00F13398"/>
    <w:rsid w:val="00F133E4"/>
    <w:rsid w:val="00F13541"/>
    <w:rsid w:val="00F139FC"/>
    <w:rsid w:val="00F13BFB"/>
    <w:rsid w:val="00F13C12"/>
    <w:rsid w:val="00F13C34"/>
    <w:rsid w:val="00F13E35"/>
    <w:rsid w:val="00F13EFF"/>
    <w:rsid w:val="00F1403B"/>
    <w:rsid w:val="00F140BA"/>
    <w:rsid w:val="00F1439B"/>
    <w:rsid w:val="00F14407"/>
    <w:rsid w:val="00F1483B"/>
    <w:rsid w:val="00F1486F"/>
    <w:rsid w:val="00F148C9"/>
    <w:rsid w:val="00F14914"/>
    <w:rsid w:val="00F14982"/>
    <w:rsid w:val="00F14B31"/>
    <w:rsid w:val="00F14B8F"/>
    <w:rsid w:val="00F14C4F"/>
    <w:rsid w:val="00F14D49"/>
    <w:rsid w:val="00F14DEC"/>
    <w:rsid w:val="00F14E9A"/>
    <w:rsid w:val="00F14EF6"/>
    <w:rsid w:val="00F15028"/>
    <w:rsid w:val="00F1505F"/>
    <w:rsid w:val="00F150BE"/>
    <w:rsid w:val="00F15159"/>
    <w:rsid w:val="00F1518C"/>
    <w:rsid w:val="00F15217"/>
    <w:rsid w:val="00F1529C"/>
    <w:rsid w:val="00F152D7"/>
    <w:rsid w:val="00F152EB"/>
    <w:rsid w:val="00F15522"/>
    <w:rsid w:val="00F15586"/>
    <w:rsid w:val="00F155FC"/>
    <w:rsid w:val="00F15663"/>
    <w:rsid w:val="00F15668"/>
    <w:rsid w:val="00F1573A"/>
    <w:rsid w:val="00F157FC"/>
    <w:rsid w:val="00F1581F"/>
    <w:rsid w:val="00F1585E"/>
    <w:rsid w:val="00F158D3"/>
    <w:rsid w:val="00F159DA"/>
    <w:rsid w:val="00F15ACC"/>
    <w:rsid w:val="00F15C5B"/>
    <w:rsid w:val="00F15CD2"/>
    <w:rsid w:val="00F15CD6"/>
    <w:rsid w:val="00F15D50"/>
    <w:rsid w:val="00F15D94"/>
    <w:rsid w:val="00F15DCA"/>
    <w:rsid w:val="00F15DFA"/>
    <w:rsid w:val="00F15E42"/>
    <w:rsid w:val="00F15EAC"/>
    <w:rsid w:val="00F15F2A"/>
    <w:rsid w:val="00F160B1"/>
    <w:rsid w:val="00F16150"/>
    <w:rsid w:val="00F1629F"/>
    <w:rsid w:val="00F163A3"/>
    <w:rsid w:val="00F16453"/>
    <w:rsid w:val="00F16656"/>
    <w:rsid w:val="00F166A3"/>
    <w:rsid w:val="00F1670E"/>
    <w:rsid w:val="00F1670F"/>
    <w:rsid w:val="00F167DD"/>
    <w:rsid w:val="00F167F3"/>
    <w:rsid w:val="00F1696D"/>
    <w:rsid w:val="00F169A6"/>
    <w:rsid w:val="00F169F3"/>
    <w:rsid w:val="00F16B03"/>
    <w:rsid w:val="00F16B85"/>
    <w:rsid w:val="00F16DC9"/>
    <w:rsid w:val="00F17114"/>
    <w:rsid w:val="00F1715B"/>
    <w:rsid w:val="00F17170"/>
    <w:rsid w:val="00F171BC"/>
    <w:rsid w:val="00F171E1"/>
    <w:rsid w:val="00F1722A"/>
    <w:rsid w:val="00F17394"/>
    <w:rsid w:val="00F173BA"/>
    <w:rsid w:val="00F173CD"/>
    <w:rsid w:val="00F174B3"/>
    <w:rsid w:val="00F174DE"/>
    <w:rsid w:val="00F17548"/>
    <w:rsid w:val="00F17A11"/>
    <w:rsid w:val="00F17B30"/>
    <w:rsid w:val="00F17BDA"/>
    <w:rsid w:val="00F17C1E"/>
    <w:rsid w:val="00F17D68"/>
    <w:rsid w:val="00F17E0F"/>
    <w:rsid w:val="00F17EB4"/>
    <w:rsid w:val="00F17FD9"/>
    <w:rsid w:val="00F20029"/>
    <w:rsid w:val="00F200A6"/>
    <w:rsid w:val="00F203C7"/>
    <w:rsid w:val="00F203DB"/>
    <w:rsid w:val="00F204A7"/>
    <w:rsid w:val="00F204A9"/>
    <w:rsid w:val="00F2058F"/>
    <w:rsid w:val="00F205D8"/>
    <w:rsid w:val="00F205DA"/>
    <w:rsid w:val="00F20604"/>
    <w:rsid w:val="00F20701"/>
    <w:rsid w:val="00F2074A"/>
    <w:rsid w:val="00F20761"/>
    <w:rsid w:val="00F20887"/>
    <w:rsid w:val="00F20893"/>
    <w:rsid w:val="00F208A6"/>
    <w:rsid w:val="00F20B3B"/>
    <w:rsid w:val="00F20CB1"/>
    <w:rsid w:val="00F20D00"/>
    <w:rsid w:val="00F20DA6"/>
    <w:rsid w:val="00F20ECD"/>
    <w:rsid w:val="00F2100F"/>
    <w:rsid w:val="00F21148"/>
    <w:rsid w:val="00F2116C"/>
    <w:rsid w:val="00F2139B"/>
    <w:rsid w:val="00F21958"/>
    <w:rsid w:val="00F219C8"/>
    <w:rsid w:val="00F21A1B"/>
    <w:rsid w:val="00F21A50"/>
    <w:rsid w:val="00F21A98"/>
    <w:rsid w:val="00F21AA2"/>
    <w:rsid w:val="00F21B8D"/>
    <w:rsid w:val="00F21BBF"/>
    <w:rsid w:val="00F21C0A"/>
    <w:rsid w:val="00F21C81"/>
    <w:rsid w:val="00F21D3C"/>
    <w:rsid w:val="00F21DE3"/>
    <w:rsid w:val="00F21EA8"/>
    <w:rsid w:val="00F21EEE"/>
    <w:rsid w:val="00F21F25"/>
    <w:rsid w:val="00F21F9F"/>
    <w:rsid w:val="00F2200F"/>
    <w:rsid w:val="00F22133"/>
    <w:rsid w:val="00F22257"/>
    <w:rsid w:val="00F2228C"/>
    <w:rsid w:val="00F22320"/>
    <w:rsid w:val="00F2248D"/>
    <w:rsid w:val="00F22626"/>
    <w:rsid w:val="00F2262B"/>
    <w:rsid w:val="00F22638"/>
    <w:rsid w:val="00F22674"/>
    <w:rsid w:val="00F2270E"/>
    <w:rsid w:val="00F22778"/>
    <w:rsid w:val="00F227E2"/>
    <w:rsid w:val="00F227EE"/>
    <w:rsid w:val="00F22A7B"/>
    <w:rsid w:val="00F22B0B"/>
    <w:rsid w:val="00F22B34"/>
    <w:rsid w:val="00F22B9E"/>
    <w:rsid w:val="00F22C85"/>
    <w:rsid w:val="00F22C96"/>
    <w:rsid w:val="00F22D05"/>
    <w:rsid w:val="00F22EE2"/>
    <w:rsid w:val="00F22F4A"/>
    <w:rsid w:val="00F230AA"/>
    <w:rsid w:val="00F230BC"/>
    <w:rsid w:val="00F2316F"/>
    <w:rsid w:val="00F23275"/>
    <w:rsid w:val="00F2344E"/>
    <w:rsid w:val="00F23490"/>
    <w:rsid w:val="00F2358E"/>
    <w:rsid w:val="00F236A0"/>
    <w:rsid w:val="00F236C2"/>
    <w:rsid w:val="00F2370E"/>
    <w:rsid w:val="00F23737"/>
    <w:rsid w:val="00F2389C"/>
    <w:rsid w:val="00F23BAC"/>
    <w:rsid w:val="00F23BCF"/>
    <w:rsid w:val="00F23BDE"/>
    <w:rsid w:val="00F23BFF"/>
    <w:rsid w:val="00F23CA2"/>
    <w:rsid w:val="00F23D6F"/>
    <w:rsid w:val="00F23D75"/>
    <w:rsid w:val="00F23D7F"/>
    <w:rsid w:val="00F2406E"/>
    <w:rsid w:val="00F240C6"/>
    <w:rsid w:val="00F24137"/>
    <w:rsid w:val="00F241E2"/>
    <w:rsid w:val="00F24472"/>
    <w:rsid w:val="00F244EE"/>
    <w:rsid w:val="00F24502"/>
    <w:rsid w:val="00F24778"/>
    <w:rsid w:val="00F24B1F"/>
    <w:rsid w:val="00F24B57"/>
    <w:rsid w:val="00F24B66"/>
    <w:rsid w:val="00F24BDD"/>
    <w:rsid w:val="00F24C88"/>
    <w:rsid w:val="00F24F79"/>
    <w:rsid w:val="00F24FC3"/>
    <w:rsid w:val="00F2504D"/>
    <w:rsid w:val="00F25199"/>
    <w:rsid w:val="00F251ED"/>
    <w:rsid w:val="00F252AB"/>
    <w:rsid w:val="00F25416"/>
    <w:rsid w:val="00F2546A"/>
    <w:rsid w:val="00F254BA"/>
    <w:rsid w:val="00F254D5"/>
    <w:rsid w:val="00F2553C"/>
    <w:rsid w:val="00F2577D"/>
    <w:rsid w:val="00F2585B"/>
    <w:rsid w:val="00F258A0"/>
    <w:rsid w:val="00F259E5"/>
    <w:rsid w:val="00F259F4"/>
    <w:rsid w:val="00F25A75"/>
    <w:rsid w:val="00F25A98"/>
    <w:rsid w:val="00F25AAB"/>
    <w:rsid w:val="00F25BB2"/>
    <w:rsid w:val="00F25CED"/>
    <w:rsid w:val="00F25D80"/>
    <w:rsid w:val="00F25EBB"/>
    <w:rsid w:val="00F25F30"/>
    <w:rsid w:val="00F2604C"/>
    <w:rsid w:val="00F2611B"/>
    <w:rsid w:val="00F26149"/>
    <w:rsid w:val="00F261E8"/>
    <w:rsid w:val="00F262E6"/>
    <w:rsid w:val="00F26304"/>
    <w:rsid w:val="00F263D0"/>
    <w:rsid w:val="00F264FF"/>
    <w:rsid w:val="00F26564"/>
    <w:rsid w:val="00F2658F"/>
    <w:rsid w:val="00F266CC"/>
    <w:rsid w:val="00F26811"/>
    <w:rsid w:val="00F2687D"/>
    <w:rsid w:val="00F268C5"/>
    <w:rsid w:val="00F2693A"/>
    <w:rsid w:val="00F26971"/>
    <w:rsid w:val="00F269EA"/>
    <w:rsid w:val="00F269EF"/>
    <w:rsid w:val="00F26A21"/>
    <w:rsid w:val="00F26A5D"/>
    <w:rsid w:val="00F26A88"/>
    <w:rsid w:val="00F26B0E"/>
    <w:rsid w:val="00F26BA1"/>
    <w:rsid w:val="00F26BB1"/>
    <w:rsid w:val="00F26BD6"/>
    <w:rsid w:val="00F26BF7"/>
    <w:rsid w:val="00F26D14"/>
    <w:rsid w:val="00F26D1C"/>
    <w:rsid w:val="00F26E03"/>
    <w:rsid w:val="00F26E8E"/>
    <w:rsid w:val="00F26FA6"/>
    <w:rsid w:val="00F26FEB"/>
    <w:rsid w:val="00F2702C"/>
    <w:rsid w:val="00F271FE"/>
    <w:rsid w:val="00F272E7"/>
    <w:rsid w:val="00F273BA"/>
    <w:rsid w:val="00F27553"/>
    <w:rsid w:val="00F276C2"/>
    <w:rsid w:val="00F278B2"/>
    <w:rsid w:val="00F2793A"/>
    <w:rsid w:val="00F2796D"/>
    <w:rsid w:val="00F27A47"/>
    <w:rsid w:val="00F27A54"/>
    <w:rsid w:val="00F27B21"/>
    <w:rsid w:val="00F27B29"/>
    <w:rsid w:val="00F27B34"/>
    <w:rsid w:val="00F27B60"/>
    <w:rsid w:val="00F27B88"/>
    <w:rsid w:val="00F27B8D"/>
    <w:rsid w:val="00F27CF3"/>
    <w:rsid w:val="00F27EA8"/>
    <w:rsid w:val="00F27F39"/>
    <w:rsid w:val="00F27F86"/>
    <w:rsid w:val="00F300CF"/>
    <w:rsid w:val="00F30169"/>
    <w:rsid w:val="00F3028B"/>
    <w:rsid w:val="00F303F4"/>
    <w:rsid w:val="00F304A1"/>
    <w:rsid w:val="00F3062F"/>
    <w:rsid w:val="00F306B4"/>
    <w:rsid w:val="00F306D0"/>
    <w:rsid w:val="00F30779"/>
    <w:rsid w:val="00F30855"/>
    <w:rsid w:val="00F308A7"/>
    <w:rsid w:val="00F309C1"/>
    <w:rsid w:val="00F309DE"/>
    <w:rsid w:val="00F309EE"/>
    <w:rsid w:val="00F30A72"/>
    <w:rsid w:val="00F30B51"/>
    <w:rsid w:val="00F30B74"/>
    <w:rsid w:val="00F30CD0"/>
    <w:rsid w:val="00F30CEB"/>
    <w:rsid w:val="00F30D0C"/>
    <w:rsid w:val="00F30D37"/>
    <w:rsid w:val="00F30DD8"/>
    <w:rsid w:val="00F30F51"/>
    <w:rsid w:val="00F31008"/>
    <w:rsid w:val="00F31018"/>
    <w:rsid w:val="00F31114"/>
    <w:rsid w:val="00F31129"/>
    <w:rsid w:val="00F31147"/>
    <w:rsid w:val="00F31189"/>
    <w:rsid w:val="00F313F7"/>
    <w:rsid w:val="00F31517"/>
    <w:rsid w:val="00F31644"/>
    <w:rsid w:val="00F316D0"/>
    <w:rsid w:val="00F3172C"/>
    <w:rsid w:val="00F317CD"/>
    <w:rsid w:val="00F31811"/>
    <w:rsid w:val="00F31825"/>
    <w:rsid w:val="00F31836"/>
    <w:rsid w:val="00F3185E"/>
    <w:rsid w:val="00F31A07"/>
    <w:rsid w:val="00F31A94"/>
    <w:rsid w:val="00F31BEC"/>
    <w:rsid w:val="00F31CB1"/>
    <w:rsid w:val="00F31CFE"/>
    <w:rsid w:val="00F320F5"/>
    <w:rsid w:val="00F3211A"/>
    <w:rsid w:val="00F322CC"/>
    <w:rsid w:val="00F3234C"/>
    <w:rsid w:val="00F3235F"/>
    <w:rsid w:val="00F324B1"/>
    <w:rsid w:val="00F32512"/>
    <w:rsid w:val="00F325AA"/>
    <w:rsid w:val="00F326EA"/>
    <w:rsid w:val="00F327FB"/>
    <w:rsid w:val="00F32831"/>
    <w:rsid w:val="00F32A3D"/>
    <w:rsid w:val="00F32A57"/>
    <w:rsid w:val="00F32A58"/>
    <w:rsid w:val="00F32AE2"/>
    <w:rsid w:val="00F32C3F"/>
    <w:rsid w:val="00F32C48"/>
    <w:rsid w:val="00F32C9C"/>
    <w:rsid w:val="00F32D5B"/>
    <w:rsid w:val="00F32DB7"/>
    <w:rsid w:val="00F32E2F"/>
    <w:rsid w:val="00F32F2D"/>
    <w:rsid w:val="00F32F82"/>
    <w:rsid w:val="00F33045"/>
    <w:rsid w:val="00F33051"/>
    <w:rsid w:val="00F330EA"/>
    <w:rsid w:val="00F33121"/>
    <w:rsid w:val="00F3312E"/>
    <w:rsid w:val="00F3314D"/>
    <w:rsid w:val="00F331D0"/>
    <w:rsid w:val="00F33394"/>
    <w:rsid w:val="00F33464"/>
    <w:rsid w:val="00F33675"/>
    <w:rsid w:val="00F33677"/>
    <w:rsid w:val="00F336D2"/>
    <w:rsid w:val="00F337B7"/>
    <w:rsid w:val="00F33970"/>
    <w:rsid w:val="00F339E9"/>
    <w:rsid w:val="00F33BD7"/>
    <w:rsid w:val="00F33C43"/>
    <w:rsid w:val="00F33CE2"/>
    <w:rsid w:val="00F33DAF"/>
    <w:rsid w:val="00F33F8C"/>
    <w:rsid w:val="00F3412D"/>
    <w:rsid w:val="00F34198"/>
    <w:rsid w:val="00F3426F"/>
    <w:rsid w:val="00F342E3"/>
    <w:rsid w:val="00F344BE"/>
    <w:rsid w:val="00F3481A"/>
    <w:rsid w:val="00F34865"/>
    <w:rsid w:val="00F34ABE"/>
    <w:rsid w:val="00F34B4E"/>
    <w:rsid w:val="00F34B5D"/>
    <w:rsid w:val="00F34B8B"/>
    <w:rsid w:val="00F34C99"/>
    <w:rsid w:val="00F34DFE"/>
    <w:rsid w:val="00F35016"/>
    <w:rsid w:val="00F350B5"/>
    <w:rsid w:val="00F350E0"/>
    <w:rsid w:val="00F350EE"/>
    <w:rsid w:val="00F3511F"/>
    <w:rsid w:val="00F35180"/>
    <w:rsid w:val="00F35185"/>
    <w:rsid w:val="00F352A4"/>
    <w:rsid w:val="00F352BC"/>
    <w:rsid w:val="00F35394"/>
    <w:rsid w:val="00F353AD"/>
    <w:rsid w:val="00F35442"/>
    <w:rsid w:val="00F35483"/>
    <w:rsid w:val="00F3549D"/>
    <w:rsid w:val="00F355ED"/>
    <w:rsid w:val="00F3569D"/>
    <w:rsid w:val="00F356B3"/>
    <w:rsid w:val="00F3577D"/>
    <w:rsid w:val="00F357D2"/>
    <w:rsid w:val="00F357D9"/>
    <w:rsid w:val="00F35929"/>
    <w:rsid w:val="00F35A10"/>
    <w:rsid w:val="00F35B19"/>
    <w:rsid w:val="00F35B34"/>
    <w:rsid w:val="00F35C2C"/>
    <w:rsid w:val="00F35C51"/>
    <w:rsid w:val="00F35C7F"/>
    <w:rsid w:val="00F35DE5"/>
    <w:rsid w:val="00F35E0A"/>
    <w:rsid w:val="00F35FBF"/>
    <w:rsid w:val="00F36038"/>
    <w:rsid w:val="00F36113"/>
    <w:rsid w:val="00F3611C"/>
    <w:rsid w:val="00F3621A"/>
    <w:rsid w:val="00F3628B"/>
    <w:rsid w:val="00F36390"/>
    <w:rsid w:val="00F363BF"/>
    <w:rsid w:val="00F36410"/>
    <w:rsid w:val="00F364C8"/>
    <w:rsid w:val="00F36583"/>
    <w:rsid w:val="00F365C8"/>
    <w:rsid w:val="00F365D7"/>
    <w:rsid w:val="00F366B0"/>
    <w:rsid w:val="00F366CF"/>
    <w:rsid w:val="00F366E5"/>
    <w:rsid w:val="00F3688A"/>
    <w:rsid w:val="00F3691F"/>
    <w:rsid w:val="00F36944"/>
    <w:rsid w:val="00F36A03"/>
    <w:rsid w:val="00F36A6F"/>
    <w:rsid w:val="00F36ACE"/>
    <w:rsid w:val="00F36AD5"/>
    <w:rsid w:val="00F36B69"/>
    <w:rsid w:val="00F36F4D"/>
    <w:rsid w:val="00F36F67"/>
    <w:rsid w:val="00F36FCE"/>
    <w:rsid w:val="00F36FF2"/>
    <w:rsid w:val="00F37019"/>
    <w:rsid w:val="00F37038"/>
    <w:rsid w:val="00F371AA"/>
    <w:rsid w:val="00F37279"/>
    <w:rsid w:val="00F3727D"/>
    <w:rsid w:val="00F374B9"/>
    <w:rsid w:val="00F3756D"/>
    <w:rsid w:val="00F37676"/>
    <w:rsid w:val="00F3794F"/>
    <w:rsid w:val="00F37999"/>
    <w:rsid w:val="00F37A4A"/>
    <w:rsid w:val="00F37AA8"/>
    <w:rsid w:val="00F37B15"/>
    <w:rsid w:val="00F37B7B"/>
    <w:rsid w:val="00F37BD9"/>
    <w:rsid w:val="00F37C61"/>
    <w:rsid w:val="00F37CDE"/>
    <w:rsid w:val="00F37ECC"/>
    <w:rsid w:val="00F37F4B"/>
    <w:rsid w:val="00F37FCF"/>
    <w:rsid w:val="00F4003F"/>
    <w:rsid w:val="00F401A2"/>
    <w:rsid w:val="00F401C4"/>
    <w:rsid w:val="00F404D1"/>
    <w:rsid w:val="00F40549"/>
    <w:rsid w:val="00F40599"/>
    <w:rsid w:val="00F405D3"/>
    <w:rsid w:val="00F407A5"/>
    <w:rsid w:val="00F408F2"/>
    <w:rsid w:val="00F409E0"/>
    <w:rsid w:val="00F40A07"/>
    <w:rsid w:val="00F40A58"/>
    <w:rsid w:val="00F40ABE"/>
    <w:rsid w:val="00F40AD1"/>
    <w:rsid w:val="00F40AE0"/>
    <w:rsid w:val="00F40C07"/>
    <w:rsid w:val="00F40C8D"/>
    <w:rsid w:val="00F40D25"/>
    <w:rsid w:val="00F40E2F"/>
    <w:rsid w:val="00F40E62"/>
    <w:rsid w:val="00F40EAA"/>
    <w:rsid w:val="00F40ED0"/>
    <w:rsid w:val="00F4100E"/>
    <w:rsid w:val="00F4111B"/>
    <w:rsid w:val="00F41222"/>
    <w:rsid w:val="00F414A7"/>
    <w:rsid w:val="00F414AC"/>
    <w:rsid w:val="00F4151A"/>
    <w:rsid w:val="00F4151C"/>
    <w:rsid w:val="00F41532"/>
    <w:rsid w:val="00F41693"/>
    <w:rsid w:val="00F416FC"/>
    <w:rsid w:val="00F416FE"/>
    <w:rsid w:val="00F4171A"/>
    <w:rsid w:val="00F41777"/>
    <w:rsid w:val="00F417B3"/>
    <w:rsid w:val="00F417BC"/>
    <w:rsid w:val="00F41A9B"/>
    <w:rsid w:val="00F41BFF"/>
    <w:rsid w:val="00F41DC4"/>
    <w:rsid w:val="00F41EA0"/>
    <w:rsid w:val="00F42213"/>
    <w:rsid w:val="00F42232"/>
    <w:rsid w:val="00F422D4"/>
    <w:rsid w:val="00F42316"/>
    <w:rsid w:val="00F423B6"/>
    <w:rsid w:val="00F423C3"/>
    <w:rsid w:val="00F4245E"/>
    <w:rsid w:val="00F425DF"/>
    <w:rsid w:val="00F4270E"/>
    <w:rsid w:val="00F4274B"/>
    <w:rsid w:val="00F4276A"/>
    <w:rsid w:val="00F427DD"/>
    <w:rsid w:val="00F42880"/>
    <w:rsid w:val="00F4290E"/>
    <w:rsid w:val="00F42A0E"/>
    <w:rsid w:val="00F42B54"/>
    <w:rsid w:val="00F42C52"/>
    <w:rsid w:val="00F42CE0"/>
    <w:rsid w:val="00F42D0F"/>
    <w:rsid w:val="00F42D8E"/>
    <w:rsid w:val="00F42E96"/>
    <w:rsid w:val="00F42EB4"/>
    <w:rsid w:val="00F43073"/>
    <w:rsid w:val="00F43372"/>
    <w:rsid w:val="00F4346D"/>
    <w:rsid w:val="00F43527"/>
    <w:rsid w:val="00F436E7"/>
    <w:rsid w:val="00F438A0"/>
    <w:rsid w:val="00F439BE"/>
    <w:rsid w:val="00F43A5A"/>
    <w:rsid w:val="00F43B11"/>
    <w:rsid w:val="00F43E27"/>
    <w:rsid w:val="00F43EE0"/>
    <w:rsid w:val="00F43EEC"/>
    <w:rsid w:val="00F43F5F"/>
    <w:rsid w:val="00F43FED"/>
    <w:rsid w:val="00F44223"/>
    <w:rsid w:val="00F4426B"/>
    <w:rsid w:val="00F442A7"/>
    <w:rsid w:val="00F442BE"/>
    <w:rsid w:val="00F443B2"/>
    <w:rsid w:val="00F44522"/>
    <w:rsid w:val="00F445CB"/>
    <w:rsid w:val="00F4460F"/>
    <w:rsid w:val="00F44656"/>
    <w:rsid w:val="00F446B3"/>
    <w:rsid w:val="00F4477A"/>
    <w:rsid w:val="00F449E0"/>
    <w:rsid w:val="00F44A88"/>
    <w:rsid w:val="00F44CAD"/>
    <w:rsid w:val="00F44CB1"/>
    <w:rsid w:val="00F44D46"/>
    <w:rsid w:val="00F44DCA"/>
    <w:rsid w:val="00F44DD5"/>
    <w:rsid w:val="00F44ECA"/>
    <w:rsid w:val="00F44F23"/>
    <w:rsid w:val="00F45000"/>
    <w:rsid w:val="00F45038"/>
    <w:rsid w:val="00F4509B"/>
    <w:rsid w:val="00F451BD"/>
    <w:rsid w:val="00F452D4"/>
    <w:rsid w:val="00F45320"/>
    <w:rsid w:val="00F453B3"/>
    <w:rsid w:val="00F4540E"/>
    <w:rsid w:val="00F45431"/>
    <w:rsid w:val="00F454F9"/>
    <w:rsid w:val="00F45529"/>
    <w:rsid w:val="00F4555F"/>
    <w:rsid w:val="00F45579"/>
    <w:rsid w:val="00F458D3"/>
    <w:rsid w:val="00F45982"/>
    <w:rsid w:val="00F45A9A"/>
    <w:rsid w:val="00F45AA5"/>
    <w:rsid w:val="00F45B1F"/>
    <w:rsid w:val="00F45C80"/>
    <w:rsid w:val="00F45D53"/>
    <w:rsid w:val="00F45E05"/>
    <w:rsid w:val="00F45E08"/>
    <w:rsid w:val="00F45E93"/>
    <w:rsid w:val="00F4601A"/>
    <w:rsid w:val="00F4606B"/>
    <w:rsid w:val="00F46087"/>
    <w:rsid w:val="00F460C2"/>
    <w:rsid w:val="00F460C7"/>
    <w:rsid w:val="00F46153"/>
    <w:rsid w:val="00F46240"/>
    <w:rsid w:val="00F4642A"/>
    <w:rsid w:val="00F46499"/>
    <w:rsid w:val="00F46530"/>
    <w:rsid w:val="00F465D4"/>
    <w:rsid w:val="00F46695"/>
    <w:rsid w:val="00F466FD"/>
    <w:rsid w:val="00F467F2"/>
    <w:rsid w:val="00F46897"/>
    <w:rsid w:val="00F4690C"/>
    <w:rsid w:val="00F469FC"/>
    <w:rsid w:val="00F46ACE"/>
    <w:rsid w:val="00F46B6B"/>
    <w:rsid w:val="00F46B7B"/>
    <w:rsid w:val="00F46CAB"/>
    <w:rsid w:val="00F46D87"/>
    <w:rsid w:val="00F46E6D"/>
    <w:rsid w:val="00F46F12"/>
    <w:rsid w:val="00F470AC"/>
    <w:rsid w:val="00F4716D"/>
    <w:rsid w:val="00F47313"/>
    <w:rsid w:val="00F4733D"/>
    <w:rsid w:val="00F4741F"/>
    <w:rsid w:val="00F474DA"/>
    <w:rsid w:val="00F475CB"/>
    <w:rsid w:val="00F475ED"/>
    <w:rsid w:val="00F47613"/>
    <w:rsid w:val="00F47754"/>
    <w:rsid w:val="00F47775"/>
    <w:rsid w:val="00F477BE"/>
    <w:rsid w:val="00F477FD"/>
    <w:rsid w:val="00F478C4"/>
    <w:rsid w:val="00F47920"/>
    <w:rsid w:val="00F47AD3"/>
    <w:rsid w:val="00F47AE5"/>
    <w:rsid w:val="00F47BCC"/>
    <w:rsid w:val="00F47C41"/>
    <w:rsid w:val="00F47D65"/>
    <w:rsid w:val="00F47D85"/>
    <w:rsid w:val="00F47D96"/>
    <w:rsid w:val="00F47DD0"/>
    <w:rsid w:val="00F47F6C"/>
    <w:rsid w:val="00F47FBC"/>
    <w:rsid w:val="00F47FCD"/>
    <w:rsid w:val="00F5006A"/>
    <w:rsid w:val="00F50098"/>
    <w:rsid w:val="00F500AE"/>
    <w:rsid w:val="00F50388"/>
    <w:rsid w:val="00F50426"/>
    <w:rsid w:val="00F5043C"/>
    <w:rsid w:val="00F50658"/>
    <w:rsid w:val="00F50838"/>
    <w:rsid w:val="00F50865"/>
    <w:rsid w:val="00F50881"/>
    <w:rsid w:val="00F508D4"/>
    <w:rsid w:val="00F508FD"/>
    <w:rsid w:val="00F50B25"/>
    <w:rsid w:val="00F50E17"/>
    <w:rsid w:val="00F50E9D"/>
    <w:rsid w:val="00F50F75"/>
    <w:rsid w:val="00F510A8"/>
    <w:rsid w:val="00F5111C"/>
    <w:rsid w:val="00F5116F"/>
    <w:rsid w:val="00F51200"/>
    <w:rsid w:val="00F512B1"/>
    <w:rsid w:val="00F5159B"/>
    <w:rsid w:val="00F515E6"/>
    <w:rsid w:val="00F51A23"/>
    <w:rsid w:val="00F51A24"/>
    <w:rsid w:val="00F51A43"/>
    <w:rsid w:val="00F51ACC"/>
    <w:rsid w:val="00F51B4D"/>
    <w:rsid w:val="00F51B7D"/>
    <w:rsid w:val="00F51E73"/>
    <w:rsid w:val="00F51F08"/>
    <w:rsid w:val="00F520C4"/>
    <w:rsid w:val="00F5225E"/>
    <w:rsid w:val="00F52265"/>
    <w:rsid w:val="00F522D8"/>
    <w:rsid w:val="00F52318"/>
    <w:rsid w:val="00F52437"/>
    <w:rsid w:val="00F52462"/>
    <w:rsid w:val="00F5254D"/>
    <w:rsid w:val="00F52560"/>
    <w:rsid w:val="00F52653"/>
    <w:rsid w:val="00F52682"/>
    <w:rsid w:val="00F52797"/>
    <w:rsid w:val="00F527D6"/>
    <w:rsid w:val="00F528D6"/>
    <w:rsid w:val="00F528E9"/>
    <w:rsid w:val="00F52979"/>
    <w:rsid w:val="00F529AF"/>
    <w:rsid w:val="00F529E3"/>
    <w:rsid w:val="00F52A62"/>
    <w:rsid w:val="00F52A75"/>
    <w:rsid w:val="00F52C9B"/>
    <w:rsid w:val="00F52DDA"/>
    <w:rsid w:val="00F52E13"/>
    <w:rsid w:val="00F52EBE"/>
    <w:rsid w:val="00F52F9C"/>
    <w:rsid w:val="00F53068"/>
    <w:rsid w:val="00F530C9"/>
    <w:rsid w:val="00F53368"/>
    <w:rsid w:val="00F534ED"/>
    <w:rsid w:val="00F536B2"/>
    <w:rsid w:val="00F5372E"/>
    <w:rsid w:val="00F5381F"/>
    <w:rsid w:val="00F53860"/>
    <w:rsid w:val="00F5398A"/>
    <w:rsid w:val="00F539ED"/>
    <w:rsid w:val="00F53A5F"/>
    <w:rsid w:val="00F53B9F"/>
    <w:rsid w:val="00F53EA8"/>
    <w:rsid w:val="00F53F01"/>
    <w:rsid w:val="00F53F57"/>
    <w:rsid w:val="00F53F66"/>
    <w:rsid w:val="00F53F78"/>
    <w:rsid w:val="00F540B3"/>
    <w:rsid w:val="00F540BE"/>
    <w:rsid w:val="00F5418C"/>
    <w:rsid w:val="00F54276"/>
    <w:rsid w:val="00F5430C"/>
    <w:rsid w:val="00F5430E"/>
    <w:rsid w:val="00F5438B"/>
    <w:rsid w:val="00F54467"/>
    <w:rsid w:val="00F5447C"/>
    <w:rsid w:val="00F54484"/>
    <w:rsid w:val="00F544CC"/>
    <w:rsid w:val="00F5457A"/>
    <w:rsid w:val="00F546AD"/>
    <w:rsid w:val="00F546E3"/>
    <w:rsid w:val="00F54721"/>
    <w:rsid w:val="00F5476C"/>
    <w:rsid w:val="00F54852"/>
    <w:rsid w:val="00F54856"/>
    <w:rsid w:val="00F54919"/>
    <w:rsid w:val="00F54928"/>
    <w:rsid w:val="00F549EE"/>
    <w:rsid w:val="00F54A1D"/>
    <w:rsid w:val="00F54B85"/>
    <w:rsid w:val="00F54BB7"/>
    <w:rsid w:val="00F54CBC"/>
    <w:rsid w:val="00F54E55"/>
    <w:rsid w:val="00F54ED3"/>
    <w:rsid w:val="00F55019"/>
    <w:rsid w:val="00F55122"/>
    <w:rsid w:val="00F5513B"/>
    <w:rsid w:val="00F5516A"/>
    <w:rsid w:val="00F55315"/>
    <w:rsid w:val="00F553A0"/>
    <w:rsid w:val="00F55484"/>
    <w:rsid w:val="00F55525"/>
    <w:rsid w:val="00F556AD"/>
    <w:rsid w:val="00F556CA"/>
    <w:rsid w:val="00F55737"/>
    <w:rsid w:val="00F557E6"/>
    <w:rsid w:val="00F55841"/>
    <w:rsid w:val="00F55B13"/>
    <w:rsid w:val="00F55B20"/>
    <w:rsid w:val="00F55B70"/>
    <w:rsid w:val="00F55B86"/>
    <w:rsid w:val="00F55C9D"/>
    <w:rsid w:val="00F55D4C"/>
    <w:rsid w:val="00F55D6E"/>
    <w:rsid w:val="00F55E8B"/>
    <w:rsid w:val="00F55EC3"/>
    <w:rsid w:val="00F55F1A"/>
    <w:rsid w:val="00F56038"/>
    <w:rsid w:val="00F5609C"/>
    <w:rsid w:val="00F560AB"/>
    <w:rsid w:val="00F561B6"/>
    <w:rsid w:val="00F564AD"/>
    <w:rsid w:val="00F56676"/>
    <w:rsid w:val="00F56694"/>
    <w:rsid w:val="00F567ED"/>
    <w:rsid w:val="00F56850"/>
    <w:rsid w:val="00F568C0"/>
    <w:rsid w:val="00F56940"/>
    <w:rsid w:val="00F56A45"/>
    <w:rsid w:val="00F56A81"/>
    <w:rsid w:val="00F56CB1"/>
    <w:rsid w:val="00F56F69"/>
    <w:rsid w:val="00F56FD1"/>
    <w:rsid w:val="00F57077"/>
    <w:rsid w:val="00F570EF"/>
    <w:rsid w:val="00F571C7"/>
    <w:rsid w:val="00F57257"/>
    <w:rsid w:val="00F572CB"/>
    <w:rsid w:val="00F572DD"/>
    <w:rsid w:val="00F572DE"/>
    <w:rsid w:val="00F573C8"/>
    <w:rsid w:val="00F57427"/>
    <w:rsid w:val="00F57497"/>
    <w:rsid w:val="00F5749A"/>
    <w:rsid w:val="00F574DE"/>
    <w:rsid w:val="00F57570"/>
    <w:rsid w:val="00F575A1"/>
    <w:rsid w:val="00F57615"/>
    <w:rsid w:val="00F5763E"/>
    <w:rsid w:val="00F57655"/>
    <w:rsid w:val="00F57697"/>
    <w:rsid w:val="00F576AC"/>
    <w:rsid w:val="00F5774C"/>
    <w:rsid w:val="00F57773"/>
    <w:rsid w:val="00F577C4"/>
    <w:rsid w:val="00F5785B"/>
    <w:rsid w:val="00F57886"/>
    <w:rsid w:val="00F578C6"/>
    <w:rsid w:val="00F578D3"/>
    <w:rsid w:val="00F57901"/>
    <w:rsid w:val="00F57975"/>
    <w:rsid w:val="00F57A0D"/>
    <w:rsid w:val="00F57A53"/>
    <w:rsid w:val="00F57A7A"/>
    <w:rsid w:val="00F57B75"/>
    <w:rsid w:val="00F57E3D"/>
    <w:rsid w:val="00F57F05"/>
    <w:rsid w:val="00F600A3"/>
    <w:rsid w:val="00F6010E"/>
    <w:rsid w:val="00F6014F"/>
    <w:rsid w:val="00F60222"/>
    <w:rsid w:val="00F60275"/>
    <w:rsid w:val="00F602F5"/>
    <w:rsid w:val="00F60326"/>
    <w:rsid w:val="00F6043F"/>
    <w:rsid w:val="00F60507"/>
    <w:rsid w:val="00F6073A"/>
    <w:rsid w:val="00F6080D"/>
    <w:rsid w:val="00F60888"/>
    <w:rsid w:val="00F60C83"/>
    <w:rsid w:val="00F60CA9"/>
    <w:rsid w:val="00F60CBE"/>
    <w:rsid w:val="00F60E04"/>
    <w:rsid w:val="00F60F86"/>
    <w:rsid w:val="00F61367"/>
    <w:rsid w:val="00F6136B"/>
    <w:rsid w:val="00F617CB"/>
    <w:rsid w:val="00F6189F"/>
    <w:rsid w:val="00F618CF"/>
    <w:rsid w:val="00F619F4"/>
    <w:rsid w:val="00F61A1F"/>
    <w:rsid w:val="00F61A94"/>
    <w:rsid w:val="00F61ABA"/>
    <w:rsid w:val="00F61C17"/>
    <w:rsid w:val="00F61C1A"/>
    <w:rsid w:val="00F61C94"/>
    <w:rsid w:val="00F61D39"/>
    <w:rsid w:val="00F61D40"/>
    <w:rsid w:val="00F61DD1"/>
    <w:rsid w:val="00F61DD9"/>
    <w:rsid w:val="00F61E31"/>
    <w:rsid w:val="00F61E4E"/>
    <w:rsid w:val="00F61EAD"/>
    <w:rsid w:val="00F61EEB"/>
    <w:rsid w:val="00F61FCA"/>
    <w:rsid w:val="00F61FEE"/>
    <w:rsid w:val="00F62013"/>
    <w:rsid w:val="00F621BA"/>
    <w:rsid w:val="00F62268"/>
    <w:rsid w:val="00F623F7"/>
    <w:rsid w:val="00F625C3"/>
    <w:rsid w:val="00F62641"/>
    <w:rsid w:val="00F6266D"/>
    <w:rsid w:val="00F62733"/>
    <w:rsid w:val="00F62759"/>
    <w:rsid w:val="00F629DB"/>
    <w:rsid w:val="00F62BB1"/>
    <w:rsid w:val="00F62BEC"/>
    <w:rsid w:val="00F62C0D"/>
    <w:rsid w:val="00F62C7D"/>
    <w:rsid w:val="00F62CA5"/>
    <w:rsid w:val="00F62D5A"/>
    <w:rsid w:val="00F62D70"/>
    <w:rsid w:val="00F62D91"/>
    <w:rsid w:val="00F62E6E"/>
    <w:rsid w:val="00F62EDE"/>
    <w:rsid w:val="00F62F2F"/>
    <w:rsid w:val="00F62F48"/>
    <w:rsid w:val="00F62F6B"/>
    <w:rsid w:val="00F63246"/>
    <w:rsid w:val="00F63272"/>
    <w:rsid w:val="00F632E4"/>
    <w:rsid w:val="00F6346C"/>
    <w:rsid w:val="00F63494"/>
    <w:rsid w:val="00F63553"/>
    <w:rsid w:val="00F63594"/>
    <w:rsid w:val="00F635A3"/>
    <w:rsid w:val="00F635CB"/>
    <w:rsid w:val="00F6362B"/>
    <w:rsid w:val="00F63651"/>
    <w:rsid w:val="00F6367D"/>
    <w:rsid w:val="00F6369D"/>
    <w:rsid w:val="00F63773"/>
    <w:rsid w:val="00F63794"/>
    <w:rsid w:val="00F637D7"/>
    <w:rsid w:val="00F637E9"/>
    <w:rsid w:val="00F637F3"/>
    <w:rsid w:val="00F639E2"/>
    <w:rsid w:val="00F639FD"/>
    <w:rsid w:val="00F63A47"/>
    <w:rsid w:val="00F63AD0"/>
    <w:rsid w:val="00F63CBC"/>
    <w:rsid w:val="00F63CE0"/>
    <w:rsid w:val="00F63F1E"/>
    <w:rsid w:val="00F63FF1"/>
    <w:rsid w:val="00F640F4"/>
    <w:rsid w:val="00F64105"/>
    <w:rsid w:val="00F641AC"/>
    <w:rsid w:val="00F641D5"/>
    <w:rsid w:val="00F6445F"/>
    <w:rsid w:val="00F644A5"/>
    <w:rsid w:val="00F6456F"/>
    <w:rsid w:val="00F645E4"/>
    <w:rsid w:val="00F645F7"/>
    <w:rsid w:val="00F646E4"/>
    <w:rsid w:val="00F646E5"/>
    <w:rsid w:val="00F646E9"/>
    <w:rsid w:val="00F64756"/>
    <w:rsid w:val="00F64810"/>
    <w:rsid w:val="00F64835"/>
    <w:rsid w:val="00F649DB"/>
    <w:rsid w:val="00F64A15"/>
    <w:rsid w:val="00F64A92"/>
    <w:rsid w:val="00F64B1D"/>
    <w:rsid w:val="00F64BA5"/>
    <w:rsid w:val="00F64BBA"/>
    <w:rsid w:val="00F64BDE"/>
    <w:rsid w:val="00F64DE0"/>
    <w:rsid w:val="00F64E64"/>
    <w:rsid w:val="00F64F29"/>
    <w:rsid w:val="00F64F3F"/>
    <w:rsid w:val="00F64FB2"/>
    <w:rsid w:val="00F6508D"/>
    <w:rsid w:val="00F650EA"/>
    <w:rsid w:val="00F65309"/>
    <w:rsid w:val="00F65530"/>
    <w:rsid w:val="00F65675"/>
    <w:rsid w:val="00F656B4"/>
    <w:rsid w:val="00F65756"/>
    <w:rsid w:val="00F658F2"/>
    <w:rsid w:val="00F65A98"/>
    <w:rsid w:val="00F65C5C"/>
    <w:rsid w:val="00F65D82"/>
    <w:rsid w:val="00F65ED6"/>
    <w:rsid w:val="00F65F06"/>
    <w:rsid w:val="00F65FA9"/>
    <w:rsid w:val="00F65FC5"/>
    <w:rsid w:val="00F66108"/>
    <w:rsid w:val="00F6616C"/>
    <w:rsid w:val="00F661A3"/>
    <w:rsid w:val="00F6627D"/>
    <w:rsid w:val="00F662B2"/>
    <w:rsid w:val="00F66317"/>
    <w:rsid w:val="00F66324"/>
    <w:rsid w:val="00F66342"/>
    <w:rsid w:val="00F663E4"/>
    <w:rsid w:val="00F66457"/>
    <w:rsid w:val="00F6659B"/>
    <w:rsid w:val="00F665A4"/>
    <w:rsid w:val="00F665E0"/>
    <w:rsid w:val="00F66628"/>
    <w:rsid w:val="00F6665D"/>
    <w:rsid w:val="00F66691"/>
    <w:rsid w:val="00F66713"/>
    <w:rsid w:val="00F66877"/>
    <w:rsid w:val="00F66A99"/>
    <w:rsid w:val="00F66ACF"/>
    <w:rsid w:val="00F66BD6"/>
    <w:rsid w:val="00F66BF1"/>
    <w:rsid w:val="00F66CB9"/>
    <w:rsid w:val="00F66D5E"/>
    <w:rsid w:val="00F66E1A"/>
    <w:rsid w:val="00F66EF0"/>
    <w:rsid w:val="00F66EFE"/>
    <w:rsid w:val="00F66F04"/>
    <w:rsid w:val="00F66F17"/>
    <w:rsid w:val="00F66FFB"/>
    <w:rsid w:val="00F670D2"/>
    <w:rsid w:val="00F67163"/>
    <w:rsid w:val="00F671ED"/>
    <w:rsid w:val="00F67208"/>
    <w:rsid w:val="00F6738C"/>
    <w:rsid w:val="00F676C0"/>
    <w:rsid w:val="00F67737"/>
    <w:rsid w:val="00F677DC"/>
    <w:rsid w:val="00F67845"/>
    <w:rsid w:val="00F678CD"/>
    <w:rsid w:val="00F67937"/>
    <w:rsid w:val="00F67BBF"/>
    <w:rsid w:val="00F67E0E"/>
    <w:rsid w:val="00F67E32"/>
    <w:rsid w:val="00F67F29"/>
    <w:rsid w:val="00F700EE"/>
    <w:rsid w:val="00F70326"/>
    <w:rsid w:val="00F70466"/>
    <w:rsid w:val="00F7060D"/>
    <w:rsid w:val="00F70621"/>
    <w:rsid w:val="00F70641"/>
    <w:rsid w:val="00F70674"/>
    <w:rsid w:val="00F7072E"/>
    <w:rsid w:val="00F707C0"/>
    <w:rsid w:val="00F7080D"/>
    <w:rsid w:val="00F708C1"/>
    <w:rsid w:val="00F708DA"/>
    <w:rsid w:val="00F708F9"/>
    <w:rsid w:val="00F70915"/>
    <w:rsid w:val="00F709A0"/>
    <w:rsid w:val="00F709B8"/>
    <w:rsid w:val="00F70A27"/>
    <w:rsid w:val="00F70B51"/>
    <w:rsid w:val="00F70B70"/>
    <w:rsid w:val="00F70F27"/>
    <w:rsid w:val="00F70F31"/>
    <w:rsid w:val="00F71018"/>
    <w:rsid w:val="00F71040"/>
    <w:rsid w:val="00F71085"/>
    <w:rsid w:val="00F710F4"/>
    <w:rsid w:val="00F711B4"/>
    <w:rsid w:val="00F711C0"/>
    <w:rsid w:val="00F71229"/>
    <w:rsid w:val="00F7124D"/>
    <w:rsid w:val="00F712C6"/>
    <w:rsid w:val="00F713A1"/>
    <w:rsid w:val="00F71471"/>
    <w:rsid w:val="00F71495"/>
    <w:rsid w:val="00F7151F"/>
    <w:rsid w:val="00F7171E"/>
    <w:rsid w:val="00F71825"/>
    <w:rsid w:val="00F718E8"/>
    <w:rsid w:val="00F718F9"/>
    <w:rsid w:val="00F71909"/>
    <w:rsid w:val="00F71AB6"/>
    <w:rsid w:val="00F71AD7"/>
    <w:rsid w:val="00F71B48"/>
    <w:rsid w:val="00F71C6D"/>
    <w:rsid w:val="00F71CFC"/>
    <w:rsid w:val="00F71DD6"/>
    <w:rsid w:val="00F71F6D"/>
    <w:rsid w:val="00F71FD7"/>
    <w:rsid w:val="00F72097"/>
    <w:rsid w:val="00F72216"/>
    <w:rsid w:val="00F72248"/>
    <w:rsid w:val="00F72290"/>
    <w:rsid w:val="00F72367"/>
    <w:rsid w:val="00F723AA"/>
    <w:rsid w:val="00F723CE"/>
    <w:rsid w:val="00F723E1"/>
    <w:rsid w:val="00F72459"/>
    <w:rsid w:val="00F72556"/>
    <w:rsid w:val="00F7257F"/>
    <w:rsid w:val="00F725AF"/>
    <w:rsid w:val="00F72655"/>
    <w:rsid w:val="00F726F7"/>
    <w:rsid w:val="00F7275A"/>
    <w:rsid w:val="00F72822"/>
    <w:rsid w:val="00F728D8"/>
    <w:rsid w:val="00F728F2"/>
    <w:rsid w:val="00F729AB"/>
    <w:rsid w:val="00F72A1C"/>
    <w:rsid w:val="00F72A44"/>
    <w:rsid w:val="00F72A51"/>
    <w:rsid w:val="00F72A72"/>
    <w:rsid w:val="00F72B23"/>
    <w:rsid w:val="00F72BFF"/>
    <w:rsid w:val="00F72C21"/>
    <w:rsid w:val="00F72C40"/>
    <w:rsid w:val="00F72D05"/>
    <w:rsid w:val="00F72D50"/>
    <w:rsid w:val="00F72DB2"/>
    <w:rsid w:val="00F72DE5"/>
    <w:rsid w:val="00F72EA5"/>
    <w:rsid w:val="00F72F3B"/>
    <w:rsid w:val="00F72F5C"/>
    <w:rsid w:val="00F730DC"/>
    <w:rsid w:val="00F7335D"/>
    <w:rsid w:val="00F73386"/>
    <w:rsid w:val="00F7353C"/>
    <w:rsid w:val="00F736FC"/>
    <w:rsid w:val="00F73729"/>
    <w:rsid w:val="00F73777"/>
    <w:rsid w:val="00F73A8F"/>
    <w:rsid w:val="00F73B14"/>
    <w:rsid w:val="00F73B90"/>
    <w:rsid w:val="00F73BC9"/>
    <w:rsid w:val="00F73C57"/>
    <w:rsid w:val="00F73C8F"/>
    <w:rsid w:val="00F73CC5"/>
    <w:rsid w:val="00F73CF5"/>
    <w:rsid w:val="00F73D25"/>
    <w:rsid w:val="00F73E34"/>
    <w:rsid w:val="00F73EF8"/>
    <w:rsid w:val="00F73FB2"/>
    <w:rsid w:val="00F7407A"/>
    <w:rsid w:val="00F7408A"/>
    <w:rsid w:val="00F740A7"/>
    <w:rsid w:val="00F74184"/>
    <w:rsid w:val="00F741E2"/>
    <w:rsid w:val="00F741E4"/>
    <w:rsid w:val="00F74288"/>
    <w:rsid w:val="00F74425"/>
    <w:rsid w:val="00F7445B"/>
    <w:rsid w:val="00F74558"/>
    <w:rsid w:val="00F74563"/>
    <w:rsid w:val="00F7459E"/>
    <w:rsid w:val="00F74659"/>
    <w:rsid w:val="00F747A7"/>
    <w:rsid w:val="00F748F6"/>
    <w:rsid w:val="00F749A3"/>
    <w:rsid w:val="00F74B72"/>
    <w:rsid w:val="00F74D9B"/>
    <w:rsid w:val="00F74EA3"/>
    <w:rsid w:val="00F74F91"/>
    <w:rsid w:val="00F75065"/>
    <w:rsid w:val="00F750FB"/>
    <w:rsid w:val="00F75104"/>
    <w:rsid w:val="00F75151"/>
    <w:rsid w:val="00F7515B"/>
    <w:rsid w:val="00F75331"/>
    <w:rsid w:val="00F753BA"/>
    <w:rsid w:val="00F754F2"/>
    <w:rsid w:val="00F75537"/>
    <w:rsid w:val="00F756E6"/>
    <w:rsid w:val="00F75744"/>
    <w:rsid w:val="00F757B3"/>
    <w:rsid w:val="00F7587C"/>
    <w:rsid w:val="00F75A10"/>
    <w:rsid w:val="00F75B35"/>
    <w:rsid w:val="00F75CA7"/>
    <w:rsid w:val="00F75DCB"/>
    <w:rsid w:val="00F75DE3"/>
    <w:rsid w:val="00F75E11"/>
    <w:rsid w:val="00F75E15"/>
    <w:rsid w:val="00F75E86"/>
    <w:rsid w:val="00F75F75"/>
    <w:rsid w:val="00F76048"/>
    <w:rsid w:val="00F76065"/>
    <w:rsid w:val="00F76255"/>
    <w:rsid w:val="00F762AD"/>
    <w:rsid w:val="00F76331"/>
    <w:rsid w:val="00F76338"/>
    <w:rsid w:val="00F7643D"/>
    <w:rsid w:val="00F7649F"/>
    <w:rsid w:val="00F76536"/>
    <w:rsid w:val="00F76803"/>
    <w:rsid w:val="00F7689B"/>
    <w:rsid w:val="00F768C9"/>
    <w:rsid w:val="00F769F8"/>
    <w:rsid w:val="00F76AF5"/>
    <w:rsid w:val="00F76B21"/>
    <w:rsid w:val="00F76B40"/>
    <w:rsid w:val="00F76C12"/>
    <w:rsid w:val="00F76DAE"/>
    <w:rsid w:val="00F76EA1"/>
    <w:rsid w:val="00F76FEB"/>
    <w:rsid w:val="00F7718A"/>
    <w:rsid w:val="00F771CF"/>
    <w:rsid w:val="00F771F4"/>
    <w:rsid w:val="00F7730B"/>
    <w:rsid w:val="00F77382"/>
    <w:rsid w:val="00F774EC"/>
    <w:rsid w:val="00F7759B"/>
    <w:rsid w:val="00F7762B"/>
    <w:rsid w:val="00F7767F"/>
    <w:rsid w:val="00F777A2"/>
    <w:rsid w:val="00F77816"/>
    <w:rsid w:val="00F77819"/>
    <w:rsid w:val="00F77885"/>
    <w:rsid w:val="00F778B0"/>
    <w:rsid w:val="00F77931"/>
    <w:rsid w:val="00F779E5"/>
    <w:rsid w:val="00F77A23"/>
    <w:rsid w:val="00F77BBC"/>
    <w:rsid w:val="00F77D5B"/>
    <w:rsid w:val="00F77E28"/>
    <w:rsid w:val="00F77E54"/>
    <w:rsid w:val="00F77E69"/>
    <w:rsid w:val="00F77FC6"/>
    <w:rsid w:val="00F77FCB"/>
    <w:rsid w:val="00F77FF0"/>
    <w:rsid w:val="00F800B1"/>
    <w:rsid w:val="00F80100"/>
    <w:rsid w:val="00F80194"/>
    <w:rsid w:val="00F80317"/>
    <w:rsid w:val="00F80463"/>
    <w:rsid w:val="00F804B0"/>
    <w:rsid w:val="00F804BB"/>
    <w:rsid w:val="00F80577"/>
    <w:rsid w:val="00F80604"/>
    <w:rsid w:val="00F80735"/>
    <w:rsid w:val="00F80772"/>
    <w:rsid w:val="00F80944"/>
    <w:rsid w:val="00F80A11"/>
    <w:rsid w:val="00F80A5C"/>
    <w:rsid w:val="00F80A91"/>
    <w:rsid w:val="00F80AA9"/>
    <w:rsid w:val="00F80AAE"/>
    <w:rsid w:val="00F80B68"/>
    <w:rsid w:val="00F80BE9"/>
    <w:rsid w:val="00F80DB4"/>
    <w:rsid w:val="00F80DFB"/>
    <w:rsid w:val="00F80FF2"/>
    <w:rsid w:val="00F8111B"/>
    <w:rsid w:val="00F8112C"/>
    <w:rsid w:val="00F811CF"/>
    <w:rsid w:val="00F81295"/>
    <w:rsid w:val="00F812C2"/>
    <w:rsid w:val="00F81338"/>
    <w:rsid w:val="00F813EA"/>
    <w:rsid w:val="00F814F6"/>
    <w:rsid w:val="00F81557"/>
    <w:rsid w:val="00F8158A"/>
    <w:rsid w:val="00F815A2"/>
    <w:rsid w:val="00F81800"/>
    <w:rsid w:val="00F818DF"/>
    <w:rsid w:val="00F81954"/>
    <w:rsid w:val="00F81BC9"/>
    <w:rsid w:val="00F81D1E"/>
    <w:rsid w:val="00F81D66"/>
    <w:rsid w:val="00F81D92"/>
    <w:rsid w:val="00F81E05"/>
    <w:rsid w:val="00F81EB6"/>
    <w:rsid w:val="00F81F6D"/>
    <w:rsid w:val="00F82014"/>
    <w:rsid w:val="00F82042"/>
    <w:rsid w:val="00F82171"/>
    <w:rsid w:val="00F821A8"/>
    <w:rsid w:val="00F821EE"/>
    <w:rsid w:val="00F8222E"/>
    <w:rsid w:val="00F822BF"/>
    <w:rsid w:val="00F82BAD"/>
    <w:rsid w:val="00F82C4F"/>
    <w:rsid w:val="00F82E5D"/>
    <w:rsid w:val="00F82E9B"/>
    <w:rsid w:val="00F82EC8"/>
    <w:rsid w:val="00F82FE7"/>
    <w:rsid w:val="00F83002"/>
    <w:rsid w:val="00F83027"/>
    <w:rsid w:val="00F8306C"/>
    <w:rsid w:val="00F830E8"/>
    <w:rsid w:val="00F832B6"/>
    <w:rsid w:val="00F832C4"/>
    <w:rsid w:val="00F8330F"/>
    <w:rsid w:val="00F8336C"/>
    <w:rsid w:val="00F833C0"/>
    <w:rsid w:val="00F834C8"/>
    <w:rsid w:val="00F837E6"/>
    <w:rsid w:val="00F83873"/>
    <w:rsid w:val="00F83A74"/>
    <w:rsid w:val="00F83A84"/>
    <w:rsid w:val="00F83BD1"/>
    <w:rsid w:val="00F83C11"/>
    <w:rsid w:val="00F83C51"/>
    <w:rsid w:val="00F83C90"/>
    <w:rsid w:val="00F83C91"/>
    <w:rsid w:val="00F83D3F"/>
    <w:rsid w:val="00F83DA8"/>
    <w:rsid w:val="00F83E16"/>
    <w:rsid w:val="00F83E6F"/>
    <w:rsid w:val="00F83EC5"/>
    <w:rsid w:val="00F8401A"/>
    <w:rsid w:val="00F840CC"/>
    <w:rsid w:val="00F841D6"/>
    <w:rsid w:val="00F843CB"/>
    <w:rsid w:val="00F844C1"/>
    <w:rsid w:val="00F84592"/>
    <w:rsid w:val="00F84614"/>
    <w:rsid w:val="00F846FF"/>
    <w:rsid w:val="00F84719"/>
    <w:rsid w:val="00F848E3"/>
    <w:rsid w:val="00F84947"/>
    <w:rsid w:val="00F849BA"/>
    <w:rsid w:val="00F84C10"/>
    <w:rsid w:val="00F84C11"/>
    <w:rsid w:val="00F84CE7"/>
    <w:rsid w:val="00F84D10"/>
    <w:rsid w:val="00F84D81"/>
    <w:rsid w:val="00F84DEF"/>
    <w:rsid w:val="00F84E0F"/>
    <w:rsid w:val="00F84E91"/>
    <w:rsid w:val="00F84F93"/>
    <w:rsid w:val="00F85089"/>
    <w:rsid w:val="00F8512E"/>
    <w:rsid w:val="00F85138"/>
    <w:rsid w:val="00F8521C"/>
    <w:rsid w:val="00F85259"/>
    <w:rsid w:val="00F8533A"/>
    <w:rsid w:val="00F854DC"/>
    <w:rsid w:val="00F85553"/>
    <w:rsid w:val="00F85596"/>
    <w:rsid w:val="00F85604"/>
    <w:rsid w:val="00F8562E"/>
    <w:rsid w:val="00F858A8"/>
    <w:rsid w:val="00F85916"/>
    <w:rsid w:val="00F8591C"/>
    <w:rsid w:val="00F8591E"/>
    <w:rsid w:val="00F85A02"/>
    <w:rsid w:val="00F85A2A"/>
    <w:rsid w:val="00F85A40"/>
    <w:rsid w:val="00F85A94"/>
    <w:rsid w:val="00F85AA5"/>
    <w:rsid w:val="00F85AA9"/>
    <w:rsid w:val="00F85B4B"/>
    <w:rsid w:val="00F85C32"/>
    <w:rsid w:val="00F85DE4"/>
    <w:rsid w:val="00F85DF1"/>
    <w:rsid w:val="00F85E4A"/>
    <w:rsid w:val="00F85EB6"/>
    <w:rsid w:val="00F85EE1"/>
    <w:rsid w:val="00F85F11"/>
    <w:rsid w:val="00F85F7A"/>
    <w:rsid w:val="00F85FBD"/>
    <w:rsid w:val="00F8613D"/>
    <w:rsid w:val="00F861A4"/>
    <w:rsid w:val="00F86339"/>
    <w:rsid w:val="00F864B7"/>
    <w:rsid w:val="00F86519"/>
    <w:rsid w:val="00F867F2"/>
    <w:rsid w:val="00F868EF"/>
    <w:rsid w:val="00F8691A"/>
    <w:rsid w:val="00F86984"/>
    <w:rsid w:val="00F86989"/>
    <w:rsid w:val="00F86A66"/>
    <w:rsid w:val="00F86BC4"/>
    <w:rsid w:val="00F86E81"/>
    <w:rsid w:val="00F86EB6"/>
    <w:rsid w:val="00F86EF1"/>
    <w:rsid w:val="00F86F6C"/>
    <w:rsid w:val="00F87013"/>
    <w:rsid w:val="00F8704E"/>
    <w:rsid w:val="00F8709F"/>
    <w:rsid w:val="00F87196"/>
    <w:rsid w:val="00F872D8"/>
    <w:rsid w:val="00F8742C"/>
    <w:rsid w:val="00F87455"/>
    <w:rsid w:val="00F876B1"/>
    <w:rsid w:val="00F8775E"/>
    <w:rsid w:val="00F877AD"/>
    <w:rsid w:val="00F877B1"/>
    <w:rsid w:val="00F878D7"/>
    <w:rsid w:val="00F87ABC"/>
    <w:rsid w:val="00F87C08"/>
    <w:rsid w:val="00F87D63"/>
    <w:rsid w:val="00F87D86"/>
    <w:rsid w:val="00F87DB4"/>
    <w:rsid w:val="00F87DDE"/>
    <w:rsid w:val="00F87DFD"/>
    <w:rsid w:val="00F87E5D"/>
    <w:rsid w:val="00F87E84"/>
    <w:rsid w:val="00F90004"/>
    <w:rsid w:val="00F90262"/>
    <w:rsid w:val="00F9026D"/>
    <w:rsid w:val="00F904C5"/>
    <w:rsid w:val="00F904D3"/>
    <w:rsid w:val="00F90591"/>
    <w:rsid w:val="00F905B5"/>
    <w:rsid w:val="00F905BB"/>
    <w:rsid w:val="00F906DE"/>
    <w:rsid w:val="00F90781"/>
    <w:rsid w:val="00F907B7"/>
    <w:rsid w:val="00F907CD"/>
    <w:rsid w:val="00F90863"/>
    <w:rsid w:val="00F9089F"/>
    <w:rsid w:val="00F90907"/>
    <w:rsid w:val="00F90AF2"/>
    <w:rsid w:val="00F90B84"/>
    <w:rsid w:val="00F90BED"/>
    <w:rsid w:val="00F90C05"/>
    <w:rsid w:val="00F90D90"/>
    <w:rsid w:val="00F90DFA"/>
    <w:rsid w:val="00F90E27"/>
    <w:rsid w:val="00F91159"/>
    <w:rsid w:val="00F911DA"/>
    <w:rsid w:val="00F91291"/>
    <w:rsid w:val="00F9131B"/>
    <w:rsid w:val="00F9141F"/>
    <w:rsid w:val="00F914A3"/>
    <w:rsid w:val="00F915C3"/>
    <w:rsid w:val="00F915D0"/>
    <w:rsid w:val="00F9187B"/>
    <w:rsid w:val="00F9188D"/>
    <w:rsid w:val="00F918E5"/>
    <w:rsid w:val="00F91964"/>
    <w:rsid w:val="00F919C4"/>
    <w:rsid w:val="00F919D0"/>
    <w:rsid w:val="00F919ED"/>
    <w:rsid w:val="00F91A54"/>
    <w:rsid w:val="00F91A60"/>
    <w:rsid w:val="00F91A9F"/>
    <w:rsid w:val="00F91AC5"/>
    <w:rsid w:val="00F91BFD"/>
    <w:rsid w:val="00F91CEE"/>
    <w:rsid w:val="00F91E5A"/>
    <w:rsid w:val="00F91E7A"/>
    <w:rsid w:val="00F91ECE"/>
    <w:rsid w:val="00F92249"/>
    <w:rsid w:val="00F9224C"/>
    <w:rsid w:val="00F92270"/>
    <w:rsid w:val="00F92280"/>
    <w:rsid w:val="00F92480"/>
    <w:rsid w:val="00F92602"/>
    <w:rsid w:val="00F9270C"/>
    <w:rsid w:val="00F928A6"/>
    <w:rsid w:val="00F928AF"/>
    <w:rsid w:val="00F9294E"/>
    <w:rsid w:val="00F92A1F"/>
    <w:rsid w:val="00F92A4E"/>
    <w:rsid w:val="00F92A8B"/>
    <w:rsid w:val="00F92B32"/>
    <w:rsid w:val="00F92BF4"/>
    <w:rsid w:val="00F92C1F"/>
    <w:rsid w:val="00F92C60"/>
    <w:rsid w:val="00F92C82"/>
    <w:rsid w:val="00F92DE4"/>
    <w:rsid w:val="00F92E4B"/>
    <w:rsid w:val="00F92E72"/>
    <w:rsid w:val="00F92E89"/>
    <w:rsid w:val="00F93054"/>
    <w:rsid w:val="00F931C4"/>
    <w:rsid w:val="00F9325C"/>
    <w:rsid w:val="00F932BD"/>
    <w:rsid w:val="00F9335E"/>
    <w:rsid w:val="00F93422"/>
    <w:rsid w:val="00F9348C"/>
    <w:rsid w:val="00F9356C"/>
    <w:rsid w:val="00F935D5"/>
    <w:rsid w:val="00F936B1"/>
    <w:rsid w:val="00F936C4"/>
    <w:rsid w:val="00F93762"/>
    <w:rsid w:val="00F937E7"/>
    <w:rsid w:val="00F937E8"/>
    <w:rsid w:val="00F93859"/>
    <w:rsid w:val="00F93897"/>
    <w:rsid w:val="00F93AD5"/>
    <w:rsid w:val="00F93E65"/>
    <w:rsid w:val="00F93E92"/>
    <w:rsid w:val="00F940C2"/>
    <w:rsid w:val="00F94146"/>
    <w:rsid w:val="00F94187"/>
    <w:rsid w:val="00F94198"/>
    <w:rsid w:val="00F941D3"/>
    <w:rsid w:val="00F941EB"/>
    <w:rsid w:val="00F94398"/>
    <w:rsid w:val="00F943B0"/>
    <w:rsid w:val="00F945A7"/>
    <w:rsid w:val="00F94640"/>
    <w:rsid w:val="00F94650"/>
    <w:rsid w:val="00F9493F"/>
    <w:rsid w:val="00F9496C"/>
    <w:rsid w:val="00F94B23"/>
    <w:rsid w:val="00F94B69"/>
    <w:rsid w:val="00F94BCD"/>
    <w:rsid w:val="00F94D74"/>
    <w:rsid w:val="00F94DE9"/>
    <w:rsid w:val="00F94E65"/>
    <w:rsid w:val="00F94F2C"/>
    <w:rsid w:val="00F94F36"/>
    <w:rsid w:val="00F94F50"/>
    <w:rsid w:val="00F95120"/>
    <w:rsid w:val="00F951E0"/>
    <w:rsid w:val="00F953CA"/>
    <w:rsid w:val="00F954F6"/>
    <w:rsid w:val="00F95539"/>
    <w:rsid w:val="00F95590"/>
    <w:rsid w:val="00F95769"/>
    <w:rsid w:val="00F957ED"/>
    <w:rsid w:val="00F95957"/>
    <w:rsid w:val="00F959C8"/>
    <w:rsid w:val="00F95A3B"/>
    <w:rsid w:val="00F95ACD"/>
    <w:rsid w:val="00F95BB7"/>
    <w:rsid w:val="00F95BD6"/>
    <w:rsid w:val="00F95D46"/>
    <w:rsid w:val="00F95FA0"/>
    <w:rsid w:val="00F96061"/>
    <w:rsid w:val="00F960D4"/>
    <w:rsid w:val="00F96124"/>
    <w:rsid w:val="00F9614E"/>
    <w:rsid w:val="00F9625E"/>
    <w:rsid w:val="00F9626E"/>
    <w:rsid w:val="00F96387"/>
    <w:rsid w:val="00F963B9"/>
    <w:rsid w:val="00F96428"/>
    <w:rsid w:val="00F96479"/>
    <w:rsid w:val="00F96499"/>
    <w:rsid w:val="00F96570"/>
    <w:rsid w:val="00F965C4"/>
    <w:rsid w:val="00F96622"/>
    <w:rsid w:val="00F96661"/>
    <w:rsid w:val="00F96664"/>
    <w:rsid w:val="00F966D8"/>
    <w:rsid w:val="00F96759"/>
    <w:rsid w:val="00F96770"/>
    <w:rsid w:val="00F967D5"/>
    <w:rsid w:val="00F96806"/>
    <w:rsid w:val="00F96907"/>
    <w:rsid w:val="00F96976"/>
    <w:rsid w:val="00F96AA4"/>
    <w:rsid w:val="00F96C8F"/>
    <w:rsid w:val="00F96CE3"/>
    <w:rsid w:val="00F96DC3"/>
    <w:rsid w:val="00F96E20"/>
    <w:rsid w:val="00F96E29"/>
    <w:rsid w:val="00F96F4E"/>
    <w:rsid w:val="00F96F8C"/>
    <w:rsid w:val="00F97015"/>
    <w:rsid w:val="00F970B6"/>
    <w:rsid w:val="00F9711B"/>
    <w:rsid w:val="00F973C8"/>
    <w:rsid w:val="00F97499"/>
    <w:rsid w:val="00F974D6"/>
    <w:rsid w:val="00F9755E"/>
    <w:rsid w:val="00F9766D"/>
    <w:rsid w:val="00F97740"/>
    <w:rsid w:val="00F97761"/>
    <w:rsid w:val="00F97770"/>
    <w:rsid w:val="00F977B1"/>
    <w:rsid w:val="00F97850"/>
    <w:rsid w:val="00F97ADA"/>
    <w:rsid w:val="00F97B3A"/>
    <w:rsid w:val="00F97BED"/>
    <w:rsid w:val="00F97C66"/>
    <w:rsid w:val="00FA000B"/>
    <w:rsid w:val="00FA0020"/>
    <w:rsid w:val="00FA0026"/>
    <w:rsid w:val="00FA01F6"/>
    <w:rsid w:val="00FA033F"/>
    <w:rsid w:val="00FA0414"/>
    <w:rsid w:val="00FA0472"/>
    <w:rsid w:val="00FA0537"/>
    <w:rsid w:val="00FA05D8"/>
    <w:rsid w:val="00FA06C0"/>
    <w:rsid w:val="00FA0718"/>
    <w:rsid w:val="00FA07B8"/>
    <w:rsid w:val="00FA0878"/>
    <w:rsid w:val="00FA0891"/>
    <w:rsid w:val="00FA09CC"/>
    <w:rsid w:val="00FA0B7F"/>
    <w:rsid w:val="00FA0B9D"/>
    <w:rsid w:val="00FA0C5D"/>
    <w:rsid w:val="00FA0CB6"/>
    <w:rsid w:val="00FA0CBD"/>
    <w:rsid w:val="00FA0D2D"/>
    <w:rsid w:val="00FA0E30"/>
    <w:rsid w:val="00FA0E92"/>
    <w:rsid w:val="00FA0ECF"/>
    <w:rsid w:val="00FA0F62"/>
    <w:rsid w:val="00FA1112"/>
    <w:rsid w:val="00FA1142"/>
    <w:rsid w:val="00FA137F"/>
    <w:rsid w:val="00FA13C2"/>
    <w:rsid w:val="00FA13D9"/>
    <w:rsid w:val="00FA1444"/>
    <w:rsid w:val="00FA146B"/>
    <w:rsid w:val="00FA1671"/>
    <w:rsid w:val="00FA1731"/>
    <w:rsid w:val="00FA18CC"/>
    <w:rsid w:val="00FA1991"/>
    <w:rsid w:val="00FA1B50"/>
    <w:rsid w:val="00FA1DD3"/>
    <w:rsid w:val="00FA1E90"/>
    <w:rsid w:val="00FA1F50"/>
    <w:rsid w:val="00FA206B"/>
    <w:rsid w:val="00FA20AB"/>
    <w:rsid w:val="00FA20F2"/>
    <w:rsid w:val="00FA213C"/>
    <w:rsid w:val="00FA21BC"/>
    <w:rsid w:val="00FA2215"/>
    <w:rsid w:val="00FA228F"/>
    <w:rsid w:val="00FA2430"/>
    <w:rsid w:val="00FA259B"/>
    <w:rsid w:val="00FA25AD"/>
    <w:rsid w:val="00FA260B"/>
    <w:rsid w:val="00FA26A0"/>
    <w:rsid w:val="00FA2724"/>
    <w:rsid w:val="00FA27AB"/>
    <w:rsid w:val="00FA27F9"/>
    <w:rsid w:val="00FA289B"/>
    <w:rsid w:val="00FA28AB"/>
    <w:rsid w:val="00FA28C9"/>
    <w:rsid w:val="00FA28DE"/>
    <w:rsid w:val="00FA2BF2"/>
    <w:rsid w:val="00FA2DCB"/>
    <w:rsid w:val="00FA2EE8"/>
    <w:rsid w:val="00FA2EE9"/>
    <w:rsid w:val="00FA2F1A"/>
    <w:rsid w:val="00FA2FFF"/>
    <w:rsid w:val="00FA32D9"/>
    <w:rsid w:val="00FA3468"/>
    <w:rsid w:val="00FA36BE"/>
    <w:rsid w:val="00FA373A"/>
    <w:rsid w:val="00FA3A94"/>
    <w:rsid w:val="00FA3B09"/>
    <w:rsid w:val="00FA3C7A"/>
    <w:rsid w:val="00FA3D7E"/>
    <w:rsid w:val="00FA3FDF"/>
    <w:rsid w:val="00FA4042"/>
    <w:rsid w:val="00FA41C6"/>
    <w:rsid w:val="00FA4254"/>
    <w:rsid w:val="00FA425C"/>
    <w:rsid w:val="00FA425E"/>
    <w:rsid w:val="00FA42E4"/>
    <w:rsid w:val="00FA43DD"/>
    <w:rsid w:val="00FA45ED"/>
    <w:rsid w:val="00FA478F"/>
    <w:rsid w:val="00FA48C4"/>
    <w:rsid w:val="00FA48C6"/>
    <w:rsid w:val="00FA48DE"/>
    <w:rsid w:val="00FA4911"/>
    <w:rsid w:val="00FA49C4"/>
    <w:rsid w:val="00FA4B70"/>
    <w:rsid w:val="00FA4CA2"/>
    <w:rsid w:val="00FA4D8C"/>
    <w:rsid w:val="00FA4DCB"/>
    <w:rsid w:val="00FA4E02"/>
    <w:rsid w:val="00FA4E29"/>
    <w:rsid w:val="00FA4E60"/>
    <w:rsid w:val="00FA4F6F"/>
    <w:rsid w:val="00FA4FFF"/>
    <w:rsid w:val="00FA506F"/>
    <w:rsid w:val="00FA51C6"/>
    <w:rsid w:val="00FA52EC"/>
    <w:rsid w:val="00FA5494"/>
    <w:rsid w:val="00FA56DC"/>
    <w:rsid w:val="00FA598D"/>
    <w:rsid w:val="00FA598E"/>
    <w:rsid w:val="00FA599D"/>
    <w:rsid w:val="00FA59C5"/>
    <w:rsid w:val="00FA5C57"/>
    <w:rsid w:val="00FA5C58"/>
    <w:rsid w:val="00FA5E28"/>
    <w:rsid w:val="00FA5EF8"/>
    <w:rsid w:val="00FA5F27"/>
    <w:rsid w:val="00FA5FA6"/>
    <w:rsid w:val="00FA5FCC"/>
    <w:rsid w:val="00FA61F7"/>
    <w:rsid w:val="00FA6355"/>
    <w:rsid w:val="00FA63CA"/>
    <w:rsid w:val="00FA6473"/>
    <w:rsid w:val="00FA64AF"/>
    <w:rsid w:val="00FA6596"/>
    <w:rsid w:val="00FA65C0"/>
    <w:rsid w:val="00FA6640"/>
    <w:rsid w:val="00FA6656"/>
    <w:rsid w:val="00FA6668"/>
    <w:rsid w:val="00FA6676"/>
    <w:rsid w:val="00FA66E0"/>
    <w:rsid w:val="00FA688B"/>
    <w:rsid w:val="00FA68AA"/>
    <w:rsid w:val="00FA68F3"/>
    <w:rsid w:val="00FA6A0D"/>
    <w:rsid w:val="00FA6C23"/>
    <w:rsid w:val="00FA6E91"/>
    <w:rsid w:val="00FA6F1E"/>
    <w:rsid w:val="00FA6FC6"/>
    <w:rsid w:val="00FA702D"/>
    <w:rsid w:val="00FA70A3"/>
    <w:rsid w:val="00FA70DE"/>
    <w:rsid w:val="00FA70F4"/>
    <w:rsid w:val="00FA7217"/>
    <w:rsid w:val="00FA72BA"/>
    <w:rsid w:val="00FA73AD"/>
    <w:rsid w:val="00FA7511"/>
    <w:rsid w:val="00FA75A5"/>
    <w:rsid w:val="00FA762D"/>
    <w:rsid w:val="00FA7685"/>
    <w:rsid w:val="00FA7780"/>
    <w:rsid w:val="00FA77F3"/>
    <w:rsid w:val="00FA7914"/>
    <w:rsid w:val="00FA7936"/>
    <w:rsid w:val="00FA7CB1"/>
    <w:rsid w:val="00FA7CF0"/>
    <w:rsid w:val="00FA7DD8"/>
    <w:rsid w:val="00FA7E9A"/>
    <w:rsid w:val="00FA7ED9"/>
    <w:rsid w:val="00FB0020"/>
    <w:rsid w:val="00FB0190"/>
    <w:rsid w:val="00FB0294"/>
    <w:rsid w:val="00FB029A"/>
    <w:rsid w:val="00FB030B"/>
    <w:rsid w:val="00FB03B7"/>
    <w:rsid w:val="00FB0423"/>
    <w:rsid w:val="00FB04D4"/>
    <w:rsid w:val="00FB05FB"/>
    <w:rsid w:val="00FB0836"/>
    <w:rsid w:val="00FB0858"/>
    <w:rsid w:val="00FB0952"/>
    <w:rsid w:val="00FB0D23"/>
    <w:rsid w:val="00FB0E86"/>
    <w:rsid w:val="00FB102D"/>
    <w:rsid w:val="00FB1564"/>
    <w:rsid w:val="00FB1695"/>
    <w:rsid w:val="00FB1716"/>
    <w:rsid w:val="00FB17B7"/>
    <w:rsid w:val="00FB17CD"/>
    <w:rsid w:val="00FB184A"/>
    <w:rsid w:val="00FB1863"/>
    <w:rsid w:val="00FB18A1"/>
    <w:rsid w:val="00FB1A08"/>
    <w:rsid w:val="00FB1B0C"/>
    <w:rsid w:val="00FB1C2B"/>
    <w:rsid w:val="00FB1C43"/>
    <w:rsid w:val="00FB1C77"/>
    <w:rsid w:val="00FB1C97"/>
    <w:rsid w:val="00FB1CA2"/>
    <w:rsid w:val="00FB1E52"/>
    <w:rsid w:val="00FB1FBF"/>
    <w:rsid w:val="00FB1FD5"/>
    <w:rsid w:val="00FB2087"/>
    <w:rsid w:val="00FB208C"/>
    <w:rsid w:val="00FB2130"/>
    <w:rsid w:val="00FB22C7"/>
    <w:rsid w:val="00FB22FA"/>
    <w:rsid w:val="00FB232B"/>
    <w:rsid w:val="00FB2358"/>
    <w:rsid w:val="00FB2464"/>
    <w:rsid w:val="00FB24F2"/>
    <w:rsid w:val="00FB262E"/>
    <w:rsid w:val="00FB2690"/>
    <w:rsid w:val="00FB26C7"/>
    <w:rsid w:val="00FB2A6B"/>
    <w:rsid w:val="00FB2A86"/>
    <w:rsid w:val="00FB2BD3"/>
    <w:rsid w:val="00FB2C84"/>
    <w:rsid w:val="00FB2E07"/>
    <w:rsid w:val="00FB2E10"/>
    <w:rsid w:val="00FB2E63"/>
    <w:rsid w:val="00FB2E71"/>
    <w:rsid w:val="00FB2F53"/>
    <w:rsid w:val="00FB31EB"/>
    <w:rsid w:val="00FB3326"/>
    <w:rsid w:val="00FB3580"/>
    <w:rsid w:val="00FB359F"/>
    <w:rsid w:val="00FB36E9"/>
    <w:rsid w:val="00FB36F0"/>
    <w:rsid w:val="00FB392C"/>
    <w:rsid w:val="00FB3A20"/>
    <w:rsid w:val="00FB3B12"/>
    <w:rsid w:val="00FB3B93"/>
    <w:rsid w:val="00FB3C40"/>
    <w:rsid w:val="00FB3CC3"/>
    <w:rsid w:val="00FB3D02"/>
    <w:rsid w:val="00FB3D69"/>
    <w:rsid w:val="00FB3F93"/>
    <w:rsid w:val="00FB41A5"/>
    <w:rsid w:val="00FB4207"/>
    <w:rsid w:val="00FB42F4"/>
    <w:rsid w:val="00FB438F"/>
    <w:rsid w:val="00FB43CA"/>
    <w:rsid w:val="00FB4408"/>
    <w:rsid w:val="00FB4467"/>
    <w:rsid w:val="00FB4561"/>
    <w:rsid w:val="00FB4676"/>
    <w:rsid w:val="00FB46BE"/>
    <w:rsid w:val="00FB46F3"/>
    <w:rsid w:val="00FB47C5"/>
    <w:rsid w:val="00FB4865"/>
    <w:rsid w:val="00FB4900"/>
    <w:rsid w:val="00FB495C"/>
    <w:rsid w:val="00FB498A"/>
    <w:rsid w:val="00FB4AC0"/>
    <w:rsid w:val="00FB4CE8"/>
    <w:rsid w:val="00FB4D0D"/>
    <w:rsid w:val="00FB4E48"/>
    <w:rsid w:val="00FB4E9E"/>
    <w:rsid w:val="00FB5029"/>
    <w:rsid w:val="00FB508D"/>
    <w:rsid w:val="00FB50F3"/>
    <w:rsid w:val="00FB516F"/>
    <w:rsid w:val="00FB5182"/>
    <w:rsid w:val="00FB51CD"/>
    <w:rsid w:val="00FB529F"/>
    <w:rsid w:val="00FB540A"/>
    <w:rsid w:val="00FB558A"/>
    <w:rsid w:val="00FB55E9"/>
    <w:rsid w:val="00FB560F"/>
    <w:rsid w:val="00FB5636"/>
    <w:rsid w:val="00FB5658"/>
    <w:rsid w:val="00FB5790"/>
    <w:rsid w:val="00FB5791"/>
    <w:rsid w:val="00FB5842"/>
    <w:rsid w:val="00FB5870"/>
    <w:rsid w:val="00FB592C"/>
    <w:rsid w:val="00FB59D8"/>
    <w:rsid w:val="00FB5ADD"/>
    <w:rsid w:val="00FB5B33"/>
    <w:rsid w:val="00FB5BF7"/>
    <w:rsid w:val="00FB5C0D"/>
    <w:rsid w:val="00FB5C30"/>
    <w:rsid w:val="00FB5CEC"/>
    <w:rsid w:val="00FB5E33"/>
    <w:rsid w:val="00FB5E4A"/>
    <w:rsid w:val="00FB5E99"/>
    <w:rsid w:val="00FB5FB4"/>
    <w:rsid w:val="00FB609C"/>
    <w:rsid w:val="00FB61FE"/>
    <w:rsid w:val="00FB636D"/>
    <w:rsid w:val="00FB651E"/>
    <w:rsid w:val="00FB6567"/>
    <w:rsid w:val="00FB657C"/>
    <w:rsid w:val="00FB659D"/>
    <w:rsid w:val="00FB65AA"/>
    <w:rsid w:val="00FB6766"/>
    <w:rsid w:val="00FB6801"/>
    <w:rsid w:val="00FB68A9"/>
    <w:rsid w:val="00FB68C2"/>
    <w:rsid w:val="00FB6C3C"/>
    <w:rsid w:val="00FB6CDC"/>
    <w:rsid w:val="00FB6DA4"/>
    <w:rsid w:val="00FB6DC2"/>
    <w:rsid w:val="00FB6E50"/>
    <w:rsid w:val="00FB6ECA"/>
    <w:rsid w:val="00FB6F50"/>
    <w:rsid w:val="00FB6F84"/>
    <w:rsid w:val="00FB711B"/>
    <w:rsid w:val="00FB726A"/>
    <w:rsid w:val="00FB72C8"/>
    <w:rsid w:val="00FB72E0"/>
    <w:rsid w:val="00FB7612"/>
    <w:rsid w:val="00FB761E"/>
    <w:rsid w:val="00FB7662"/>
    <w:rsid w:val="00FB7682"/>
    <w:rsid w:val="00FB772A"/>
    <w:rsid w:val="00FB77B9"/>
    <w:rsid w:val="00FB7829"/>
    <w:rsid w:val="00FB7830"/>
    <w:rsid w:val="00FB79E2"/>
    <w:rsid w:val="00FB7A7A"/>
    <w:rsid w:val="00FB7BE0"/>
    <w:rsid w:val="00FB7D0E"/>
    <w:rsid w:val="00FB7D94"/>
    <w:rsid w:val="00FB7EAC"/>
    <w:rsid w:val="00FB7FB2"/>
    <w:rsid w:val="00FC001E"/>
    <w:rsid w:val="00FC00FA"/>
    <w:rsid w:val="00FC015B"/>
    <w:rsid w:val="00FC0174"/>
    <w:rsid w:val="00FC01DD"/>
    <w:rsid w:val="00FC0262"/>
    <w:rsid w:val="00FC03F2"/>
    <w:rsid w:val="00FC04AE"/>
    <w:rsid w:val="00FC04E0"/>
    <w:rsid w:val="00FC0573"/>
    <w:rsid w:val="00FC058A"/>
    <w:rsid w:val="00FC0594"/>
    <w:rsid w:val="00FC069F"/>
    <w:rsid w:val="00FC06C9"/>
    <w:rsid w:val="00FC071A"/>
    <w:rsid w:val="00FC0731"/>
    <w:rsid w:val="00FC07DD"/>
    <w:rsid w:val="00FC0803"/>
    <w:rsid w:val="00FC0A88"/>
    <w:rsid w:val="00FC0A8C"/>
    <w:rsid w:val="00FC0AA2"/>
    <w:rsid w:val="00FC0AAD"/>
    <w:rsid w:val="00FC0B59"/>
    <w:rsid w:val="00FC0BF2"/>
    <w:rsid w:val="00FC0C12"/>
    <w:rsid w:val="00FC0F1E"/>
    <w:rsid w:val="00FC1075"/>
    <w:rsid w:val="00FC10C2"/>
    <w:rsid w:val="00FC1176"/>
    <w:rsid w:val="00FC12FC"/>
    <w:rsid w:val="00FC131C"/>
    <w:rsid w:val="00FC1326"/>
    <w:rsid w:val="00FC1366"/>
    <w:rsid w:val="00FC1368"/>
    <w:rsid w:val="00FC144F"/>
    <w:rsid w:val="00FC155E"/>
    <w:rsid w:val="00FC15EE"/>
    <w:rsid w:val="00FC17CC"/>
    <w:rsid w:val="00FC1800"/>
    <w:rsid w:val="00FC18EF"/>
    <w:rsid w:val="00FC19E6"/>
    <w:rsid w:val="00FC19F2"/>
    <w:rsid w:val="00FC1A26"/>
    <w:rsid w:val="00FC1B68"/>
    <w:rsid w:val="00FC1BA5"/>
    <w:rsid w:val="00FC1C5D"/>
    <w:rsid w:val="00FC1C87"/>
    <w:rsid w:val="00FC1D62"/>
    <w:rsid w:val="00FC1E36"/>
    <w:rsid w:val="00FC1EA3"/>
    <w:rsid w:val="00FC1EC7"/>
    <w:rsid w:val="00FC1F40"/>
    <w:rsid w:val="00FC1F89"/>
    <w:rsid w:val="00FC1F96"/>
    <w:rsid w:val="00FC2426"/>
    <w:rsid w:val="00FC276A"/>
    <w:rsid w:val="00FC2968"/>
    <w:rsid w:val="00FC2979"/>
    <w:rsid w:val="00FC2A33"/>
    <w:rsid w:val="00FC2AC6"/>
    <w:rsid w:val="00FC2AD9"/>
    <w:rsid w:val="00FC2B04"/>
    <w:rsid w:val="00FC2B0B"/>
    <w:rsid w:val="00FC2C58"/>
    <w:rsid w:val="00FC2CC5"/>
    <w:rsid w:val="00FC2D64"/>
    <w:rsid w:val="00FC2E49"/>
    <w:rsid w:val="00FC2F74"/>
    <w:rsid w:val="00FC3035"/>
    <w:rsid w:val="00FC30C1"/>
    <w:rsid w:val="00FC31AC"/>
    <w:rsid w:val="00FC31EC"/>
    <w:rsid w:val="00FC3250"/>
    <w:rsid w:val="00FC3308"/>
    <w:rsid w:val="00FC3431"/>
    <w:rsid w:val="00FC34BB"/>
    <w:rsid w:val="00FC371A"/>
    <w:rsid w:val="00FC3805"/>
    <w:rsid w:val="00FC3845"/>
    <w:rsid w:val="00FC3888"/>
    <w:rsid w:val="00FC3891"/>
    <w:rsid w:val="00FC3894"/>
    <w:rsid w:val="00FC38F8"/>
    <w:rsid w:val="00FC38FA"/>
    <w:rsid w:val="00FC3943"/>
    <w:rsid w:val="00FC39E1"/>
    <w:rsid w:val="00FC3A00"/>
    <w:rsid w:val="00FC3AA5"/>
    <w:rsid w:val="00FC3B29"/>
    <w:rsid w:val="00FC3B72"/>
    <w:rsid w:val="00FC3C46"/>
    <w:rsid w:val="00FC3D81"/>
    <w:rsid w:val="00FC3F18"/>
    <w:rsid w:val="00FC3F69"/>
    <w:rsid w:val="00FC3F96"/>
    <w:rsid w:val="00FC3F99"/>
    <w:rsid w:val="00FC40E0"/>
    <w:rsid w:val="00FC40E6"/>
    <w:rsid w:val="00FC41A4"/>
    <w:rsid w:val="00FC41AA"/>
    <w:rsid w:val="00FC422D"/>
    <w:rsid w:val="00FC43C6"/>
    <w:rsid w:val="00FC44C8"/>
    <w:rsid w:val="00FC4510"/>
    <w:rsid w:val="00FC4520"/>
    <w:rsid w:val="00FC4529"/>
    <w:rsid w:val="00FC4599"/>
    <w:rsid w:val="00FC4605"/>
    <w:rsid w:val="00FC4638"/>
    <w:rsid w:val="00FC464B"/>
    <w:rsid w:val="00FC46A1"/>
    <w:rsid w:val="00FC46DA"/>
    <w:rsid w:val="00FC47E8"/>
    <w:rsid w:val="00FC47F6"/>
    <w:rsid w:val="00FC48A1"/>
    <w:rsid w:val="00FC48FE"/>
    <w:rsid w:val="00FC4A71"/>
    <w:rsid w:val="00FC4B55"/>
    <w:rsid w:val="00FC4C13"/>
    <w:rsid w:val="00FC4EC3"/>
    <w:rsid w:val="00FC4EE6"/>
    <w:rsid w:val="00FC4EFF"/>
    <w:rsid w:val="00FC4F5C"/>
    <w:rsid w:val="00FC5112"/>
    <w:rsid w:val="00FC51AE"/>
    <w:rsid w:val="00FC53ED"/>
    <w:rsid w:val="00FC5590"/>
    <w:rsid w:val="00FC5633"/>
    <w:rsid w:val="00FC56D0"/>
    <w:rsid w:val="00FC5771"/>
    <w:rsid w:val="00FC5909"/>
    <w:rsid w:val="00FC5B01"/>
    <w:rsid w:val="00FC5B60"/>
    <w:rsid w:val="00FC5BD4"/>
    <w:rsid w:val="00FC5C53"/>
    <w:rsid w:val="00FC5CDD"/>
    <w:rsid w:val="00FC5CF0"/>
    <w:rsid w:val="00FC5D66"/>
    <w:rsid w:val="00FC5D8D"/>
    <w:rsid w:val="00FC5FB3"/>
    <w:rsid w:val="00FC6023"/>
    <w:rsid w:val="00FC607A"/>
    <w:rsid w:val="00FC612E"/>
    <w:rsid w:val="00FC616C"/>
    <w:rsid w:val="00FC620B"/>
    <w:rsid w:val="00FC632C"/>
    <w:rsid w:val="00FC6333"/>
    <w:rsid w:val="00FC63BE"/>
    <w:rsid w:val="00FC65A4"/>
    <w:rsid w:val="00FC65FE"/>
    <w:rsid w:val="00FC66AE"/>
    <w:rsid w:val="00FC66D3"/>
    <w:rsid w:val="00FC66E0"/>
    <w:rsid w:val="00FC676B"/>
    <w:rsid w:val="00FC6770"/>
    <w:rsid w:val="00FC677A"/>
    <w:rsid w:val="00FC67BD"/>
    <w:rsid w:val="00FC67E0"/>
    <w:rsid w:val="00FC67EB"/>
    <w:rsid w:val="00FC6AAC"/>
    <w:rsid w:val="00FC6AEC"/>
    <w:rsid w:val="00FC6B3E"/>
    <w:rsid w:val="00FC6CA9"/>
    <w:rsid w:val="00FC6CC3"/>
    <w:rsid w:val="00FC6CD0"/>
    <w:rsid w:val="00FC6E23"/>
    <w:rsid w:val="00FC6E98"/>
    <w:rsid w:val="00FC6FC2"/>
    <w:rsid w:val="00FC70F4"/>
    <w:rsid w:val="00FC712A"/>
    <w:rsid w:val="00FC71D1"/>
    <w:rsid w:val="00FC745D"/>
    <w:rsid w:val="00FC7528"/>
    <w:rsid w:val="00FC7631"/>
    <w:rsid w:val="00FC772C"/>
    <w:rsid w:val="00FC7877"/>
    <w:rsid w:val="00FC78A9"/>
    <w:rsid w:val="00FC7928"/>
    <w:rsid w:val="00FC7C22"/>
    <w:rsid w:val="00FC7D92"/>
    <w:rsid w:val="00FC7DB9"/>
    <w:rsid w:val="00FC7E0F"/>
    <w:rsid w:val="00FC7E56"/>
    <w:rsid w:val="00FC7E7A"/>
    <w:rsid w:val="00FC7EA0"/>
    <w:rsid w:val="00FD007A"/>
    <w:rsid w:val="00FD012D"/>
    <w:rsid w:val="00FD01A2"/>
    <w:rsid w:val="00FD01F8"/>
    <w:rsid w:val="00FD02D8"/>
    <w:rsid w:val="00FD02DA"/>
    <w:rsid w:val="00FD0471"/>
    <w:rsid w:val="00FD051D"/>
    <w:rsid w:val="00FD0553"/>
    <w:rsid w:val="00FD057E"/>
    <w:rsid w:val="00FD06C6"/>
    <w:rsid w:val="00FD06F0"/>
    <w:rsid w:val="00FD078D"/>
    <w:rsid w:val="00FD084F"/>
    <w:rsid w:val="00FD08FD"/>
    <w:rsid w:val="00FD0925"/>
    <w:rsid w:val="00FD094F"/>
    <w:rsid w:val="00FD0A0A"/>
    <w:rsid w:val="00FD0B33"/>
    <w:rsid w:val="00FD0C04"/>
    <w:rsid w:val="00FD0C97"/>
    <w:rsid w:val="00FD0D05"/>
    <w:rsid w:val="00FD0DB2"/>
    <w:rsid w:val="00FD0E34"/>
    <w:rsid w:val="00FD0EB8"/>
    <w:rsid w:val="00FD0ED8"/>
    <w:rsid w:val="00FD1017"/>
    <w:rsid w:val="00FD10AC"/>
    <w:rsid w:val="00FD113C"/>
    <w:rsid w:val="00FD116C"/>
    <w:rsid w:val="00FD11C5"/>
    <w:rsid w:val="00FD1416"/>
    <w:rsid w:val="00FD145A"/>
    <w:rsid w:val="00FD14FB"/>
    <w:rsid w:val="00FD1689"/>
    <w:rsid w:val="00FD1D90"/>
    <w:rsid w:val="00FD1E07"/>
    <w:rsid w:val="00FD1E51"/>
    <w:rsid w:val="00FD1E83"/>
    <w:rsid w:val="00FD1EC1"/>
    <w:rsid w:val="00FD21F1"/>
    <w:rsid w:val="00FD2200"/>
    <w:rsid w:val="00FD2279"/>
    <w:rsid w:val="00FD2363"/>
    <w:rsid w:val="00FD23A8"/>
    <w:rsid w:val="00FD251B"/>
    <w:rsid w:val="00FD2566"/>
    <w:rsid w:val="00FD2728"/>
    <w:rsid w:val="00FD272E"/>
    <w:rsid w:val="00FD274C"/>
    <w:rsid w:val="00FD276A"/>
    <w:rsid w:val="00FD28B2"/>
    <w:rsid w:val="00FD2ABE"/>
    <w:rsid w:val="00FD2AC1"/>
    <w:rsid w:val="00FD2C41"/>
    <w:rsid w:val="00FD2EB1"/>
    <w:rsid w:val="00FD2EB9"/>
    <w:rsid w:val="00FD2EE7"/>
    <w:rsid w:val="00FD2F58"/>
    <w:rsid w:val="00FD2FEC"/>
    <w:rsid w:val="00FD30BF"/>
    <w:rsid w:val="00FD3146"/>
    <w:rsid w:val="00FD323A"/>
    <w:rsid w:val="00FD3244"/>
    <w:rsid w:val="00FD3290"/>
    <w:rsid w:val="00FD344B"/>
    <w:rsid w:val="00FD3606"/>
    <w:rsid w:val="00FD361A"/>
    <w:rsid w:val="00FD3689"/>
    <w:rsid w:val="00FD369B"/>
    <w:rsid w:val="00FD379D"/>
    <w:rsid w:val="00FD37AB"/>
    <w:rsid w:val="00FD37C3"/>
    <w:rsid w:val="00FD383B"/>
    <w:rsid w:val="00FD39D7"/>
    <w:rsid w:val="00FD39DD"/>
    <w:rsid w:val="00FD3A0C"/>
    <w:rsid w:val="00FD3B84"/>
    <w:rsid w:val="00FD3BCA"/>
    <w:rsid w:val="00FD3BD2"/>
    <w:rsid w:val="00FD3C06"/>
    <w:rsid w:val="00FD3C94"/>
    <w:rsid w:val="00FD3CBF"/>
    <w:rsid w:val="00FD3E13"/>
    <w:rsid w:val="00FD3E48"/>
    <w:rsid w:val="00FD3F3F"/>
    <w:rsid w:val="00FD40ED"/>
    <w:rsid w:val="00FD415B"/>
    <w:rsid w:val="00FD426A"/>
    <w:rsid w:val="00FD4308"/>
    <w:rsid w:val="00FD4352"/>
    <w:rsid w:val="00FD4369"/>
    <w:rsid w:val="00FD43FF"/>
    <w:rsid w:val="00FD4446"/>
    <w:rsid w:val="00FD445B"/>
    <w:rsid w:val="00FD44BC"/>
    <w:rsid w:val="00FD4512"/>
    <w:rsid w:val="00FD461F"/>
    <w:rsid w:val="00FD46A8"/>
    <w:rsid w:val="00FD46C6"/>
    <w:rsid w:val="00FD479C"/>
    <w:rsid w:val="00FD488B"/>
    <w:rsid w:val="00FD490E"/>
    <w:rsid w:val="00FD494E"/>
    <w:rsid w:val="00FD495C"/>
    <w:rsid w:val="00FD49B0"/>
    <w:rsid w:val="00FD4BBA"/>
    <w:rsid w:val="00FD4BE2"/>
    <w:rsid w:val="00FD4BF2"/>
    <w:rsid w:val="00FD4D61"/>
    <w:rsid w:val="00FD4E95"/>
    <w:rsid w:val="00FD5148"/>
    <w:rsid w:val="00FD5250"/>
    <w:rsid w:val="00FD5276"/>
    <w:rsid w:val="00FD52D0"/>
    <w:rsid w:val="00FD5361"/>
    <w:rsid w:val="00FD546E"/>
    <w:rsid w:val="00FD5508"/>
    <w:rsid w:val="00FD5541"/>
    <w:rsid w:val="00FD5939"/>
    <w:rsid w:val="00FD598F"/>
    <w:rsid w:val="00FD5A83"/>
    <w:rsid w:val="00FD5AA0"/>
    <w:rsid w:val="00FD5AB9"/>
    <w:rsid w:val="00FD5C96"/>
    <w:rsid w:val="00FD5CE4"/>
    <w:rsid w:val="00FD5CFF"/>
    <w:rsid w:val="00FD5DBF"/>
    <w:rsid w:val="00FD5E41"/>
    <w:rsid w:val="00FD5E57"/>
    <w:rsid w:val="00FD5EC3"/>
    <w:rsid w:val="00FD6000"/>
    <w:rsid w:val="00FD6068"/>
    <w:rsid w:val="00FD612A"/>
    <w:rsid w:val="00FD61BA"/>
    <w:rsid w:val="00FD636C"/>
    <w:rsid w:val="00FD63A3"/>
    <w:rsid w:val="00FD64F7"/>
    <w:rsid w:val="00FD6551"/>
    <w:rsid w:val="00FD65E3"/>
    <w:rsid w:val="00FD67B5"/>
    <w:rsid w:val="00FD68FE"/>
    <w:rsid w:val="00FD690F"/>
    <w:rsid w:val="00FD6942"/>
    <w:rsid w:val="00FD6A28"/>
    <w:rsid w:val="00FD6A4B"/>
    <w:rsid w:val="00FD6BA3"/>
    <w:rsid w:val="00FD6BFF"/>
    <w:rsid w:val="00FD6C61"/>
    <w:rsid w:val="00FD6D67"/>
    <w:rsid w:val="00FD6D96"/>
    <w:rsid w:val="00FD6E3D"/>
    <w:rsid w:val="00FD6F2D"/>
    <w:rsid w:val="00FD6FB0"/>
    <w:rsid w:val="00FD6FF0"/>
    <w:rsid w:val="00FD7142"/>
    <w:rsid w:val="00FD7207"/>
    <w:rsid w:val="00FD7214"/>
    <w:rsid w:val="00FD724C"/>
    <w:rsid w:val="00FD73BF"/>
    <w:rsid w:val="00FD7494"/>
    <w:rsid w:val="00FD7555"/>
    <w:rsid w:val="00FD7616"/>
    <w:rsid w:val="00FD7754"/>
    <w:rsid w:val="00FD779D"/>
    <w:rsid w:val="00FD78D9"/>
    <w:rsid w:val="00FD7A64"/>
    <w:rsid w:val="00FD7BD0"/>
    <w:rsid w:val="00FD7DC8"/>
    <w:rsid w:val="00FD7E7D"/>
    <w:rsid w:val="00FD7F0D"/>
    <w:rsid w:val="00FE00A4"/>
    <w:rsid w:val="00FE013E"/>
    <w:rsid w:val="00FE01BD"/>
    <w:rsid w:val="00FE0213"/>
    <w:rsid w:val="00FE031C"/>
    <w:rsid w:val="00FE03A9"/>
    <w:rsid w:val="00FE0416"/>
    <w:rsid w:val="00FE047D"/>
    <w:rsid w:val="00FE0554"/>
    <w:rsid w:val="00FE05B3"/>
    <w:rsid w:val="00FE05E2"/>
    <w:rsid w:val="00FE0653"/>
    <w:rsid w:val="00FE0A15"/>
    <w:rsid w:val="00FE0D9A"/>
    <w:rsid w:val="00FE0F16"/>
    <w:rsid w:val="00FE0F42"/>
    <w:rsid w:val="00FE0F56"/>
    <w:rsid w:val="00FE0FF1"/>
    <w:rsid w:val="00FE1184"/>
    <w:rsid w:val="00FE11EB"/>
    <w:rsid w:val="00FE11F9"/>
    <w:rsid w:val="00FE1253"/>
    <w:rsid w:val="00FE12F4"/>
    <w:rsid w:val="00FE139A"/>
    <w:rsid w:val="00FE1682"/>
    <w:rsid w:val="00FE1729"/>
    <w:rsid w:val="00FE17F0"/>
    <w:rsid w:val="00FE18D3"/>
    <w:rsid w:val="00FE1A8D"/>
    <w:rsid w:val="00FE1A93"/>
    <w:rsid w:val="00FE1AD9"/>
    <w:rsid w:val="00FE1ADF"/>
    <w:rsid w:val="00FE1AE6"/>
    <w:rsid w:val="00FE1B84"/>
    <w:rsid w:val="00FE1BDE"/>
    <w:rsid w:val="00FE1DD8"/>
    <w:rsid w:val="00FE1E45"/>
    <w:rsid w:val="00FE1EF6"/>
    <w:rsid w:val="00FE1F65"/>
    <w:rsid w:val="00FE201F"/>
    <w:rsid w:val="00FE20A1"/>
    <w:rsid w:val="00FE20E4"/>
    <w:rsid w:val="00FE21B7"/>
    <w:rsid w:val="00FE2355"/>
    <w:rsid w:val="00FE2443"/>
    <w:rsid w:val="00FE26B0"/>
    <w:rsid w:val="00FE2878"/>
    <w:rsid w:val="00FE287F"/>
    <w:rsid w:val="00FE2990"/>
    <w:rsid w:val="00FE2994"/>
    <w:rsid w:val="00FE2997"/>
    <w:rsid w:val="00FE29F5"/>
    <w:rsid w:val="00FE2BDE"/>
    <w:rsid w:val="00FE2BE0"/>
    <w:rsid w:val="00FE2C5E"/>
    <w:rsid w:val="00FE2CEF"/>
    <w:rsid w:val="00FE2D2A"/>
    <w:rsid w:val="00FE2D3B"/>
    <w:rsid w:val="00FE2F6C"/>
    <w:rsid w:val="00FE2FE6"/>
    <w:rsid w:val="00FE2FFF"/>
    <w:rsid w:val="00FE31FC"/>
    <w:rsid w:val="00FE3408"/>
    <w:rsid w:val="00FE34D6"/>
    <w:rsid w:val="00FE37C6"/>
    <w:rsid w:val="00FE37EF"/>
    <w:rsid w:val="00FE3A37"/>
    <w:rsid w:val="00FE3AAC"/>
    <w:rsid w:val="00FE3B11"/>
    <w:rsid w:val="00FE3B95"/>
    <w:rsid w:val="00FE42E6"/>
    <w:rsid w:val="00FE43C0"/>
    <w:rsid w:val="00FE451A"/>
    <w:rsid w:val="00FE4556"/>
    <w:rsid w:val="00FE45B0"/>
    <w:rsid w:val="00FE46A1"/>
    <w:rsid w:val="00FE46C4"/>
    <w:rsid w:val="00FE4808"/>
    <w:rsid w:val="00FE48B8"/>
    <w:rsid w:val="00FE498B"/>
    <w:rsid w:val="00FE49CA"/>
    <w:rsid w:val="00FE4A99"/>
    <w:rsid w:val="00FE4AEC"/>
    <w:rsid w:val="00FE4D4A"/>
    <w:rsid w:val="00FE4E2A"/>
    <w:rsid w:val="00FE4F39"/>
    <w:rsid w:val="00FE5014"/>
    <w:rsid w:val="00FE5027"/>
    <w:rsid w:val="00FE544F"/>
    <w:rsid w:val="00FE5700"/>
    <w:rsid w:val="00FE572E"/>
    <w:rsid w:val="00FE58CD"/>
    <w:rsid w:val="00FE593E"/>
    <w:rsid w:val="00FE5AE7"/>
    <w:rsid w:val="00FE5B7C"/>
    <w:rsid w:val="00FE5D0F"/>
    <w:rsid w:val="00FE5D4E"/>
    <w:rsid w:val="00FE5D4F"/>
    <w:rsid w:val="00FE5DBB"/>
    <w:rsid w:val="00FE5F00"/>
    <w:rsid w:val="00FE5F72"/>
    <w:rsid w:val="00FE5FAC"/>
    <w:rsid w:val="00FE601A"/>
    <w:rsid w:val="00FE6168"/>
    <w:rsid w:val="00FE61E0"/>
    <w:rsid w:val="00FE6228"/>
    <w:rsid w:val="00FE6232"/>
    <w:rsid w:val="00FE635C"/>
    <w:rsid w:val="00FE636D"/>
    <w:rsid w:val="00FE641A"/>
    <w:rsid w:val="00FE6426"/>
    <w:rsid w:val="00FE659D"/>
    <w:rsid w:val="00FE66F6"/>
    <w:rsid w:val="00FE6742"/>
    <w:rsid w:val="00FE678B"/>
    <w:rsid w:val="00FE6807"/>
    <w:rsid w:val="00FE68EC"/>
    <w:rsid w:val="00FE69C6"/>
    <w:rsid w:val="00FE6A08"/>
    <w:rsid w:val="00FE6A12"/>
    <w:rsid w:val="00FE6A27"/>
    <w:rsid w:val="00FE6A2A"/>
    <w:rsid w:val="00FE6A57"/>
    <w:rsid w:val="00FE6ACE"/>
    <w:rsid w:val="00FE6C7F"/>
    <w:rsid w:val="00FE6E7D"/>
    <w:rsid w:val="00FE6FAA"/>
    <w:rsid w:val="00FE701E"/>
    <w:rsid w:val="00FE7025"/>
    <w:rsid w:val="00FE71EB"/>
    <w:rsid w:val="00FE72D7"/>
    <w:rsid w:val="00FE735B"/>
    <w:rsid w:val="00FE741D"/>
    <w:rsid w:val="00FE744D"/>
    <w:rsid w:val="00FE7464"/>
    <w:rsid w:val="00FE74D2"/>
    <w:rsid w:val="00FE755A"/>
    <w:rsid w:val="00FE75D8"/>
    <w:rsid w:val="00FE772E"/>
    <w:rsid w:val="00FE7783"/>
    <w:rsid w:val="00FE781F"/>
    <w:rsid w:val="00FE7866"/>
    <w:rsid w:val="00FE795D"/>
    <w:rsid w:val="00FE7A04"/>
    <w:rsid w:val="00FE7C46"/>
    <w:rsid w:val="00FE7C79"/>
    <w:rsid w:val="00FE7C90"/>
    <w:rsid w:val="00FE7CC8"/>
    <w:rsid w:val="00FE7DE7"/>
    <w:rsid w:val="00FE7E80"/>
    <w:rsid w:val="00FE7F6A"/>
    <w:rsid w:val="00FF0030"/>
    <w:rsid w:val="00FF01FE"/>
    <w:rsid w:val="00FF0204"/>
    <w:rsid w:val="00FF030D"/>
    <w:rsid w:val="00FF0456"/>
    <w:rsid w:val="00FF04EE"/>
    <w:rsid w:val="00FF0663"/>
    <w:rsid w:val="00FF06B8"/>
    <w:rsid w:val="00FF07C0"/>
    <w:rsid w:val="00FF08AF"/>
    <w:rsid w:val="00FF097B"/>
    <w:rsid w:val="00FF09A3"/>
    <w:rsid w:val="00FF0B0C"/>
    <w:rsid w:val="00FF0BB2"/>
    <w:rsid w:val="00FF0CB1"/>
    <w:rsid w:val="00FF0CF5"/>
    <w:rsid w:val="00FF0CFE"/>
    <w:rsid w:val="00FF0D04"/>
    <w:rsid w:val="00FF0DAE"/>
    <w:rsid w:val="00FF0E66"/>
    <w:rsid w:val="00FF0E75"/>
    <w:rsid w:val="00FF0F61"/>
    <w:rsid w:val="00FF100C"/>
    <w:rsid w:val="00FF104A"/>
    <w:rsid w:val="00FF1346"/>
    <w:rsid w:val="00FF1472"/>
    <w:rsid w:val="00FF1528"/>
    <w:rsid w:val="00FF1689"/>
    <w:rsid w:val="00FF17CC"/>
    <w:rsid w:val="00FF1888"/>
    <w:rsid w:val="00FF18F0"/>
    <w:rsid w:val="00FF193E"/>
    <w:rsid w:val="00FF1A64"/>
    <w:rsid w:val="00FF1A77"/>
    <w:rsid w:val="00FF1B53"/>
    <w:rsid w:val="00FF1BF7"/>
    <w:rsid w:val="00FF1D0B"/>
    <w:rsid w:val="00FF1D55"/>
    <w:rsid w:val="00FF1DC7"/>
    <w:rsid w:val="00FF1E09"/>
    <w:rsid w:val="00FF1E2A"/>
    <w:rsid w:val="00FF1E8D"/>
    <w:rsid w:val="00FF1F44"/>
    <w:rsid w:val="00FF1FCF"/>
    <w:rsid w:val="00FF2020"/>
    <w:rsid w:val="00FF2075"/>
    <w:rsid w:val="00FF20B1"/>
    <w:rsid w:val="00FF21C6"/>
    <w:rsid w:val="00FF2229"/>
    <w:rsid w:val="00FF22E5"/>
    <w:rsid w:val="00FF23B8"/>
    <w:rsid w:val="00FF240B"/>
    <w:rsid w:val="00FF2428"/>
    <w:rsid w:val="00FF2436"/>
    <w:rsid w:val="00FF24A9"/>
    <w:rsid w:val="00FF2693"/>
    <w:rsid w:val="00FF26DA"/>
    <w:rsid w:val="00FF273B"/>
    <w:rsid w:val="00FF2774"/>
    <w:rsid w:val="00FF28CC"/>
    <w:rsid w:val="00FF2C20"/>
    <w:rsid w:val="00FF2D23"/>
    <w:rsid w:val="00FF2D36"/>
    <w:rsid w:val="00FF2D4E"/>
    <w:rsid w:val="00FF2DC6"/>
    <w:rsid w:val="00FF2E38"/>
    <w:rsid w:val="00FF3039"/>
    <w:rsid w:val="00FF31AB"/>
    <w:rsid w:val="00FF329D"/>
    <w:rsid w:val="00FF3393"/>
    <w:rsid w:val="00FF3522"/>
    <w:rsid w:val="00FF35BF"/>
    <w:rsid w:val="00FF3609"/>
    <w:rsid w:val="00FF3708"/>
    <w:rsid w:val="00FF37E6"/>
    <w:rsid w:val="00FF3890"/>
    <w:rsid w:val="00FF3A40"/>
    <w:rsid w:val="00FF3BDE"/>
    <w:rsid w:val="00FF3DCD"/>
    <w:rsid w:val="00FF3DD2"/>
    <w:rsid w:val="00FF3F00"/>
    <w:rsid w:val="00FF3F5A"/>
    <w:rsid w:val="00FF3FE0"/>
    <w:rsid w:val="00FF4060"/>
    <w:rsid w:val="00FF4066"/>
    <w:rsid w:val="00FF410C"/>
    <w:rsid w:val="00FF4172"/>
    <w:rsid w:val="00FF41F2"/>
    <w:rsid w:val="00FF421C"/>
    <w:rsid w:val="00FF43A2"/>
    <w:rsid w:val="00FF43B3"/>
    <w:rsid w:val="00FF4452"/>
    <w:rsid w:val="00FF44EE"/>
    <w:rsid w:val="00FF464B"/>
    <w:rsid w:val="00FF465D"/>
    <w:rsid w:val="00FF473E"/>
    <w:rsid w:val="00FF47BA"/>
    <w:rsid w:val="00FF47EE"/>
    <w:rsid w:val="00FF485D"/>
    <w:rsid w:val="00FF4899"/>
    <w:rsid w:val="00FF48A9"/>
    <w:rsid w:val="00FF491A"/>
    <w:rsid w:val="00FF4A88"/>
    <w:rsid w:val="00FF4BE0"/>
    <w:rsid w:val="00FF4DB7"/>
    <w:rsid w:val="00FF4DF1"/>
    <w:rsid w:val="00FF4DF7"/>
    <w:rsid w:val="00FF4E6B"/>
    <w:rsid w:val="00FF504D"/>
    <w:rsid w:val="00FF50B2"/>
    <w:rsid w:val="00FF5242"/>
    <w:rsid w:val="00FF52A8"/>
    <w:rsid w:val="00FF52B7"/>
    <w:rsid w:val="00FF53B5"/>
    <w:rsid w:val="00FF54B5"/>
    <w:rsid w:val="00FF54EA"/>
    <w:rsid w:val="00FF5519"/>
    <w:rsid w:val="00FF55BF"/>
    <w:rsid w:val="00FF5602"/>
    <w:rsid w:val="00FF5752"/>
    <w:rsid w:val="00FF59C0"/>
    <w:rsid w:val="00FF5A3B"/>
    <w:rsid w:val="00FF5A70"/>
    <w:rsid w:val="00FF5B24"/>
    <w:rsid w:val="00FF5B5C"/>
    <w:rsid w:val="00FF5B73"/>
    <w:rsid w:val="00FF5BAF"/>
    <w:rsid w:val="00FF5BE2"/>
    <w:rsid w:val="00FF5CEE"/>
    <w:rsid w:val="00FF5D9F"/>
    <w:rsid w:val="00FF5EE2"/>
    <w:rsid w:val="00FF5F19"/>
    <w:rsid w:val="00FF5F23"/>
    <w:rsid w:val="00FF6130"/>
    <w:rsid w:val="00FF6178"/>
    <w:rsid w:val="00FF623A"/>
    <w:rsid w:val="00FF635B"/>
    <w:rsid w:val="00FF6394"/>
    <w:rsid w:val="00FF63DB"/>
    <w:rsid w:val="00FF6605"/>
    <w:rsid w:val="00FF665B"/>
    <w:rsid w:val="00FF677D"/>
    <w:rsid w:val="00FF6791"/>
    <w:rsid w:val="00FF67D1"/>
    <w:rsid w:val="00FF67D7"/>
    <w:rsid w:val="00FF6821"/>
    <w:rsid w:val="00FF6885"/>
    <w:rsid w:val="00FF698D"/>
    <w:rsid w:val="00FF69B2"/>
    <w:rsid w:val="00FF6A1D"/>
    <w:rsid w:val="00FF6BC9"/>
    <w:rsid w:val="00FF6C3C"/>
    <w:rsid w:val="00FF6C58"/>
    <w:rsid w:val="00FF6D08"/>
    <w:rsid w:val="00FF6DA7"/>
    <w:rsid w:val="00FF6FCE"/>
    <w:rsid w:val="00FF7029"/>
    <w:rsid w:val="00FF711B"/>
    <w:rsid w:val="00FF71CE"/>
    <w:rsid w:val="00FF7286"/>
    <w:rsid w:val="00FF72B7"/>
    <w:rsid w:val="00FF743E"/>
    <w:rsid w:val="00FF7676"/>
    <w:rsid w:val="00FF76D2"/>
    <w:rsid w:val="00FF774E"/>
    <w:rsid w:val="00FF77A8"/>
    <w:rsid w:val="00FF78EE"/>
    <w:rsid w:val="00FF790D"/>
    <w:rsid w:val="00FF7983"/>
    <w:rsid w:val="00FF7AA8"/>
    <w:rsid w:val="00FF7B6E"/>
    <w:rsid w:val="00FF7D0D"/>
    <w:rsid w:val="00FF7D20"/>
    <w:rsid w:val="00FF7D2D"/>
    <w:rsid w:val="00FF7D56"/>
    <w:rsid w:val="01027DFD"/>
    <w:rsid w:val="0118F50D"/>
    <w:rsid w:val="012BFE99"/>
    <w:rsid w:val="013A3732"/>
    <w:rsid w:val="0161F05E"/>
    <w:rsid w:val="016B8A72"/>
    <w:rsid w:val="01842484"/>
    <w:rsid w:val="01863F68"/>
    <w:rsid w:val="01967DA6"/>
    <w:rsid w:val="01A551D1"/>
    <w:rsid w:val="01BDD6C4"/>
    <w:rsid w:val="02018B7D"/>
    <w:rsid w:val="0205941D"/>
    <w:rsid w:val="022FD87A"/>
    <w:rsid w:val="024F136C"/>
    <w:rsid w:val="0250A309"/>
    <w:rsid w:val="02534DDB"/>
    <w:rsid w:val="025D7106"/>
    <w:rsid w:val="0265BE34"/>
    <w:rsid w:val="0289F5E1"/>
    <w:rsid w:val="02932F04"/>
    <w:rsid w:val="02A80BE9"/>
    <w:rsid w:val="02EBE7D8"/>
    <w:rsid w:val="03063E06"/>
    <w:rsid w:val="030BC18A"/>
    <w:rsid w:val="031F9B20"/>
    <w:rsid w:val="03406D57"/>
    <w:rsid w:val="034A9D3E"/>
    <w:rsid w:val="03772BE8"/>
    <w:rsid w:val="038686B7"/>
    <w:rsid w:val="03B2C95D"/>
    <w:rsid w:val="03B4646A"/>
    <w:rsid w:val="03BCFDF0"/>
    <w:rsid w:val="03DC287C"/>
    <w:rsid w:val="03E55411"/>
    <w:rsid w:val="0417E7D7"/>
    <w:rsid w:val="04258F35"/>
    <w:rsid w:val="044137DB"/>
    <w:rsid w:val="0446AAF8"/>
    <w:rsid w:val="0446DEB8"/>
    <w:rsid w:val="04730F4E"/>
    <w:rsid w:val="0479A7C9"/>
    <w:rsid w:val="04843226"/>
    <w:rsid w:val="0484CC1C"/>
    <w:rsid w:val="04A40F1C"/>
    <w:rsid w:val="04B0D1A9"/>
    <w:rsid w:val="04B97419"/>
    <w:rsid w:val="04E345B3"/>
    <w:rsid w:val="0504FEB3"/>
    <w:rsid w:val="0530D928"/>
    <w:rsid w:val="0546027B"/>
    <w:rsid w:val="0569937B"/>
    <w:rsid w:val="05B6672A"/>
    <w:rsid w:val="05BDE79F"/>
    <w:rsid w:val="05C24EE6"/>
    <w:rsid w:val="05D3850C"/>
    <w:rsid w:val="05EE87A5"/>
    <w:rsid w:val="05F2A14A"/>
    <w:rsid w:val="0624B76B"/>
    <w:rsid w:val="062FD989"/>
    <w:rsid w:val="065C3995"/>
    <w:rsid w:val="06633CDA"/>
    <w:rsid w:val="0683B989"/>
    <w:rsid w:val="06897623"/>
    <w:rsid w:val="069D9A72"/>
    <w:rsid w:val="06C9D4CA"/>
    <w:rsid w:val="06D8C383"/>
    <w:rsid w:val="06DD2A90"/>
    <w:rsid w:val="06F1601D"/>
    <w:rsid w:val="06F2E938"/>
    <w:rsid w:val="06FAEA9F"/>
    <w:rsid w:val="0708EA94"/>
    <w:rsid w:val="07204C50"/>
    <w:rsid w:val="07242807"/>
    <w:rsid w:val="072DC39C"/>
    <w:rsid w:val="07448336"/>
    <w:rsid w:val="075A6F12"/>
    <w:rsid w:val="075ED902"/>
    <w:rsid w:val="07703DDD"/>
    <w:rsid w:val="07954EF9"/>
    <w:rsid w:val="07A1E153"/>
    <w:rsid w:val="07A57EC7"/>
    <w:rsid w:val="07AFBCD7"/>
    <w:rsid w:val="07B10150"/>
    <w:rsid w:val="07CBAEA8"/>
    <w:rsid w:val="07D85683"/>
    <w:rsid w:val="07DC7BA7"/>
    <w:rsid w:val="07DCF36B"/>
    <w:rsid w:val="07F2D208"/>
    <w:rsid w:val="0815AFCC"/>
    <w:rsid w:val="081732BE"/>
    <w:rsid w:val="08379DE7"/>
    <w:rsid w:val="084C78CB"/>
    <w:rsid w:val="0862AF4E"/>
    <w:rsid w:val="08729BA3"/>
    <w:rsid w:val="0891BDE2"/>
    <w:rsid w:val="089763EB"/>
    <w:rsid w:val="08982E24"/>
    <w:rsid w:val="08A39F91"/>
    <w:rsid w:val="08AB5FC3"/>
    <w:rsid w:val="08AD8185"/>
    <w:rsid w:val="08ADC27E"/>
    <w:rsid w:val="08AF1BD8"/>
    <w:rsid w:val="08B00F6B"/>
    <w:rsid w:val="08CB4FCF"/>
    <w:rsid w:val="08D62A4B"/>
    <w:rsid w:val="08DD88DE"/>
    <w:rsid w:val="08E3AE76"/>
    <w:rsid w:val="08E5C4C4"/>
    <w:rsid w:val="08EF53A1"/>
    <w:rsid w:val="08FF451B"/>
    <w:rsid w:val="09017ED4"/>
    <w:rsid w:val="0906219D"/>
    <w:rsid w:val="09064B36"/>
    <w:rsid w:val="09276650"/>
    <w:rsid w:val="093B8ED7"/>
    <w:rsid w:val="095EFF12"/>
    <w:rsid w:val="096653C5"/>
    <w:rsid w:val="098B6DD0"/>
    <w:rsid w:val="099194AE"/>
    <w:rsid w:val="09AEC8FA"/>
    <w:rsid w:val="09BEA363"/>
    <w:rsid w:val="09E3E401"/>
    <w:rsid w:val="09E69FE8"/>
    <w:rsid w:val="09F77E42"/>
    <w:rsid w:val="09FCC714"/>
    <w:rsid w:val="0A0501E1"/>
    <w:rsid w:val="0A147144"/>
    <w:rsid w:val="0A2CF4B4"/>
    <w:rsid w:val="0A4B70E5"/>
    <w:rsid w:val="0A559E0F"/>
    <w:rsid w:val="0A89872E"/>
    <w:rsid w:val="0A95BEE1"/>
    <w:rsid w:val="0AB59E79"/>
    <w:rsid w:val="0AB6D1AB"/>
    <w:rsid w:val="0AB82F6B"/>
    <w:rsid w:val="0AB915E8"/>
    <w:rsid w:val="0AE919B7"/>
    <w:rsid w:val="0AFADF69"/>
    <w:rsid w:val="0B17F885"/>
    <w:rsid w:val="0B25BE9F"/>
    <w:rsid w:val="0B42A931"/>
    <w:rsid w:val="0B52CEA2"/>
    <w:rsid w:val="0B6C747D"/>
    <w:rsid w:val="0B94E39F"/>
    <w:rsid w:val="0B9F507D"/>
    <w:rsid w:val="0BAB0A48"/>
    <w:rsid w:val="0BADFE51"/>
    <w:rsid w:val="0BCE01E5"/>
    <w:rsid w:val="0BDA2105"/>
    <w:rsid w:val="0BDEAF8B"/>
    <w:rsid w:val="0BEA0B81"/>
    <w:rsid w:val="0C4D2D06"/>
    <w:rsid w:val="0C5BD856"/>
    <w:rsid w:val="0C889048"/>
    <w:rsid w:val="0C961B29"/>
    <w:rsid w:val="0C9E6A66"/>
    <w:rsid w:val="0CE48262"/>
    <w:rsid w:val="0D0053D7"/>
    <w:rsid w:val="0D24D153"/>
    <w:rsid w:val="0D3D218E"/>
    <w:rsid w:val="0D431958"/>
    <w:rsid w:val="0D50FD41"/>
    <w:rsid w:val="0D9467C1"/>
    <w:rsid w:val="0D949DF7"/>
    <w:rsid w:val="0E0A6C3B"/>
    <w:rsid w:val="0E1ACAC7"/>
    <w:rsid w:val="0E4748B0"/>
    <w:rsid w:val="0E62B031"/>
    <w:rsid w:val="0EA6BC44"/>
    <w:rsid w:val="0EB15327"/>
    <w:rsid w:val="0EC290F3"/>
    <w:rsid w:val="0EC6219F"/>
    <w:rsid w:val="0EC67F7C"/>
    <w:rsid w:val="0EC81E32"/>
    <w:rsid w:val="0EE3ADD0"/>
    <w:rsid w:val="0EF44CD3"/>
    <w:rsid w:val="0EF86722"/>
    <w:rsid w:val="0F0D9D4A"/>
    <w:rsid w:val="0F2EED3F"/>
    <w:rsid w:val="0F38A244"/>
    <w:rsid w:val="0F601BD9"/>
    <w:rsid w:val="0F73BA6B"/>
    <w:rsid w:val="0F76E4B4"/>
    <w:rsid w:val="0F9A9D20"/>
    <w:rsid w:val="0FB71C2F"/>
    <w:rsid w:val="0FBBDB57"/>
    <w:rsid w:val="0FF4A93B"/>
    <w:rsid w:val="101476BC"/>
    <w:rsid w:val="1031ABF7"/>
    <w:rsid w:val="103F80A2"/>
    <w:rsid w:val="1059FD7A"/>
    <w:rsid w:val="10773D7D"/>
    <w:rsid w:val="10927133"/>
    <w:rsid w:val="1096CE16"/>
    <w:rsid w:val="1098D852"/>
    <w:rsid w:val="10995ED9"/>
    <w:rsid w:val="10A5D30C"/>
    <w:rsid w:val="10AE459C"/>
    <w:rsid w:val="10C33174"/>
    <w:rsid w:val="10C64AC4"/>
    <w:rsid w:val="1103B9F5"/>
    <w:rsid w:val="1112EAA5"/>
    <w:rsid w:val="1121BA8B"/>
    <w:rsid w:val="1130442D"/>
    <w:rsid w:val="113356D1"/>
    <w:rsid w:val="11484069"/>
    <w:rsid w:val="11634322"/>
    <w:rsid w:val="116FEB7B"/>
    <w:rsid w:val="1176A2C6"/>
    <w:rsid w:val="118506C0"/>
    <w:rsid w:val="11A02119"/>
    <w:rsid w:val="11E10ACB"/>
    <w:rsid w:val="11F38CC9"/>
    <w:rsid w:val="1236E06B"/>
    <w:rsid w:val="123AD838"/>
    <w:rsid w:val="1287F42C"/>
    <w:rsid w:val="12CDB72C"/>
    <w:rsid w:val="12CF1224"/>
    <w:rsid w:val="12D27852"/>
    <w:rsid w:val="12D94299"/>
    <w:rsid w:val="12E46074"/>
    <w:rsid w:val="12E4680B"/>
    <w:rsid w:val="12E71202"/>
    <w:rsid w:val="12F15FDD"/>
    <w:rsid w:val="12F92715"/>
    <w:rsid w:val="12FCB329"/>
    <w:rsid w:val="12FCBE7D"/>
    <w:rsid w:val="1303DF50"/>
    <w:rsid w:val="1318CD37"/>
    <w:rsid w:val="132A9540"/>
    <w:rsid w:val="13443B9A"/>
    <w:rsid w:val="135601F1"/>
    <w:rsid w:val="138AD3DA"/>
    <w:rsid w:val="13B6D1CD"/>
    <w:rsid w:val="13BF1354"/>
    <w:rsid w:val="13C29B99"/>
    <w:rsid w:val="13D7E7A6"/>
    <w:rsid w:val="13E8044D"/>
    <w:rsid w:val="1406BBBF"/>
    <w:rsid w:val="1426F627"/>
    <w:rsid w:val="14282132"/>
    <w:rsid w:val="1432C1C2"/>
    <w:rsid w:val="1456AF4F"/>
    <w:rsid w:val="1457854E"/>
    <w:rsid w:val="146A02C1"/>
    <w:rsid w:val="14707A3F"/>
    <w:rsid w:val="14743941"/>
    <w:rsid w:val="1485AE5E"/>
    <w:rsid w:val="1486D5DF"/>
    <w:rsid w:val="149C331F"/>
    <w:rsid w:val="14A3F92F"/>
    <w:rsid w:val="1529BD8F"/>
    <w:rsid w:val="1529CBFD"/>
    <w:rsid w:val="154300C9"/>
    <w:rsid w:val="158B470E"/>
    <w:rsid w:val="159DF8F9"/>
    <w:rsid w:val="15E6DCEC"/>
    <w:rsid w:val="15F3956B"/>
    <w:rsid w:val="15F5FC6C"/>
    <w:rsid w:val="1605120F"/>
    <w:rsid w:val="163B9C0C"/>
    <w:rsid w:val="163DC03A"/>
    <w:rsid w:val="16410828"/>
    <w:rsid w:val="166155D0"/>
    <w:rsid w:val="166E91E2"/>
    <w:rsid w:val="16911B49"/>
    <w:rsid w:val="16B68414"/>
    <w:rsid w:val="16C07091"/>
    <w:rsid w:val="16D1646A"/>
    <w:rsid w:val="16D8EE2D"/>
    <w:rsid w:val="16E6631B"/>
    <w:rsid w:val="16F3FFAE"/>
    <w:rsid w:val="171C2471"/>
    <w:rsid w:val="1738A24C"/>
    <w:rsid w:val="1763722D"/>
    <w:rsid w:val="176E9FB4"/>
    <w:rsid w:val="17717F17"/>
    <w:rsid w:val="178492C5"/>
    <w:rsid w:val="178ACB55"/>
    <w:rsid w:val="17B567B4"/>
    <w:rsid w:val="17C06871"/>
    <w:rsid w:val="17C5A357"/>
    <w:rsid w:val="17C64984"/>
    <w:rsid w:val="17D75003"/>
    <w:rsid w:val="17DD124F"/>
    <w:rsid w:val="180E0986"/>
    <w:rsid w:val="181046FB"/>
    <w:rsid w:val="18355CE0"/>
    <w:rsid w:val="1850ADC5"/>
    <w:rsid w:val="1874C1FE"/>
    <w:rsid w:val="187B9E86"/>
    <w:rsid w:val="187F15BF"/>
    <w:rsid w:val="187F3E82"/>
    <w:rsid w:val="188FD34E"/>
    <w:rsid w:val="18BF78AB"/>
    <w:rsid w:val="18C80F22"/>
    <w:rsid w:val="18C89932"/>
    <w:rsid w:val="18F275F7"/>
    <w:rsid w:val="18FEEDE1"/>
    <w:rsid w:val="19108415"/>
    <w:rsid w:val="19224F12"/>
    <w:rsid w:val="19252EE1"/>
    <w:rsid w:val="19272E8E"/>
    <w:rsid w:val="193C9DF0"/>
    <w:rsid w:val="195B61D7"/>
    <w:rsid w:val="19705F5B"/>
    <w:rsid w:val="1973CFB2"/>
    <w:rsid w:val="197E43C6"/>
    <w:rsid w:val="19ADAE3F"/>
    <w:rsid w:val="19B04424"/>
    <w:rsid w:val="19B08AA4"/>
    <w:rsid w:val="19B1B136"/>
    <w:rsid w:val="19B31F65"/>
    <w:rsid w:val="19D5A906"/>
    <w:rsid w:val="19D73822"/>
    <w:rsid w:val="19D79382"/>
    <w:rsid w:val="19DD34CA"/>
    <w:rsid w:val="1A040CCC"/>
    <w:rsid w:val="1A0BA42A"/>
    <w:rsid w:val="1A1914CE"/>
    <w:rsid w:val="1A1957F3"/>
    <w:rsid w:val="1A229FB4"/>
    <w:rsid w:val="1A3A99FA"/>
    <w:rsid w:val="1A3EB398"/>
    <w:rsid w:val="1A49D821"/>
    <w:rsid w:val="1AC5ADAA"/>
    <w:rsid w:val="1B03A2F9"/>
    <w:rsid w:val="1B1BE9BE"/>
    <w:rsid w:val="1B1D073E"/>
    <w:rsid w:val="1B204210"/>
    <w:rsid w:val="1B57055D"/>
    <w:rsid w:val="1B608F5F"/>
    <w:rsid w:val="1B9C814B"/>
    <w:rsid w:val="1BCA4B95"/>
    <w:rsid w:val="1BD7C788"/>
    <w:rsid w:val="1BE2ED7E"/>
    <w:rsid w:val="1BE42A39"/>
    <w:rsid w:val="1C362078"/>
    <w:rsid w:val="1C565FD8"/>
    <w:rsid w:val="1C78C601"/>
    <w:rsid w:val="1CA6F86F"/>
    <w:rsid w:val="1CE24F03"/>
    <w:rsid w:val="1CF76BAC"/>
    <w:rsid w:val="1D0E60CE"/>
    <w:rsid w:val="1D229778"/>
    <w:rsid w:val="1D3C73E4"/>
    <w:rsid w:val="1D47814F"/>
    <w:rsid w:val="1D500BD5"/>
    <w:rsid w:val="1D6320C8"/>
    <w:rsid w:val="1D69642C"/>
    <w:rsid w:val="1D6D7C02"/>
    <w:rsid w:val="1D7424B5"/>
    <w:rsid w:val="1D7CD02A"/>
    <w:rsid w:val="1D8F6C46"/>
    <w:rsid w:val="1D90E034"/>
    <w:rsid w:val="1DB4ED97"/>
    <w:rsid w:val="1DE306F9"/>
    <w:rsid w:val="1DEE04DB"/>
    <w:rsid w:val="1DFF906E"/>
    <w:rsid w:val="1E055A0A"/>
    <w:rsid w:val="1E39E705"/>
    <w:rsid w:val="1E408468"/>
    <w:rsid w:val="1E6C0ADD"/>
    <w:rsid w:val="1E6C692D"/>
    <w:rsid w:val="1E87270E"/>
    <w:rsid w:val="1E9ECC9C"/>
    <w:rsid w:val="1EC7168B"/>
    <w:rsid w:val="1EF14CCD"/>
    <w:rsid w:val="1EF8AB47"/>
    <w:rsid w:val="1EFC0095"/>
    <w:rsid w:val="1F3316E4"/>
    <w:rsid w:val="1F33AF7C"/>
    <w:rsid w:val="1F39D2C1"/>
    <w:rsid w:val="1F3FADDA"/>
    <w:rsid w:val="1F588B06"/>
    <w:rsid w:val="1F80F7FB"/>
    <w:rsid w:val="1FA23F89"/>
    <w:rsid w:val="1FB79F7C"/>
    <w:rsid w:val="1FB93B4B"/>
    <w:rsid w:val="1FCECDD0"/>
    <w:rsid w:val="1FE42069"/>
    <w:rsid w:val="1FF791FF"/>
    <w:rsid w:val="1FFF87D5"/>
    <w:rsid w:val="200B2AD6"/>
    <w:rsid w:val="201AC1C5"/>
    <w:rsid w:val="2031C8CC"/>
    <w:rsid w:val="2038CC13"/>
    <w:rsid w:val="204C0994"/>
    <w:rsid w:val="207F60D7"/>
    <w:rsid w:val="208B998B"/>
    <w:rsid w:val="20984B4A"/>
    <w:rsid w:val="20A1F4D4"/>
    <w:rsid w:val="20B96FC3"/>
    <w:rsid w:val="20D66597"/>
    <w:rsid w:val="210224B0"/>
    <w:rsid w:val="2104E298"/>
    <w:rsid w:val="2105A219"/>
    <w:rsid w:val="21061E1B"/>
    <w:rsid w:val="21203030"/>
    <w:rsid w:val="2124D0D2"/>
    <w:rsid w:val="2128F2EF"/>
    <w:rsid w:val="212F00CD"/>
    <w:rsid w:val="21380ABC"/>
    <w:rsid w:val="21548271"/>
    <w:rsid w:val="21689660"/>
    <w:rsid w:val="216B64C2"/>
    <w:rsid w:val="219B7282"/>
    <w:rsid w:val="21B51E54"/>
    <w:rsid w:val="21C5E030"/>
    <w:rsid w:val="21CA5470"/>
    <w:rsid w:val="21D19FF7"/>
    <w:rsid w:val="21FC237A"/>
    <w:rsid w:val="221A7467"/>
    <w:rsid w:val="2231D6D6"/>
    <w:rsid w:val="22362062"/>
    <w:rsid w:val="224AF3D2"/>
    <w:rsid w:val="2274CF3A"/>
    <w:rsid w:val="22857D1F"/>
    <w:rsid w:val="228F82E2"/>
    <w:rsid w:val="22B9D7FE"/>
    <w:rsid w:val="22C07EA0"/>
    <w:rsid w:val="22CF1DC9"/>
    <w:rsid w:val="2309B921"/>
    <w:rsid w:val="2315490A"/>
    <w:rsid w:val="235835AA"/>
    <w:rsid w:val="235F37FA"/>
    <w:rsid w:val="23710592"/>
    <w:rsid w:val="2381D108"/>
    <w:rsid w:val="23892463"/>
    <w:rsid w:val="238AFD71"/>
    <w:rsid w:val="23925C03"/>
    <w:rsid w:val="2398744D"/>
    <w:rsid w:val="23F9B343"/>
    <w:rsid w:val="24341676"/>
    <w:rsid w:val="244B5A3E"/>
    <w:rsid w:val="247FF88C"/>
    <w:rsid w:val="2482A194"/>
    <w:rsid w:val="248EAC82"/>
    <w:rsid w:val="24952922"/>
    <w:rsid w:val="249D28D6"/>
    <w:rsid w:val="24CE75B9"/>
    <w:rsid w:val="24D35824"/>
    <w:rsid w:val="24F47C48"/>
    <w:rsid w:val="25187CE6"/>
    <w:rsid w:val="25216A11"/>
    <w:rsid w:val="252CAB6F"/>
    <w:rsid w:val="25330BAF"/>
    <w:rsid w:val="25438F0A"/>
    <w:rsid w:val="255D044F"/>
    <w:rsid w:val="257792FE"/>
    <w:rsid w:val="259094B1"/>
    <w:rsid w:val="25977DAC"/>
    <w:rsid w:val="2597B021"/>
    <w:rsid w:val="259BBE5E"/>
    <w:rsid w:val="25BE8F85"/>
    <w:rsid w:val="25D013B5"/>
    <w:rsid w:val="25F2BB45"/>
    <w:rsid w:val="25F5BAAE"/>
    <w:rsid w:val="25F66B3E"/>
    <w:rsid w:val="262821AE"/>
    <w:rsid w:val="262C4F5D"/>
    <w:rsid w:val="2630A055"/>
    <w:rsid w:val="2639620A"/>
    <w:rsid w:val="2644F074"/>
    <w:rsid w:val="264CD1EB"/>
    <w:rsid w:val="265182EC"/>
    <w:rsid w:val="2691AB9B"/>
    <w:rsid w:val="26A698A5"/>
    <w:rsid w:val="26AB7F45"/>
    <w:rsid w:val="26AE6A5B"/>
    <w:rsid w:val="26AF278B"/>
    <w:rsid w:val="26B5A555"/>
    <w:rsid w:val="26CA4D31"/>
    <w:rsid w:val="26D40301"/>
    <w:rsid w:val="26D668E6"/>
    <w:rsid w:val="26F44224"/>
    <w:rsid w:val="270070E1"/>
    <w:rsid w:val="27133236"/>
    <w:rsid w:val="274172ED"/>
    <w:rsid w:val="2743825F"/>
    <w:rsid w:val="2754D5A2"/>
    <w:rsid w:val="27665592"/>
    <w:rsid w:val="279273E2"/>
    <w:rsid w:val="2795A8BF"/>
    <w:rsid w:val="279789E7"/>
    <w:rsid w:val="27ABF942"/>
    <w:rsid w:val="27CE45F5"/>
    <w:rsid w:val="27E79563"/>
    <w:rsid w:val="27FBCEC2"/>
    <w:rsid w:val="2801FDA4"/>
    <w:rsid w:val="281A5951"/>
    <w:rsid w:val="2853D192"/>
    <w:rsid w:val="2885705D"/>
    <w:rsid w:val="2885DC7E"/>
    <w:rsid w:val="28AB4978"/>
    <w:rsid w:val="28E9CD81"/>
    <w:rsid w:val="2900EF84"/>
    <w:rsid w:val="2904904F"/>
    <w:rsid w:val="290B9CDD"/>
    <w:rsid w:val="290C8E7D"/>
    <w:rsid w:val="2912F17C"/>
    <w:rsid w:val="29331CFF"/>
    <w:rsid w:val="2941D91A"/>
    <w:rsid w:val="2947C36E"/>
    <w:rsid w:val="2949E7D0"/>
    <w:rsid w:val="294D057A"/>
    <w:rsid w:val="2954F73B"/>
    <w:rsid w:val="29577670"/>
    <w:rsid w:val="295E8142"/>
    <w:rsid w:val="295EEE02"/>
    <w:rsid w:val="296F1338"/>
    <w:rsid w:val="29926C5C"/>
    <w:rsid w:val="29A3474D"/>
    <w:rsid w:val="29AD26FA"/>
    <w:rsid w:val="29B612EC"/>
    <w:rsid w:val="29B62FA1"/>
    <w:rsid w:val="29BE8887"/>
    <w:rsid w:val="29D43D76"/>
    <w:rsid w:val="29F729C7"/>
    <w:rsid w:val="29F7F3C7"/>
    <w:rsid w:val="2A16EE49"/>
    <w:rsid w:val="2A5350E8"/>
    <w:rsid w:val="2A613583"/>
    <w:rsid w:val="2A6A352A"/>
    <w:rsid w:val="2A7AA677"/>
    <w:rsid w:val="2A902D91"/>
    <w:rsid w:val="2A9D824B"/>
    <w:rsid w:val="2AACD96C"/>
    <w:rsid w:val="2AE7660A"/>
    <w:rsid w:val="2B06D932"/>
    <w:rsid w:val="2B0DF127"/>
    <w:rsid w:val="2B0F8B69"/>
    <w:rsid w:val="2B333E43"/>
    <w:rsid w:val="2B352D7D"/>
    <w:rsid w:val="2B400B31"/>
    <w:rsid w:val="2B4943DA"/>
    <w:rsid w:val="2B4C4B15"/>
    <w:rsid w:val="2B51165D"/>
    <w:rsid w:val="2B61DD1E"/>
    <w:rsid w:val="2B79220F"/>
    <w:rsid w:val="2B8303D2"/>
    <w:rsid w:val="2B841CEB"/>
    <w:rsid w:val="2B8EF691"/>
    <w:rsid w:val="2B9EEC05"/>
    <w:rsid w:val="2BB0FE67"/>
    <w:rsid w:val="2BC156A4"/>
    <w:rsid w:val="2BF0DAE0"/>
    <w:rsid w:val="2BF54DC9"/>
    <w:rsid w:val="2C19EF7E"/>
    <w:rsid w:val="2C3A2885"/>
    <w:rsid w:val="2C6D5AB6"/>
    <w:rsid w:val="2C73AF45"/>
    <w:rsid w:val="2C9F5882"/>
    <w:rsid w:val="2CA9E39F"/>
    <w:rsid w:val="2CAB8DE8"/>
    <w:rsid w:val="2CADFFA1"/>
    <w:rsid w:val="2CF0F451"/>
    <w:rsid w:val="2D159CBC"/>
    <w:rsid w:val="2D1847BE"/>
    <w:rsid w:val="2D1BD772"/>
    <w:rsid w:val="2D27EABB"/>
    <w:rsid w:val="2D3C6F5E"/>
    <w:rsid w:val="2D61928E"/>
    <w:rsid w:val="2D7DA729"/>
    <w:rsid w:val="2D945C68"/>
    <w:rsid w:val="2DC1DB22"/>
    <w:rsid w:val="2DCF7BBA"/>
    <w:rsid w:val="2DFDFFCB"/>
    <w:rsid w:val="2E0B28E6"/>
    <w:rsid w:val="2E3AA354"/>
    <w:rsid w:val="2E433D33"/>
    <w:rsid w:val="2E78E16F"/>
    <w:rsid w:val="2E89CEDF"/>
    <w:rsid w:val="2E9F3837"/>
    <w:rsid w:val="2EB54505"/>
    <w:rsid w:val="2EBC877D"/>
    <w:rsid w:val="2EC3D7A5"/>
    <w:rsid w:val="2EC70DA5"/>
    <w:rsid w:val="2ECF7C84"/>
    <w:rsid w:val="2ED41ED9"/>
    <w:rsid w:val="2ED57B28"/>
    <w:rsid w:val="2EE8AAA5"/>
    <w:rsid w:val="2F2D622D"/>
    <w:rsid w:val="2F33AA6B"/>
    <w:rsid w:val="2F438A8F"/>
    <w:rsid w:val="2F5F65C2"/>
    <w:rsid w:val="2F66E7D8"/>
    <w:rsid w:val="2F696797"/>
    <w:rsid w:val="2F6CBAC4"/>
    <w:rsid w:val="2F75E2DB"/>
    <w:rsid w:val="2FC35625"/>
    <w:rsid w:val="2FDAAA2A"/>
    <w:rsid w:val="2FED5CC6"/>
    <w:rsid w:val="2FF023B9"/>
    <w:rsid w:val="2FFDA180"/>
    <w:rsid w:val="30134A75"/>
    <w:rsid w:val="301E827F"/>
    <w:rsid w:val="3031EC40"/>
    <w:rsid w:val="303F2329"/>
    <w:rsid w:val="306EB896"/>
    <w:rsid w:val="309E67DB"/>
    <w:rsid w:val="30AA074B"/>
    <w:rsid w:val="30D28073"/>
    <w:rsid w:val="30F0E373"/>
    <w:rsid w:val="30FF5213"/>
    <w:rsid w:val="310E3D04"/>
    <w:rsid w:val="3120C2FD"/>
    <w:rsid w:val="31210156"/>
    <w:rsid w:val="3122D399"/>
    <w:rsid w:val="314FB1E8"/>
    <w:rsid w:val="3160F25B"/>
    <w:rsid w:val="317C1D51"/>
    <w:rsid w:val="31A53C2D"/>
    <w:rsid w:val="31C81DC9"/>
    <w:rsid w:val="31CB946B"/>
    <w:rsid w:val="31CEAFA0"/>
    <w:rsid w:val="31E2A88B"/>
    <w:rsid w:val="31E7C086"/>
    <w:rsid w:val="31F4A69E"/>
    <w:rsid w:val="322B9986"/>
    <w:rsid w:val="3249FD77"/>
    <w:rsid w:val="324CEFFC"/>
    <w:rsid w:val="3254C342"/>
    <w:rsid w:val="325688B9"/>
    <w:rsid w:val="327AD0FB"/>
    <w:rsid w:val="328B1005"/>
    <w:rsid w:val="32A60997"/>
    <w:rsid w:val="331F0AEB"/>
    <w:rsid w:val="33481F2B"/>
    <w:rsid w:val="335A6CEB"/>
    <w:rsid w:val="33666EAE"/>
    <w:rsid w:val="336E7DDD"/>
    <w:rsid w:val="336F4192"/>
    <w:rsid w:val="339855A7"/>
    <w:rsid w:val="33E90838"/>
    <w:rsid w:val="33F7D390"/>
    <w:rsid w:val="33F7F13B"/>
    <w:rsid w:val="34067727"/>
    <w:rsid w:val="341151D4"/>
    <w:rsid w:val="3431F34A"/>
    <w:rsid w:val="343A4348"/>
    <w:rsid w:val="343AEB8B"/>
    <w:rsid w:val="343E6CAB"/>
    <w:rsid w:val="3451B4F1"/>
    <w:rsid w:val="346D6D64"/>
    <w:rsid w:val="3499ADD4"/>
    <w:rsid w:val="34A1D8FF"/>
    <w:rsid w:val="34BCD729"/>
    <w:rsid w:val="34C2F634"/>
    <w:rsid w:val="34CA19B6"/>
    <w:rsid w:val="34D1530B"/>
    <w:rsid w:val="34D30FB6"/>
    <w:rsid w:val="34D8C4C6"/>
    <w:rsid w:val="34DA0AE9"/>
    <w:rsid w:val="34DB72BD"/>
    <w:rsid w:val="34DC6208"/>
    <w:rsid w:val="350C28EC"/>
    <w:rsid w:val="351B231D"/>
    <w:rsid w:val="35212963"/>
    <w:rsid w:val="3522D286"/>
    <w:rsid w:val="352A6099"/>
    <w:rsid w:val="353BA659"/>
    <w:rsid w:val="354579E7"/>
    <w:rsid w:val="35514CFD"/>
    <w:rsid w:val="3557BE1A"/>
    <w:rsid w:val="3559C450"/>
    <w:rsid w:val="3560CFFD"/>
    <w:rsid w:val="3589DD06"/>
    <w:rsid w:val="358A3AF9"/>
    <w:rsid w:val="35AF7930"/>
    <w:rsid w:val="35D969DF"/>
    <w:rsid w:val="35E003E0"/>
    <w:rsid w:val="35E741C2"/>
    <w:rsid w:val="35E849A0"/>
    <w:rsid w:val="36217031"/>
    <w:rsid w:val="36301B6B"/>
    <w:rsid w:val="36380513"/>
    <w:rsid w:val="36475F5D"/>
    <w:rsid w:val="366CEE81"/>
    <w:rsid w:val="36835723"/>
    <w:rsid w:val="3696812D"/>
    <w:rsid w:val="36983B7C"/>
    <w:rsid w:val="36E6F318"/>
    <w:rsid w:val="36EC51BB"/>
    <w:rsid w:val="36F66288"/>
    <w:rsid w:val="36FCEC1B"/>
    <w:rsid w:val="370C47E3"/>
    <w:rsid w:val="372CCE83"/>
    <w:rsid w:val="374A1DF8"/>
    <w:rsid w:val="3759AD57"/>
    <w:rsid w:val="376F999E"/>
    <w:rsid w:val="37816B5C"/>
    <w:rsid w:val="378D564E"/>
    <w:rsid w:val="3790658A"/>
    <w:rsid w:val="379A8178"/>
    <w:rsid w:val="379B59F7"/>
    <w:rsid w:val="379DF76F"/>
    <w:rsid w:val="37B5481A"/>
    <w:rsid w:val="37BAE0F6"/>
    <w:rsid w:val="37C2936E"/>
    <w:rsid w:val="37CC0B0F"/>
    <w:rsid w:val="37DC9D0F"/>
    <w:rsid w:val="37E9C56E"/>
    <w:rsid w:val="3802A4AD"/>
    <w:rsid w:val="38033FDA"/>
    <w:rsid w:val="3805A5D0"/>
    <w:rsid w:val="3819BB2D"/>
    <w:rsid w:val="381FD9A5"/>
    <w:rsid w:val="38203C75"/>
    <w:rsid w:val="382B1ADC"/>
    <w:rsid w:val="38375DE5"/>
    <w:rsid w:val="38446A33"/>
    <w:rsid w:val="38612BEA"/>
    <w:rsid w:val="38667481"/>
    <w:rsid w:val="386D2859"/>
    <w:rsid w:val="38A3702E"/>
    <w:rsid w:val="38AA52E7"/>
    <w:rsid w:val="38AF68C1"/>
    <w:rsid w:val="38C2A1BB"/>
    <w:rsid w:val="38C52E1F"/>
    <w:rsid w:val="38D34BF1"/>
    <w:rsid w:val="38E37699"/>
    <w:rsid w:val="38FB4A8A"/>
    <w:rsid w:val="3906BFCF"/>
    <w:rsid w:val="391FEC6F"/>
    <w:rsid w:val="392D0FAF"/>
    <w:rsid w:val="3940F032"/>
    <w:rsid w:val="3942D9EC"/>
    <w:rsid w:val="39493498"/>
    <w:rsid w:val="3972379B"/>
    <w:rsid w:val="398ADB2D"/>
    <w:rsid w:val="399A8F57"/>
    <w:rsid w:val="39BBC99A"/>
    <w:rsid w:val="39E824D7"/>
    <w:rsid w:val="39EAD885"/>
    <w:rsid w:val="39EF33AD"/>
    <w:rsid w:val="39F21D50"/>
    <w:rsid w:val="39F95803"/>
    <w:rsid w:val="39FE3934"/>
    <w:rsid w:val="3A11C78B"/>
    <w:rsid w:val="3A24460E"/>
    <w:rsid w:val="3A329CD6"/>
    <w:rsid w:val="3A35255B"/>
    <w:rsid w:val="3A5FF140"/>
    <w:rsid w:val="3ABB44FB"/>
    <w:rsid w:val="3AD3638C"/>
    <w:rsid w:val="3AEA1153"/>
    <w:rsid w:val="3AED16CE"/>
    <w:rsid w:val="3AFABEF9"/>
    <w:rsid w:val="3B19D6C2"/>
    <w:rsid w:val="3B247CC3"/>
    <w:rsid w:val="3B306358"/>
    <w:rsid w:val="3B40EB84"/>
    <w:rsid w:val="3B7993FC"/>
    <w:rsid w:val="3B8BFEE8"/>
    <w:rsid w:val="3B8C5238"/>
    <w:rsid w:val="3BA0FF51"/>
    <w:rsid w:val="3BB61242"/>
    <w:rsid w:val="3BB82079"/>
    <w:rsid w:val="3BE6DDCA"/>
    <w:rsid w:val="3BF0EBC8"/>
    <w:rsid w:val="3C04F77F"/>
    <w:rsid w:val="3C2640F3"/>
    <w:rsid w:val="3C2AD8AD"/>
    <w:rsid w:val="3C377DE0"/>
    <w:rsid w:val="3C41FF3C"/>
    <w:rsid w:val="3C69C2F9"/>
    <w:rsid w:val="3CA0A948"/>
    <w:rsid w:val="3CE491F6"/>
    <w:rsid w:val="3CEC4F54"/>
    <w:rsid w:val="3CF2D069"/>
    <w:rsid w:val="3D0AEDCE"/>
    <w:rsid w:val="3D114AB4"/>
    <w:rsid w:val="3D3974A1"/>
    <w:rsid w:val="3D7AA44B"/>
    <w:rsid w:val="3D90B90D"/>
    <w:rsid w:val="3DAB05A2"/>
    <w:rsid w:val="3DCA830C"/>
    <w:rsid w:val="3DCDA2C1"/>
    <w:rsid w:val="3DDE3380"/>
    <w:rsid w:val="3DEB0FC0"/>
    <w:rsid w:val="3DF8CDBD"/>
    <w:rsid w:val="3E06D924"/>
    <w:rsid w:val="3E08617A"/>
    <w:rsid w:val="3E0882CF"/>
    <w:rsid w:val="3E44B031"/>
    <w:rsid w:val="3E477872"/>
    <w:rsid w:val="3E7E2CF9"/>
    <w:rsid w:val="3E940DCC"/>
    <w:rsid w:val="3EBC0EDD"/>
    <w:rsid w:val="3EBCAB09"/>
    <w:rsid w:val="3ECDEC7D"/>
    <w:rsid w:val="3ED1D096"/>
    <w:rsid w:val="3EEA0F6F"/>
    <w:rsid w:val="3EED195C"/>
    <w:rsid w:val="3F108B67"/>
    <w:rsid w:val="3F1CCACD"/>
    <w:rsid w:val="3F43475B"/>
    <w:rsid w:val="3F461F47"/>
    <w:rsid w:val="3F636703"/>
    <w:rsid w:val="3FA5046A"/>
    <w:rsid w:val="3FAFBDE1"/>
    <w:rsid w:val="3FC0AD8E"/>
    <w:rsid w:val="3FD1F3E7"/>
    <w:rsid w:val="3FDB79E9"/>
    <w:rsid w:val="3FDC9562"/>
    <w:rsid w:val="3FDF046E"/>
    <w:rsid w:val="3FE405E4"/>
    <w:rsid w:val="3FEA753D"/>
    <w:rsid w:val="3FEE5DFC"/>
    <w:rsid w:val="3FF66935"/>
    <w:rsid w:val="400274DB"/>
    <w:rsid w:val="400B6704"/>
    <w:rsid w:val="400B8A1D"/>
    <w:rsid w:val="401453CC"/>
    <w:rsid w:val="40168F55"/>
    <w:rsid w:val="402245FC"/>
    <w:rsid w:val="4024C5DF"/>
    <w:rsid w:val="4035F038"/>
    <w:rsid w:val="4038E547"/>
    <w:rsid w:val="4039350C"/>
    <w:rsid w:val="40549CD8"/>
    <w:rsid w:val="40599494"/>
    <w:rsid w:val="4063F310"/>
    <w:rsid w:val="4064606A"/>
    <w:rsid w:val="408CC0F4"/>
    <w:rsid w:val="40928AB4"/>
    <w:rsid w:val="40A5F050"/>
    <w:rsid w:val="40ED916C"/>
    <w:rsid w:val="40F9F3AB"/>
    <w:rsid w:val="412A5427"/>
    <w:rsid w:val="41487FFA"/>
    <w:rsid w:val="4157866D"/>
    <w:rsid w:val="41580085"/>
    <w:rsid w:val="41580D30"/>
    <w:rsid w:val="415973B7"/>
    <w:rsid w:val="4193ED0B"/>
    <w:rsid w:val="419E2033"/>
    <w:rsid w:val="419F1766"/>
    <w:rsid w:val="41DB839E"/>
    <w:rsid w:val="41E2410A"/>
    <w:rsid w:val="41EF0A90"/>
    <w:rsid w:val="420C5E23"/>
    <w:rsid w:val="4237CD63"/>
    <w:rsid w:val="42387E27"/>
    <w:rsid w:val="424BB72D"/>
    <w:rsid w:val="42570F5A"/>
    <w:rsid w:val="426BDC14"/>
    <w:rsid w:val="42789AC2"/>
    <w:rsid w:val="427C27B9"/>
    <w:rsid w:val="427CC195"/>
    <w:rsid w:val="4281A3E3"/>
    <w:rsid w:val="428645D7"/>
    <w:rsid w:val="428BCCB0"/>
    <w:rsid w:val="42B95154"/>
    <w:rsid w:val="42CE5E4A"/>
    <w:rsid w:val="42D735D6"/>
    <w:rsid w:val="42DB872A"/>
    <w:rsid w:val="4319526E"/>
    <w:rsid w:val="4323F583"/>
    <w:rsid w:val="432E0834"/>
    <w:rsid w:val="435C3F71"/>
    <w:rsid w:val="436A8528"/>
    <w:rsid w:val="4388BB89"/>
    <w:rsid w:val="438AA813"/>
    <w:rsid w:val="438C6743"/>
    <w:rsid w:val="43C2E724"/>
    <w:rsid w:val="43DCF43A"/>
    <w:rsid w:val="43E1EE03"/>
    <w:rsid w:val="43E887C8"/>
    <w:rsid w:val="43F1EEF1"/>
    <w:rsid w:val="442B5DED"/>
    <w:rsid w:val="442E73F5"/>
    <w:rsid w:val="442F8F29"/>
    <w:rsid w:val="4460DFA2"/>
    <w:rsid w:val="446BA041"/>
    <w:rsid w:val="44850A6A"/>
    <w:rsid w:val="44ADA646"/>
    <w:rsid w:val="44B3CD52"/>
    <w:rsid w:val="44BFE4E6"/>
    <w:rsid w:val="44C5630A"/>
    <w:rsid w:val="450EB5EE"/>
    <w:rsid w:val="4517AB63"/>
    <w:rsid w:val="45680D5B"/>
    <w:rsid w:val="457DE8C3"/>
    <w:rsid w:val="458FA32C"/>
    <w:rsid w:val="45908B2B"/>
    <w:rsid w:val="459E905F"/>
    <w:rsid w:val="45A398D3"/>
    <w:rsid w:val="45ADAD04"/>
    <w:rsid w:val="45C34AD5"/>
    <w:rsid w:val="45DA6663"/>
    <w:rsid w:val="45E5943A"/>
    <w:rsid w:val="461A121E"/>
    <w:rsid w:val="46538D3A"/>
    <w:rsid w:val="4667ECA0"/>
    <w:rsid w:val="467910EB"/>
    <w:rsid w:val="467DA6F7"/>
    <w:rsid w:val="46845BE3"/>
    <w:rsid w:val="469B5A72"/>
    <w:rsid w:val="46ABF315"/>
    <w:rsid w:val="46AD2540"/>
    <w:rsid w:val="46B4BD8C"/>
    <w:rsid w:val="46CA5887"/>
    <w:rsid w:val="46DE90B3"/>
    <w:rsid w:val="46E9445A"/>
    <w:rsid w:val="46FED012"/>
    <w:rsid w:val="470812FC"/>
    <w:rsid w:val="47299C77"/>
    <w:rsid w:val="4742B957"/>
    <w:rsid w:val="477D08B6"/>
    <w:rsid w:val="477DF2AE"/>
    <w:rsid w:val="4788E953"/>
    <w:rsid w:val="478E932C"/>
    <w:rsid w:val="47A202D3"/>
    <w:rsid w:val="47C13FDF"/>
    <w:rsid w:val="47C74F6E"/>
    <w:rsid w:val="47CAEE08"/>
    <w:rsid w:val="47F993FF"/>
    <w:rsid w:val="480C3C3F"/>
    <w:rsid w:val="48298DC0"/>
    <w:rsid w:val="48307276"/>
    <w:rsid w:val="486FFA14"/>
    <w:rsid w:val="48AA7503"/>
    <w:rsid w:val="48C77C17"/>
    <w:rsid w:val="48C81855"/>
    <w:rsid w:val="48CE4DE6"/>
    <w:rsid w:val="48D0FE69"/>
    <w:rsid w:val="48EB072C"/>
    <w:rsid w:val="48FFE792"/>
    <w:rsid w:val="4934DD1D"/>
    <w:rsid w:val="494393A8"/>
    <w:rsid w:val="4946C369"/>
    <w:rsid w:val="4952AB2D"/>
    <w:rsid w:val="4954AAF6"/>
    <w:rsid w:val="4960BFBB"/>
    <w:rsid w:val="496A6953"/>
    <w:rsid w:val="497D43AD"/>
    <w:rsid w:val="4981E5FD"/>
    <w:rsid w:val="499C6D4C"/>
    <w:rsid w:val="49A99046"/>
    <w:rsid w:val="49BAC76E"/>
    <w:rsid w:val="49C55E90"/>
    <w:rsid w:val="49DA3109"/>
    <w:rsid w:val="49F6C4F9"/>
    <w:rsid w:val="49F75051"/>
    <w:rsid w:val="4A5E2A0E"/>
    <w:rsid w:val="4A787260"/>
    <w:rsid w:val="4A867185"/>
    <w:rsid w:val="4A886070"/>
    <w:rsid w:val="4A9BC782"/>
    <w:rsid w:val="4AF71A60"/>
    <w:rsid w:val="4B09AC58"/>
    <w:rsid w:val="4B26E44E"/>
    <w:rsid w:val="4B285919"/>
    <w:rsid w:val="4B5A1DDA"/>
    <w:rsid w:val="4B9DFD37"/>
    <w:rsid w:val="4BB67A0C"/>
    <w:rsid w:val="4BBF6E41"/>
    <w:rsid w:val="4BC9E887"/>
    <w:rsid w:val="4BDC866C"/>
    <w:rsid w:val="4BE0C904"/>
    <w:rsid w:val="4BE253EB"/>
    <w:rsid w:val="4C013E26"/>
    <w:rsid w:val="4C0CC3CC"/>
    <w:rsid w:val="4C1F267C"/>
    <w:rsid w:val="4C2D5AAA"/>
    <w:rsid w:val="4C6A2335"/>
    <w:rsid w:val="4C6DC7F3"/>
    <w:rsid w:val="4C70532A"/>
    <w:rsid w:val="4C75D72D"/>
    <w:rsid w:val="4CA2B6EF"/>
    <w:rsid w:val="4CA6D82B"/>
    <w:rsid w:val="4CDCA560"/>
    <w:rsid w:val="4CE3F5D6"/>
    <w:rsid w:val="4CFC543C"/>
    <w:rsid w:val="4D13B5B0"/>
    <w:rsid w:val="4D3A2DCD"/>
    <w:rsid w:val="4D734DE3"/>
    <w:rsid w:val="4D8E4E0C"/>
    <w:rsid w:val="4DA47D1B"/>
    <w:rsid w:val="4DCAB483"/>
    <w:rsid w:val="4DCC41DC"/>
    <w:rsid w:val="4DD7345C"/>
    <w:rsid w:val="4DE99B65"/>
    <w:rsid w:val="4DFAE6F0"/>
    <w:rsid w:val="4DFC2515"/>
    <w:rsid w:val="4DFEC2F6"/>
    <w:rsid w:val="4E007EB5"/>
    <w:rsid w:val="4E15A7AD"/>
    <w:rsid w:val="4E1E326F"/>
    <w:rsid w:val="4E77E756"/>
    <w:rsid w:val="4E91D0A7"/>
    <w:rsid w:val="4E9F3E04"/>
    <w:rsid w:val="4EACA971"/>
    <w:rsid w:val="4EB8AAD6"/>
    <w:rsid w:val="4EC29910"/>
    <w:rsid w:val="4EC7DC96"/>
    <w:rsid w:val="4EEAF817"/>
    <w:rsid w:val="4F0D9506"/>
    <w:rsid w:val="4F0F8C66"/>
    <w:rsid w:val="4F257E59"/>
    <w:rsid w:val="4F4A71BF"/>
    <w:rsid w:val="4F5ADF5C"/>
    <w:rsid w:val="4F5FAEDA"/>
    <w:rsid w:val="4F6EE16D"/>
    <w:rsid w:val="4F868FA7"/>
    <w:rsid w:val="4F8F7544"/>
    <w:rsid w:val="4F98CB32"/>
    <w:rsid w:val="4FDAACB6"/>
    <w:rsid w:val="4FE46E22"/>
    <w:rsid w:val="50297134"/>
    <w:rsid w:val="502B9170"/>
    <w:rsid w:val="509CB551"/>
    <w:rsid w:val="509D6507"/>
    <w:rsid w:val="50AB474A"/>
    <w:rsid w:val="50AE8AA3"/>
    <w:rsid w:val="50B0DFDC"/>
    <w:rsid w:val="50B2A81B"/>
    <w:rsid w:val="50B75895"/>
    <w:rsid w:val="50C7898F"/>
    <w:rsid w:val="510FBE12"/>
    <w:rsid w:val="511897ED"/>
    <w:rsid w:val="5137E419"/>
    <w:rsid w:val="5167CF18"/>
    <w:rsid w:val="518198C9"/>
    <w:rsid w:val="5190A4BB"/>
    <w:rsid w:val="51943948"/>
    <w:rsid w:val="51A3D0FE"/>
    <w:rsid w:val="51A5441F"/>
    <w:rsid w:val="51CB794F"/>
    <w:rsid w:val="51D6E944"/>
    <w:rsid w:val="524F8677"/>
    <w:rsid w:val="5256C0B3"/>
    <w:rsid w:val="5256E4FD"/>
    <w:rsid w:val="52A7E9E8"/>
    <w:rsid w:val="52C179DC"/>
    <w:rsid w:val="52CCA2B4"/>
    <w:rsid w:val="52CFB4A5"/>
    <w:rsid w:val="52FB1EB3"/>
    <w:rsid w:val="52FB6385"/>
    <w:rsid w:val="53175C01"/>
    <w:rsid w:val="53287FD6"/>
    <w:rsid w:val="534A0E9C"/>
    <w:rsid w:val="5371CC76"/>
    <w:rsid w:val="53787F7A"/>
    <w:rsid w:val="5394AB1B"/>
    <w:rsid w:val="53B87EC6"/>
    <w:rsid w:val="53BE00DF"/>
    <w:rsid w:val="53BEF513"/>
    <w:rsid w:val="53C9DC1D"/>
    <w:rsid w:val="53E30529"/>
    <w:rsid w:val="540304E5"/>
    <w:rsid w:val="541E551D"/>
    <w:rsid w:val="54201FF9"/>
    <w:rsid w:val="543999DF"/>
    <w:rsid w:val="54436396"/>
    <w:rsid w:val="5478FFE7"/>
    <w:rsid w:val="548609EA"/>
    <w:rsid w:val="54A2CDA0"/>
    <w:rsid w:val="54AA5C66"/>
    <w:rsid w:val="54CC2E8B"/>
    <w:rsid w:val="54D84DBD"/>
    <w:rsid w:val="54DF6295"/>
    <w:rsid w:val="5504A4A6"/>
    <w:rsid w:val="5505E45A"/>
    <w:rsid w:val="550B3260"/>
    <w:rsid w:val="551967DC"/>
    <w:rsid w:val="5535DC3B"/>
    <w:rsid w:val="553D39BB"/>
    <w:rsid w:val="55484208"/>
    <w:rsid w:val="555D2CC8"/>
    <w:rsid w:val="55734428"/>
    <w:rsid w:val="55B351A2"/>
    <w:rsid w:val="55B72BBC"/>
    <w:rsid w:val="55EEA044"/>
    <w:rsid w:val="55FCB364"/>
    <w:rsid w:val="560300BB"/>
    <w:rsid w:val="560A8FD8"/>
    <w:rsid w:val="5620A70D"/>
    <w:rsid w:val="562B8FD9"/>
    <w:rsid w:val="562F3B78"/>
    <w:rsid w:val="565B0940"/>
    <w:rsid w:val="565D2E1A"/>
    <w:rsid w:val="566E95C2"/>
    <w:rsid w:val="5682DCB9"/>
    <w:rsid w:val="56958F7E"/>
    <w:rsid w:val="56A50915"/>
    <w:rsid w:val="56A785B9"/>
    <w:rsid w:val="56AC4687"/>
    <w:rsid w:val="56C08C1F"/>
    <w:rsid w:val="56CB6772"/>
    <w:rsid w:val="56EFFC21"/>
    <w:rsid w:val="57176C12"/>
    <w:rsid w:val="5724EB80"/>
    <w:rsid w:val="574D9850"/>
    <w:rsid w:val="5751CF63"/>
    <w:rsid w:val="579C26CF"/>
    <w:rsid w:val="57A1E0C2"/>
    <w:rsid w:val="57ACB6CE"/>
    <w:rsid w:val="57B23A88"/>
    <w:rsid w:val="57B659D0"/>
    <w:rsid w:val="57C92FE1"/>
    <w:rsid w:val="57D9D1FD"/>
    <w:rsid w:val="57DDFE75"/>
    <w:rsid w:val="57E660BD"/>
    <w:rsid w:val="57EC47F9"/>
    <w:rsid w:val="58039EBB"/>
    <w:rsid w:val="5810A155"/>
    <w:rsid w:val="58228AAD"/>
    <w:rsid w:val="5831C453"/>
    <w:rsid w:val="584D1CDB"/>
    <w:rsid w:val="58573DC4"/>
    <w:rsid w:val="58632377"/>
    <w:rsid w:val="587C3B9C"/>
    <w:rsid w:val="58B3EAD7"/>
    <w:rsid w:val="58D646E8"/>
    <w:rsid w:val="58E3CC8B"/>
    <w:rsid w:val="58ED0139"/>
    <w:rsid w:val="591CD3CF"/>
    <w:rsid w:val="5936DA8E"/>
    <w:rsid w:val="59453161"/>
    <w:rsid w:val="5972E0CF"/>
    <w:rsid w:val="598B9028"/>
    <w:rsid w:val="5997080E"/>
    <w:rsid w:val="599D956C"/>
    <w:rsid w:val="59B8250A"/>
    <w:rsid w:val="59CD01CC"/>
    <w:rsid w:val="59CD43F1"/>
    <w:rsid w:val="59D89270"/>
    <w:rsid w:val="59E5EE01"/>
    <w:rsid w:val="59FA962E"/>
    <w:rsid w:val="5A02AE83"/>
    <w:rsid w:val="5A1E2279"/>
    <w:rsid w:val="5A552A76"/>
    <w:rsid w:val="5A57F1F5"/>
    <w:rsid w:val="5A6B9704"/>
    <w:rsid w:val="5A6C59A3"/>
    <w:rsid w:val="5A800F08"/>
    <w:rsid w:val="5A83F4A0"/>
    <w:rsid w:val="5AB2DF85"/>
    <w:rsid w:val="5AC43933"/>
    <w:rsid w:val="5ACE4B2F"/>
    <w:rsid w:val="5AFA2886"/>
    <w:rsid w:val="5B0894A3"/>
    <w:rsid w:val="5B08F64A"/>
    <w:rsid w:val="5B14106D"/>
    <w:rsid w:val="5B42427C"/>
    <w:rsid w:val="5B4EF1C0"/>
    <w:rsid w:val="5B50ED09"/>
    <w:rsid w:val="5B52440D"/>
    <w:rsid w:val="5B5658F2"/>
    <w:rsid w:val="5B7DB255"/>
    <w:rsid w:val="5B8B98D2"/>
    <w:rsid w:val="5BAD2D04"/>
    <w:rsid w:val="5BB54122"/>
    <w:rsid w:val="5BBFCB56"/>
    <w:rsid w:val="5BC2A62D"/>
    <w:rsid w:val="5BC3EBD2"/>
    <w:rsid w:val="5BD87C6E"/>
    <w:rsid w:val="5C3200FD"/>
    <w:rsid w:val="5C470D98"/>
    <w:rsid w:val="5C677327"/>
    <w:rsid w:val="5C6BCC38"/>
    <w:rsid w:val="5CBC0E30"/>
    <w:rsid w:val="5CC47880"/>
    <w:rsid w:val="5CF27F90"/>
    <w:rsid w:val="5CF85F56"/>
    <w:rsid w:val="5CFE7714"/>
    <w:rsid w:val="5D2D7501"/>
    <w:rsid w:val="5D2D9410"/>
    <w:rsid w:val="5D3459CD"/>
    <w:rsid w:val="5D625035"/>
    <w:rsid w:val="5D64002D"/>
    <w:rsid w:val="5D75203D"/>
    <w:rsid w:val="5D77A3E8"/>
    <w:rsid w:val="5D9811E9"/>
    <w:rsid w:val="5DA6B4D3"/>
    <w:rsid w:val="5DBC2249"/>
    <w:rsid w:val="5DD1084A"/>
    <w:rsid w:val="5DDAF912"/>
    <w:rsid w:val="5E097E7B"/>
    <w:rsid w:val="5E3BA2F3"/>
    <w:rsid w:val="5E43089D"/>
    <w:rsid w:val="5E448A42"/>
    <w:rsid w:val="5E5B634C"/>
    <w:rsid w:val="5E86B547"/>
    <w:rsid w:val="5EA7DC6D"/>
    <w:rsid w:val="5EBE6452"/>
    <w:rsid w:val="5ECBD083"/>
    <w:rsid w:val="5EDAE87F"/>
    <w:rsid w:val="5F01E8AA"/>
    <w:rsid w:val="5F0DDC1A"/>
    <w:rsid w:val="5F0F3E5D"/>
    <w:rsid w:val="5F122013"/>
    <w:rsid w:val="5F340231"/>
    <w:rsid w:val="5F353579"/>
    <w:rsid w:val="5F428785"/>
    <w:rsid w:val="5F6E1068"/>
    <w:rsid w:val="5F746CBB"/>
    <w:rsid w:val="5F7AE551"/>
    <w:rsid w:val="5F8B2113"/>
    <w:rsid w:val="5F8FB574"/>
    <w:rsid w:val="5FA699EA"/>
    <w:rsid w:val="5FBF1020"/>
    <w:rsid w:val="5FCE4CBF"/>
    <w:rsid w:val="5FD5B061"/>
    <w:rsid w:val="5FD82DAD"/>
    <w:rsid w:val="600055C8"/>
    <w:rsid w:val="6001C02D"/>
    <w:rsid w:val="600AA41C"/>
    <w:rsid w:val="603872E9"/>
    <w:rsid w:val="605D2991"/>
    <w:rsid w:val="605D44E5"/>
    <w:rsid w:val="606017C4"/>
    <w:rsid w:val="60762D65"/>
    <w:rsid w:val="609EF1C6"/>
    <w:rsid w:val="60A76CEA"/>
    <w:rsid w:val="60F00149"/>
    <w:rsid w:val="60F577A4"/>
    <w:rsid w:val="60FBCF02"/>
    <w:rsid w:val="61074AAB"/>
    <w:rsid w:val="612E5950"/>
    <w:rsid w:val="616360F1"/>
    <w:rsid w:val="617BC573"/>
    <w:rsid w:val="617BF0F8"/>
    <w:rsid w:val="61A72FC0"/>
    <w:rsid w:val="61B2BB9F"/>
    <w:rsid w:val="61E54BE0"/>
    <w:rsid w:val="61FD792C"/>
    <w:rsid w:val="61FF5B8C"/>
    <w:rsid w:val="620B17BC"/>
    <w:rsid w:val="62164156"/>
    <w:rsid w:val="62290B1E"/>
    <w:rsid w:val="62550123"/>
    <w:rsid w:val="62655772"/>
    <w:rsid w:val="629577AA"/>
    <w:rsid w:val="629A9A47"/>
    <w:rsid w:val="62CCD81B"/>
    <w:rsid w:val="62FD1A51"/>
    <w:rsid w:val="630A489C"/>
    <w:rsid w:val="63101AE0"/>
    <w:rsid w:val="63156228"/>
    <w:rsid w:val="6334DE6A"/>
    <w:rsid w:val="63503BF9"/>
    <w:rsid w:val="63634314"/>
    <w:rsid w:val="6372E37C"/>
    <w:rsid w:val="6373D90B"/>
    <w:rsid w:val="639C8C40"/>
    <w:rsid w:val="63B36F08"/>
    <w:rsid w:val="63BB6D1C"/>
    <w:rsid w:val="63E69CCE"/>
    <w:rsid w:val="64026E42"/>
    <w:rsid w:val="64092488"/>
    <w:rsid w:val="640D513A"/>
    <w:rsid w:val="6426F3BE"/>
    <w:rsid w:val="642FAC8E"/>
    <w:rsid w:val="643978B1"/>
    <w:rsid w:val="643A40D1"/>
    <w:rsid w:val="643DE0C5"/>
    <w:rsid w:val="6471AC81"/>
    <w:rsid w:val="64B30D97"/>
    <w:rsid w:val="64C68CAF"/>
    <w:rsid w:val="64CDBABD"/>
    <w:rsid w:val="64D0724D"/>
    <w:rsid w:val="650400F8"/>
    <w:rsid w:val="650403A0"/>
    <w:rsid w:val="6520134F"/>
    <w:rsid w:val="6528D271"/>
    <w:rsid w:val="652A17D3"/>
    <w:rsid w:val="6532C8F3"/>
    <w:rsid w:val="656A9B1F"/>
    <w:rsid w:val="656E06D5"/>
    <w:rsid w:val="65727454"/>
    <w:rsid w:val="65787256"/>
    <w:rsid w:val="657C97E7"/>
    <w:rsid w:val="657E671F"/>
    <w:rsid w:val="65AEC381"/>
    <w:rsid w:val="65B862BE"/>
    <w:rsid w:val="65BAE392"/>
    <w:rsid w:val="663E0A4F"/>
    <w:rsid w:val="6653147D"/>
    <w:rsid w:val="6653156E"/>
    <w:rsid w:val="66696284"/>
    <w:rsid w:val="667517B5"/>
    <w:rsid w:val="667CC951"/>
    <w:rsid w:val="66A0C21F"/>
    <w:rsid w:val="66CC9797"/>
    <w:rsid w:val="66D2CFF0"/>
    <w:rsid w:val="66E42998"/>
    <w:rsid w:val="66E9A81C"/>
    <w:rsid w:val="66FBCE81"/>
    <w:rsid w:val="66FF4189"/>
    <w:rsid w:val="6737AA51"/>
    <w:rsid w:val="674B1103"/>
    <w:rsid w:val="674CEA67"/>
    <w:rsid w:val="674DAC0C"/>
    <w:rsid w:val="6771BD62"/>
    <w:rsid w:val="67C36406"/>
    <w:rsid w:val="67CE74A8"/>
    <w:rsid w:val="67DE6E06"/>
    <w:rsid w:val="67E350CC"/>
    <w:rsid w:val="67F374A8"/>
    <w:rsid w:val="67FEAB71"/>
    <w:rsid w:val="6813022A"/>
    <w:rsid w:val="6823B921"/>
    <w:rsid w:val="6839EA13"/>
    <w:rsid w:val="683A4F1A"/>
    <w:rsid w:val="683B4DA1"/>
    <w:rsid w:val="686D37B7"/>
    <w:rsid w:val="68820C1A"/>
    <w:rsid w:val="6882D94E"/>
    <w:rsid w:val="688B8621"/>
    <w:rsid w:val="68C22C4A"/>
    <w:rsid w:val="68D45096"/>
    <w:rsid w:val="68D8F563"/>
    <w:rsid w:val="68D9E6FE"/>
    <w:rsid w:val="68DA33AD"/>
    <w:rsid w:val="68DF71A3"/>
    <w:rsid w:val="690E945B"/>
    <w:rsid w:val="6937B0BE"/>
    <w:rsid w:val="694E85C7"/>
    <w:rsid w:val="695A050F"/>
    <w:rsid w:val="695BC2B5"/>
    <w:rsid w:val="6972ADE8"/>
    <w:rsid w:val="6974A40D"/>
    <w:rsid w:val="698D30CB"/>
    <w:rsid w:val="69A6E433"/>
    <w:rsid w:val="69AA3DCA"/>
    <w:rsid w:val="69AF00DE"/>
    <w:rsid w:val="69B43753"/>
    <w:rsid w:val="6A23B8D4"/>
    <w:rsid w:val="6A3042C4"/>
    <w:rsid w:val="6A3672A4"/>
    <w:rsid w:val="6A38894A"/>
    <w:rsid w:val="6A95A998"/>
    <w:rsid w:val="6A994B1A"/>
    <w:rsid w:val="6AA2E765"/>
    <w:rsid w:val="6AD48FD5"/>
    <w:rsid w:val="6ADBDA88"/>
    <w:rsid w:val="6AE5CE79"/>
    <w:rsid w:val="6AF77FC8"/>
    <w:rsid w:val="6AFE59AC"/>
    <w:rsid w:val="6B0161A3"/>
    <w:rsid w:val="6B244CA6"/>
    <w:rsid w:val="6B3A763A"/>
    <w:rsid w:val="6B4E918E"/>
    <w:rsid w:val="6B523D6F"/>
    <w:rsid w:val="6B574F02"/>
    <w:rsid w:val="6B7DBCEB"/>
    <w:rsid w:val="6BDAA025"/>
    <w:rsid w:val="6BEA24D9"/>
    <w:rsid w:val="6C0386D5"/>
    <w:rsid w:val="6C0FCE22"/>
    <w:rsid w:val="6C214A7E"/>
    <w:rsid w:val="6C2D6B8E"/>
    <w:rsid w:val="6C346CD8"/>
    <w:rsid w:val="6C3DBD9E"/>
    <w:rsid w:val="6C6C56F5"/>
    <w:rsid w:val="6C6EC52E"/>
    <w:rsid w:val="6C7B057D"/>
    <w:rsid w:val="6C89CE29"/>
    <w:rsid w:val="6CA76AD5"/>
    <w:rsid w:val="6CAD97E8"/>
    <w:rsid w:val="6CC65610"/>
    <w:rsid w:val="6CDECD9B"/>
    <w:rsid w:val="6CFB8C37"/>
    <w:rsid w:val="6D29C5EF"/>
    <w:rsid w:val="6D30AEFD"/>
    <w:rsid w:val="6D371580"/>
    <w:rsid w:val="6D4645F8"/>
    <w:rsid w:val="6D564414"/>
    <w:rsid w:val="6D758EEE"/>
    <w:rsid w:val="6D8982DA"/>
    <w:rsid w:val="6DAD28ED"/>
    <w:rsid w:val="6DAF810A"/>
    <w:rsid w:val="6DC95011"/>
    <w:rsid w:val="6DD199B6"/>
    <w:rsid w:val="6DD347BD"/>
    <w:rsid w:val="6E1D3ADB"/>
    <w:rsid w:val="6E3D019B"/>
    <w:rsid w:val="6E594F9F"/>
    <w:rsid w:val="6E5DA6E2"/>
    <w:rsid w:val="6E72C681"/>
    <w:rsid w:val="6EBBBC10"/>
    <w:rsid w:val="6ED4C531"/>
    <w:rsid w:val="6EDEB729"/>
    <w:rsid w:val="6EDECBE8"/>
    <w:rsid w:val="6F0288CD"/>
    <w:rsid w:val="6F0F0004"/>
    <w:rsid w:val="6F1DA1F5"/>
    <w:rsid w:val="6F521656"/>
    <w:rsid w:val="6F6F6862"/>
    <w:rsid w:val="6F7B7A0C"/>
    <w:rsid w:val="6F87DE02"/>
    <w:rsid w:val="6FC0DFE2"/>
    <w:rsid w:val="6FC5F6C8"/>
    <w:rsid w:val="6FCCECC1"/>
    <w:rsid w:val="6FCD47AD"/>
    <w:rsid w:val="6FD825BA"/>
    <w:rsid w:val="6FE88588"/>
    <w:rsid w:val="701BD1C4"/>
    <w:rsid w:val="7021AAAF"/>
    <w:rsid w:val="7030DE1A"/>
    <w:rsid w:val="70347820"/>
    <w:rsid w:val="70476027"/>
    <w:rsid w:val="7079231F"/>
    <w:rsid w:val="709BEC52"/>
    <w:rsid w:val="70B1EA49"/>
    <w:rsid w:val="70B75350"/>
    <w:rsid w:val="70BB3DF1"/>
    <w:rsid w:val="70D15CA2"/>
    <w:rsid w:val="70D30FC0"/>
    <w:rsid w:val="70D87613"/>
    <w:rsid w:val="70F74863"/>
    <w:rsid w:val="710793C7"/>
    <w:rsid w:val="713B7DC2"/>
    <w:rsid w:val="7161EBDF"/>
    <w:rsid w:val="719261EC"/>
    <w:rsid w:val="71934FC0"/>
    <w:rsid w:val="719D47A2"/>
    <w:rsid w:val="71AD98B5"/>
    <w:rsid w:val="71D9749A"/>
    <w:rsid w:val="71E7D63C"/>
    <w:rsid w:val="71E9E538"/>
    <w:rsid w:val="71EC0903"/>
    <w:rsid w:val="71F63CA9"/>
    <w:rsid w:val="72155B75"/>
    <w:rsid w:val="72214AE4"/>
    <w:rsid w:val="722CA453"/>
    <w:rsid w:val="72362827"/>
    <w:rsid w:val="72636A9B"/>
    <w:rsid w:val="726BC1CE"/>
    <w:rsid w:val="7273E4B9"/>
    <w:rsid w:val="727C6164"/>
    <w:rsid w:val="728385BA"/>
    <w:rsid w:val="7290865C"/>
    <w:rsid w:val="72944098"/>
    <w:rsid w:val="72B2EFE1"/>
    <w:rsid w:val="72B9BA26"/>
    <w:rsid w:val="72CA4E31"/>
    <w:rsid w:val="72D580E0"/>
    <w:rsid w:val="72E514F8"/>
    <w:rsid w:val="72E8773C"/>
    <w:rsid w:val="734B31E8"/>
    <w:rsid w:val="734CA7AD"/>
    <w:rsid w:val="7357F39B"/>
    <w:rsid w:val="735B16AC"/>
    <w:rsid w:val="736BB4B1"/>
    <w:rsid w:val="738CFC65"/>
    <w:rsid w:val="739DC2F4"/>
    <w:rsid w:val="73D373FF"/>
    <w:rsid w:val="73F23E8D"/>
    <w:rsid w:val="73FED88F"/>
    <w:rsid w:val="7406AD5A"/>
    <w:rsid w:val="74099C63"/>
    <w:rsid w:val="742AD983"/>
    <w:rsid w:val="74489F00"/>
    <w:rsid w:val="746CBA49"/>
    <w:rsid w:val="747404A0"/>
    <w:rsid w:val="74A287FB"/>
    <w:rsid w:val="74A36D50"/>
    <w:rsid w:val="74AE2931"/>
    <w:rsid w:val="74B79C50"/>
    <w:rsid w:val="74E8469F"/>
    <w:rsid w:val="74EEF860"/>
    <w:rsid w:val="74FF4B44"/>
    <w:rsid w:val="7519A134"/>
    <w:rsid w:val="7520C2CA"/>
    <w:rsid w:val="752515BF"/>
    <w:rsid w:val="7534816E"/>
    <w:rsid w:val="753B66B8"/>
    <w:rsid w:val="756AA34F"/>
    <w:rsid w:val="75789275"/>
    <w:rsid w:val="75A246D6"/>
    <w:rsid w:val="75A9D20E"/>
    <w:rsid w:val="75B13D28"/>
    <w:rsid w:val="75B8F49E"/>
    <w:rsid w:val="75F27589"/>
    <w:rsid w:val="75FD7658"/>
    <w:rsid w:val="76012E93"/>
    <w:rsid w:val="762B70E6"/>
    <w:rsid w:val="7641B908"/>
    <w:rsid w:val="765EF8F9"/>
    <w:rsid w:val="7677581C"/>
    <w:rsid w:val="76A55A9C"/>
    <w:rsid w:val="76A55F2B"/>
    <w:rsid w:val="76B970D7"/>
    <w:rsid w:val="76BA5E14"/>
    <w:rsid w:val="76C4056B"/>
    <w:rsid w:val="76CDA08A"/>
    <w:rsid w:val="76CDA763"/>
    <w:rsid w:val="76CE6D2B"/>
    <w:rsid w:val="76D33952"/>
    <w:rsid w:val="76D756BD"/>
    <w:rsid w:val="76FE1362"/>
    <w:rsid w:val="77092AA7"/>
    <w:rsid w:val="774248BA"/>
    <w:rsid w:val="7744C498"/>
    <w:rsid w:val="7749E3B4"/>
    <w:rsid w:val="77841830"/>
    <w:rsid w:val="7797A857"/>
    <w:rsid w:val="77D186B8"/>
    <w:rsid w:val="77DB8AA1"/>
    <w:rsid w:val="77F75751"/>
    <w:rsid w:val="782F70E1"/>
    <w:rsid w:val="7834DB2D"/>
    <w:rsid w:val="78440581"/>
    <w:rsid w:val="78560777"/>
    <w:rsid w:val="7858A718"/>
    <w:rsid w:val="78676447"/>
    <w:rsid w:val="788B3F31"/>
    <w:rsid w:val="789100AC"/>
    <w:rsid w:val="789F7855"/>
    <w:rsid w:val="78A50AF5"/>
    <w:rsid w:val="78E3BF39"/>
    <w:rsid w:val="78F55FE0"/>
    <w:rsid w:val="790AD021"/>
    <w:rsid w:val="790B1237"/>
    <w:rsid w:val="79109F5F"/>
    <w:rsid w:val="791A92F8"/>
    <w:rsid w:val="793DD286"/>
    <w:rsid w:val="79469B93"/>
    <w:rsid w:val="794DB1A5"/>
    <w:rsid w:val="7967A7C7"/>
    <w:rsid w:val="796F1A6A"/>
    <w:rsid w:val="79830CA8"/>
    <w:rsid w:val="7988C690"/>
    <w:rsid w:val="798B782E"/>
    <w:rsid w:val="7996CDFD"/>
    <w:rsid w:val="79A67D61"/>
    <w:rsid w:val="79C214F1"/>
    <w:rsid w:val="79C22213"/>
    <w:rsid w:val="79CAB293"/>
    <w:rsid w:val="79CDE171"/>
    <w:rsid w:val="79FC46F4"/>
    <w:rsid w:val="7A0A6C33"/>
    <w:rsid w:val="7A206E48"/>
    <w:rsid w:val="7A48EA69"/>
    <w:rsid w:val="7A619684"/>
    <w:rsid w:val="7A674FC5"/>
    <w:rsid w:val="7A67E8CF"/>
    <w:rsid w:val="7A6DB58C"/>
    <w:rsid w:val="7A78D16C"/>
    <w:rsid w:val="7A85EA64"/>
    <w:rsid w:val="7A88D82A"/>
    <w:rsid w:val="7A8E50C4"/>
    <w:rsid w:val="7A91F02D"/>
    <w:rsid w:val="7A937194"/>
    <w:rsid w:val="7AAB627A"/>
    <w:rsid w:val="7ABE4E63"/>
    <w:rsid w:val="7ABEEDFF"/>
    <w:rsid w:val="7AD41D43"/>
    <w:rsid w:val="7AD55BC8"/>
    <w:rsid w:val="7AF7FAB2"/>
    <w:rsid w:val="7B105F42"/>
    <w:rsid w:val="7B41B31B"/>
    <w:rsid w:val="7B731762"/>
    <w:rsid w:val="7B7C23B1"/>
    <w:rsid w:val="7B858494"/>
    <w:rsid w:val="7B85B3D4"/>
    <w:rsid w:val="7B928FE0"/>
    <w:rsid w:val="7B963132"/>
    <w:rsid w:val="7BF074CB"/>
    <w:rsid w:val="7C0CDA2D"/>
    <w:rsid w:val="7C161234"/>
    <w:rsid w:val="7C24F868"/>
    <w:rsid w:val="7C57E967"/>
    <w:rsid w:val="7C9D98F7"/>
    <w:rsid w:val="7CB439B7"/>
    <w:rsid w:val="7CB850F9"/>
    <w:rsid w:val="7CBD1A8E"/>
    <w:rsid w:val="7CC6F577"/>
    <w:rsid w:val="7D13B4A9"/>
    <w:rsid w:val="7D1461A7"/>
    <w:rsid w:val="7D3AC684"/>
    <w:rsid w:val="7D48004B"/>
    <w:rsid w:val="7D800CA3"/>
    <w:rsid w:val="7D85E36B"/>
    <w:rsid w:val="7D97796D"/>
    <w:rsid w:val="7DA52344"/>
    <w:rsid w:val="7DD3CCA6"/>
    <w:rsid w:val="7DE96D8B"/>
    <w:rsid w:val="7E0F9C26"/>
    <w:rsid w:val="7E127031"/>
    <w:rsid w:val="7E2A3D9C"/>
    <w:rsid w:val="7E30BF34"/>
    <w:rsid w:val="7E354EE7"/>
    <w:rsid w:val="7E466588"/>
    <w:rsid w:val="7E4E9088"/>
    <w:rsid w:val="7E68F0D3"/>
    <w:rsid w:val="7E706E9C"/>
    <w:rsid w:val="7E9C0A0B"/>
    <w:rsid w:val="7E9E6AF4"/>
    <w:rsid w:val="7EABB3C6"/>
    <w:rsid w:val="7EBA5A6B"/>
    <w:rsid w:val="7EBE2EE5"/>
    <w:rsid w:val="7EC1BF20"/>
    <w:rsid w:val="7ED9E14B"/>
    <w:rsid w:val="7EEBD711"/>
    <w:rsid w:val="7F014A96"/>
    <w:rsid w:val="7F1E89B5"/>
    <w:rsid w:val="7F284752"/>
    <w:rsid w:val="7F3E47F2"/>
    <w:rsid w:val="7F406858"/>
    <w:rsid w:val="7F4CC41A"/>
    <w:rsid w:val="7F4E420F"/>
    <w:rsid w:val="7F54FC5C"/>
    <w:rsid w:val="7F798736"/>
    <w:rsid w:val="7F83ED7A"/>
    <w:rsid w:val="7F944FB9"/>
    <w:rsid w:val="7FB9B00F"/>
    <w:rsid w:val="7FF165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01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1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1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1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1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186A9E"/>
    <w:pPr>
      <w:numPr>
        <w:numId w:val="2"/>
      </w:numPr>
      <w:tabs>
        <w:tab w:val="num" w:pos="360"/>
      </w:tabs>
      <w:ind w:left="0" w:firstLine="0"/>
    </w:pPr>
    <w:rPr>
      <w:rFonts w:eastAsia="Times New Roman"/>
      <w:lang w:eastAsia="de-DE"/>
    </w:rPr>
  </w:style>
  <w:style w:type="paragraph" w:styleId="ListNumber">
    <w:name w:val="List Number"/>
    <w:basedOn w:val="Normal"/>
    <w:rsid w:val="00186A9E"/>
    <w:pPr>
      <w:numPr>
        <w:numId w:val="6"/>
      </w:numPr>
    </w:pPr>
    <w:rPr>
      <w:rFonts w:eastAsia="Times New Roman"/>
      <w:lang w:eastAsia="de-DE"/>
    </w:rPr>
  </w:style>
  <w:style w:type="paragraph" w:customStyle="1" w:styleId="ListBullet1">
    <w:name w:val="List Bullet 1"/>
    <w:basedOn w:val="Normal"/>
    <w:rsid w:val="00186A9E"/>
    <w:pPr>
      <w:numPr>
        <w:numId w:val="1"/>
      </w:numPr>
    </w:pPr>
    <w:rPr>
      <w:rFonts w:eastAsia="Times New Roman"/>
      <w:lang w:eastAsia="de-DE"/>
    </w:rPr>
  </w:style>
  <w:style w:type="paragraph" w:customStyle="1" w:styleId="ListDash">
    <w:name w:val="List Dash"/>
    <w:basedOn w:val="Normal"/>
    <w:rsid w:val="00186A9E"/>
    <w:pPr>
      <w:numPr>
        <w:numId w:val="3"/>
      </w:numPr>
    </w:pPr>
    <w:rPr>
      <w:rFonts w:eastAsia="Times New Roman"/>
      <w:lang w:eastAsia="de-DE"/>
    </w:rPr>
  </w:style>
  <w:style w:type="paragraph" w:customStyle="1" w:styleId="ListDash1">
    <w:name w:val="List Dash 1"/>
    <w:basedOn w:val="Normal"/>
    <w:rsid w:val="00186A9E"/>
    <w:pPr>
      <w:numPr>
        <w:numId w:val="4"/>
      </w:numPr>
    </w:pPr>
    <w:rPr>
      <w:rFonts w:eastAsia="Times New Roman"/>
      <w:lang w:eastAsia="de-DE"/>
    </w:rPr>
  </w:style>
  <w:style w:type="paragraph" w:customStyle="1" w:styleId="ListDash2">
    <w:name w:val="List Dash 2"/>
    <w:basedOn w:val="Normal"/>
    <w:rsid w:val="00186A9E"/>
    <w:pPr>
      <w:numPr>
        <w:numId w:val="5"/>
      </w:numPr>
    </w:pPr>
    <w:rPr>
      <w:rFonts w:eastAsia="Times New Roman"/>
      <w:lang w:eastAsia="de-DE"/>
    </w:rPr>
  </w:style>
  <w:style w:type="paragraph" w:customStyle="1" w:styleId="ListNumberLevel2">
    <w:name w:val="List Number (Level 2)"/>
    <w:basedOn w:val="Normal"/>
    <w:rsid w:val="00186A9E"/>
    <w:pPr>
      <w:numPr>
        <w:ilvl w:val="1"/>
        <w:numId w:val="6"/>
      </w:numPr>
    </w:pPr>
    <w:rPr>
      <w:rFonts w:eastAsia="Times New Roman"/>
      <w:lang w:eastAsia="de-DE"/>
    </w:rPr>
  </w:style>
  <w:style w:type="paragraph" w:customStyle="1" w:styleId="ListNumberLevel3">
    <w:name w:val="List Number (Level 3)"/>
    <w:basedOn w:val="Normal"/>
    <w:rsid w:val="00186A9E"/>
    <w:pPr>
      <w:numPr>
        <w:ilvl w:val="2"/>
        <w:numId w:val="6"/>
      </w:numPr>
    </w:pPr>
    <w:rPr>
      <w:rFonts w:eastAsia="Times New Roman"/>
      <w:lang w:eastAsia="de-DE"/>
    </w:rPr>
  </w:style>
  <w:style w:type="paragraph" w:customStyle="1" w:styleId="ListNumberLevel4">
    <w:name w:val="List Number (Level 4)"/>
    <w:basedOn w:val="Normal"/>
    <w:rsid w:val="00186A9E"/>
    <w:pPr>
      <w:numPr>
        <w:ilvl w:val="3"/>
        <w:numId w:val="6"/>
      </w:numPr>
    </w:pPr>
    <w:rPr>
      <w:rFonts w:eastAsia="Times New Roman"/>
      <w:lang w:eastAsia="de-DE"/>
    </w:rPr>
  </w:style>
  <w:style w:type="table" w:styleId="TableGrid">
    <w:name w:val="Table Grid"/>
    <w:basedOn w:val="TableNormal"/>
    <w:rsid w:val="00186A9E"/>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86A9E"/>
    <w:rPr>
      <w:color w:val="0000FF"/>
      <w:u w:val="single"/>
    </w:rPr>
  </w:style>
  <w:style w:type="paragraph" w:styleId="ListBullet">
    <w:name w:val="List Bullet"/>
    <w:basedOn w:val="Normal"/>
    <w:rsid w:val="00186A9E"/>
    <w:pPr>
      <w:numPr>
        <w:numId w:val="7"/>
      </w:numPr>
    </w:pPr>
    <w:rPr>
      <w:rFonts w:eastAsia="Times New Roman"/>
      <w:lang w:eastAsia="en-GB"/>
    </w:rPr>
  </w:style>
  <w:style w:type="paragraph" w:styleId="ListBullet2">
    <w:name w:val="List Bullet 2"/>
    <w:basedOn w:val="Normal"/>
    <w:rsid w:val="00186A9E"/>
    <w:pPr>
      <w:numPr>
        <w:numId w:val="8"/>
      </w:numPr>
    </w:pPr>
    <w:rPr>
      <w:rFonts w:eastAsia="Times New Roman"/>
      <w:lang w:eastAsia="en-GB"/>
    </w:rPr>
  </w:style>
  <w:style w:type="paragraph" w:styleId="ListBullet3">
    <w:name w:val="List Bullet 3"/>
    <w:basedOn w:val="Normal"/>
    <w:rsid w:val="00186A9E"/>
    <w:pPr>
      <w:numPr>
        <w:numId w:val="9"/>
      </w:numPr>
    </w:pPr>
    <w:rPr>
      <w:rFonts w:eastAsia="Times New Roman"/>
      <w:lang w:eastAsia="en-GB"/>
    </w:rPr>
  </w:style>
  <w:style w:type="paragraph" w:styleId="ListNumber2">
    <w:name w:val="List Number 2"/>
    <w:basedOn w:val="Normal"/>
    <w:rsid w:val="00186A9E"/>
    <w:pPr>
      <w:tabs>
        <w:tab w:val="num" w:pos="643"/>
      </w:tabs>
      <w:ind w:left="643" w:hanging="360"/>
    </w:pPr>
    <w:rPr>
      <w:rFonts w:eastAsia="Times New Roman"/>
      <w:lang w:eastAsia="en-GB"/>
    </w:rPr>
  </w:style>
  <w:style w:type="paragraph" w:styleId="ListNumber3">
    <w:name w:val="List Number 3"/>
    <w:basedOn w:val="Normal"/>
    <w:rsid w:val="00186A9E"/>
    <w:pPr>
      <w:numPr>
        <w:numId w:val="14"/>
      </w:numPr>
    </w:pPr>
    <w:rPr>
      <w:rFonts w:eastAsia="Times New Roman"/>
      <w:lang w:eastAsia="en-GB"/>
    </w:rPr>
  </w:style>
  <w:style w:type="paragraph" w:styleId="ListNumber4">
    <w:name w:val="List Number 4"/>
    <w:basedOn w:val="Normal"/>
    <w:rsid w:val="00186A9E"/>
    <w:pPr>
      <w:numPr>
        <w:numId w:val="15"/>
      </w:numPr>
    </w:pPr>
    <w:rPr>
      <w:rFonts w:eastAsia="Times New Roman"/>
      <w:lang w:eastAsia="en-GB"/>
    </w:rPr>
  </w:style>
  <w:style w:type="paragraph" w:customStyle="1" w:styleId="ListDash3">
    <w:name w:val="List Dash 3"/>
    <w:basedOn w:val="Normal"/>
    <w:rsid w:val="00186A9E"/>
    <w:pPr>
      <w:numPr>
        <w:numId w:val="10"/>
      </w:numPr>
    </w:pPr>
    <w:rPr>
      <w:rFonts w:eastAsia="Times New Roman"/>
      <w:lang w:eastAsia="en-GB"/>
    </w:rPr>
  </w:style>
  <w:style w:type="paragraph" w:customStyle="1" w:styleId="ListDash4">
    <w:name w:val="List Dash 4"/>
    <w:basedOn w:val="Normal"/>
    <w:rsid w:val="00186A9E"/>
    <w:pPr>
      <w:numPr>
        <w:numId w:val="11"/>
      </w:numPr>
    </w:pPr>
    <w:rPr>
      <w:rFonts w:eastAsia="Times New Roman"/>
      <w:lang w:eastAsia="en-GB"/>
    </w:rPr>
  </w:style>
  <w:style w:type="paragraph" w:customStyle="1" w:styleId="ListNumber1">
    <w:name w:val="List Number 1"/>
    <w:basedOn w:val="Text1"/>
    <w:rsid w:val="00186A9E"/>
    <w:pPr>
      <w:numPr>
        <w:numId w:val="12"/>
      </w:numPr>
    </w:pPr>
    <w:rPr>
      <w:rFonts w:eastAsia="Times New Roman"/>
      <w:lang w:eastAsia="en-GB"/>
    </w:rPr>
  </w:style>
  <w:style w:type="paragraph" w:customStyle="1" w:styleId="ListNumber1Level2">
    <w:name w:val="List Number 1 (Level 2)"/>
    <w:basedOn w:val="Text1"/>
    <w:rsid w:val="00186A9E"/>
    <w:pPr>
      <w:numPr>
        <w:ilvl w:val="1"/>
        <w:numId w:val="12"/>
      </w:numPr>
    </w:pPr>
    <w:rPr>
      <w:rFonts w:eastAsia="Times New Roman"/>
      <w:lang w:eastAsia="en-GB"/>
    </w:rPr>
  </w:style>
  <w:style w:type="paragraph" w:customStyle="1" w:styleId="ListNumber2Level2">
    <w:name w:val="List Number 2 (Level 2)"/>
    <w:basedOn w:val="Text2"/>
    <w:rsid w:val="00186A9E"/>
    <w:pPr>
      <w:numPr>
        <w:ilvl w:val="1"/>
        <w:numId w:val="13"/>
      </w:numPr>
    </w:pPr>
    <w:rPr>
      <w:rFonts w:eastAsia="Times New Roman"/>
      <w:lang w:eastAsia="en-GB"/>
    </w:rPr>
  </w:style>
  <w:style w:type="paragraph" w:customStyle="1" w:styleId="ListNumber3Level2">
    <w:name w:val="List Number 3 (Level 2)"/>
    <w:basedOn w:val="Text3"/>
    <w:rsid w:val="00186A9E"/>
    <w:pPr>
      <w:numPr>
        <w:ilvl w:val="1"/>
        <w:numId w:val="14"/>
      </w:numPr>
    </w:pPr>
    <w:rPr>
      <w:rFonts w:eastAsia="Times New Roman"/>
      <w:lang w:eastAsia="en-GB"/>
    </w:rPr>
  </w:style>
  <w:style w:type="paragraph" w:customStyle="1" w:styleId="ListNumber4Level2">
    <w:name w:val="List Number 4 (Level 2)"/>
    <w:basedOn w:val="Text4"/>
    <w:rsid w:val="00186A9E"/>
    <w:pPr>
      <w:numPr>
        <w:ilvl w:val="1"/>
        <w:numId w:val="15"/>
      </w:numPr>
    </w:pPr>
    <w:rPr>
      <w:rFonts w:eastAsia="Times New Roman"/>
      <w:lang w:eastAsia="en-GB"/>
    </w:rPr>
  </w:style>
  <w:style w:type="paragraph" w:customStyle="1" w:styleId="ListNumber1Level3">
    <w:name w:val="List Number 1 (Level 3)"/>
    <w:basedOn w:val="Text1"/>
    <w:rsid w:val="00186A9E"/>
    <w:pPr>
      <w:numPr>
        <w:ilvl w:val="2"/>
        <w:numId w:val="12"/>
      </w:numPr>
    </w:pPr>
    <w:rPr>
      <w:rFonts w:eastAsia="Times New Roman"/>
      <w:lang w:eastAsia="en-GB"/>
    </w:rPr>
  </w:style>
  <w:style w:type="paragraph" w:customStyle="1" w:styleId="ListNumber2Level3">
    <w:name w:val="List Number 2 (Level 3)"/>
    <w:basedOn w:val="Text2"/>
    <w:rsid w:val="00186A9E"/>
    <w:pPr>
      <w:numPr>
        <w:ilvl w:val="2"/>
        <w:numId w:val="13"/>
      </w:numPr>
    </w:pPr>
    <w:rPr>
      <w:rFonts w:eastAsia="Times New Roman"/>
      <w:lang w:eastAsia="en-GB"/>
    </w:rPr>
  </w:style>
  <w:style w:type="paragraph" w:customStyle="1" w:styleId="ListNumber3Level3">
    <w:name w:val="List Number 3 (Level 3)"/>
    <w:basedOn w:val="Text3"/>
    <w:rsid w:val="00186A9E"/>
    <w:pPr>
      <w:numPr>
        <w:ilvl w:val="2"/>
        <w:numId w:val="14"/>
      </w:numPr>
    </w:pPr>
    <w:rPr>
      <w:rFonts w:eastAsia="Times New Roman"/>
      <w:lang w:eastAsia="en-GB"/>
    </w:rPr>
  </w:style>
  <w:style w:type="paragraph" w:customStyle="1" w:styleId="ListNumber4Level3">
    <w:name w:val="List Number 4 (Level 3)"/>
    <w:basedOn w:val="Text4"/>
    <w:rsid w:val="00186A9E"/>
    <w:pPr>
      <w:numPr>
        <w:ilvl w:val="2"/>
        <w:numId w:val="15"/>
      </w:numPr>
    </w:pPr>
    <w:rPr>
      <w:rFonts w:eastAsia="Times New Roman"/>
      <w:lang w:eastAsia="en-GB"/>
    </w:rPr>
  </w:style>
  <w:style w:type="paragraph" w:customStyle="1" w:styleId="ListNumber1Level4">
    <w:name w:val="List Number 1 (Level 4)"/>
    <w:basedOn w:val="Text1"/>
    <w:rsid w:val="00186A9E"/>
    <w:pPr>
      <w:numPr>
        <w:ilvl w:val="3"/>
        <w:numId w:val="12"/>
      </w:numPr>
    </w:pPr>
    <w:rPr>
      <w:rFonts w:eastAsia="Times New Roman"/>
      <w:lang w:eastAsia="en-GB"/>
    </w:rPr>
  </w:style>
  <w:style w:type="paragraph" w:customStyle="1" w:styleId="ListNumber2Level4">
    <w:name w:val="List Number 2 (Level 4)"/>
    <w:basedOn w:val="Text2"/>
    <w:rsid w:val="00186A9E"/>
    <w:pPr>
      <w:numPr>
        <w:ilvl w:val="3"/>
        <w:numId w:val="13"/>
      </w:numPr>
    </w:pPr>
    <w:rPr>
      <w:rFonts w:eastAsia="Times New Roman"/>
      <w:lang w:eastAsia="en-GB"/>
    </w:rPr>
  </w:style>
  <w:style w:type="paragraph" w:customStyle="1" w:styleId="ListNumber3Level4">
    <w:name w:val="List Number 3 (Level 4)"/>
    <w:basedOn w:val="Text3"/>
    <w:rsid w:val="00186A9E"/>
    <w:pPr>
      <w:numPr>
        <w:ilvl w:val="3"/>
        <w:numId w:val="14"/>
      </w:numPr>
    </w:pPr>
    <w:rPr>
      <w:rFonts w:eastAsia="Times New Roman"/>
      <w:lang w:eastAsia="en-GB"/>
    </w:rPr>
  </w:style>
  <w:style w:type="paragraph" w:customStyle="1" w:styleId="ListNumber4Level4">
    <w:name w:val="List Number 4 (Level 4)"/>
    <w:basedOn w:val="Text4"/>
    <w:rsid w:val="00186A9E"/>
    <w:pPr>
      <w:numPr>
        <w:ilvl w:val="3"/>
        <w:numId w:val="15"/>
      </w:numPr>
    </w:pPr>
    <w:rPr>
      <w:rFonts w:eastAsia="Times New Roman"/>
      <w:lang w:eastAsia="en-GB"/>
    </w:rPr>
  </w:style>
  <w:style w:type="paragraph" w:customStyle="1" w:styleId="Annexetitreacte">
    <w:name w:val="Annexe titre (acte)"/>
    <w:basedOn w:val="Normal"/>
    <w:next w:val="Normal"/>
    <w:rsid w:val="00186A9E"/>
    <w:pPr>
      <w:jc w:val="center"/>
    </w:pPr>
    <w:rPr>
      <w:rFonts w:eastAsia="Times New Roman"/>
      <w:b/>
      <w:u w:val="single"/>
      <w:lang w:eastAsia="en-GB"/>
    </w:rPr>
  </w:style>
  <w:style w:type="paragraph" w:customStyle="1" w:styleId="Annexetitreexposglobal">
    <w:name w:val="Annexe titre (exposé global)"/>
    <w:basedOn w:val="Normal"/>
    <w:next w:val="Normal"/>
    <w:rsid w:val="00186A9E"/>
    <w:pPr>
      <w:jc w:val="center"/>
    </w:pPr>
    <w:rPr>
      <w:rFonts w:eastAsia="Times New Roman"/>
      <w:b/>
      <w:u w:val="single"/>
      <w:lang w:eastAsia="en-GB"/>
    </w:rPr>
  </w:style>
  <w:style w:type="paragraph" w:customStyle="1" w:styleId="Annexetitrefichefinacte">
    <w:name w:val="Annexe titre (fiche fin. acte)"/>
    <w:basedOn w:val="Normal"/>
    <w:next w:val="Normal"/>
    <w:rsid w:val="00186A9E"/>
    <w:pPr>
      <w:jc w:val="center"/>
    </w:pPr>
    <w:rPr>
      <w:rFonts w:eastAsia="Times New Roman"/>
      <w:b/>
      <w:u w:val="single"/>
      <w:lang w:eastAsia="en-GB"/>
    </w:rPr>
  </w:style>
  <w:style w:type="paragraph" w:customStyle="1" w:styleId="Annexetitrefichefinglobale">
    <w:name w:val="Annexe titre (fiche fin. globale)"/>
    <w:basedOn w:val="Normal"/>
    <w:next w:val="Normal"/>
    <w:rsid w:val="00186A9E"/>
    <w:pPr>
      <w:jc w:val="center"/>
    </w:pPr>
    <w:rPr>
      <w:rFonts w:eastAsia="Times New Roman"/>
      <w:b/>
      <w:u w:val="single"/>
      <w:lang w:eastAsia="en-GB"/>
    </w:rPr>
  </w:style>
  <w:style w:type="paragraph" w:customStyle="1" w:styleId="Annexetitreglobale">
    <w:name w:val="Annexe titre (globale)"/>
    <w:basedOn w:val="Normal"/>
    <w:next w:val="Normal"/>
    <w:rsid w:val="00186A9E"/>
    <w:pPr>
      <w:jc w:val="center"/>
    </w:pPr>
    <w:rPr>
      <w:rFonts w:eastAsia="Times New Roman"/>
      <w:b/>
      <w:u w:val="single"/>
      <w:lang w:eastAsia="en-GB"/>
    </w:rPr>
  </w:style>
  <w:style w:type="paragraph" w:customStyle="1" w:styleId="Exposdesmotifstitreglobal">
    <w:name w:val="Exposé des motifs titre (global)"/>
    <w:basedOn w:val="Normal"/>
    <w:next w:val="Normal"/>
    <w:rsid w:val="00186A9E"/>
    <w:pPr>
      <w:jc w:val="center"/>
    </w:pPr>
    <w:rPr>
      <w:rFonts w:eastAsia="Times New Roman"/>
      <w:b/>
      <w:u w:val="single"/>
      <w:lang w:eastAsia="en-GB"/>
    </w:rPr>
  </w:style>
  <w:style w:type="paragraph" w:customStyle="1" w:styleId="Langueoriginale">
    <w:name w:val="Langue originale"/>
    <w:basedOn w:val="Normal"/>
    <w:rsid w:val="00186A9E"/>
    <w:pPr>
      <w:spacing w:before="360"/>
      <w:jc w:val="center"/>
    </w:pPr>
    <w:rPr>
      <w:rFonts w:eastAsia="Times New Roman"/>
      <w:caps/>
      <w:lang w:eastAsia="en-GB"/>
    </w:rPr>
  </w:style>
  <w:style w:type="paragraph" w:customStyle="1" w:styleId="Phrasefinale">
    <w:name w:val="Phrase finale"/>
    <w:basedOn w:val="Normal"/>
    <w:next w:val="Normal"/>
    <w:rsid w:val="00186A9E"/>
    <w:pPr>
      <w:spacing w:before="360" w:after="0"/>
      <w:jc w:val="center"/>
    </w:pPr>
    <w:rPr>
      <w:rFonts w:eastAsia="Times New Roman"/>
      <w:lang w:eastAsia="en-GB"/>
    </w:rPr>
  </w:style>
  <w:style w:type="paragraph" w:customStyle="1" w:styleId="Prliminairetitre">
    <w:name w:val="Préliminaire titre"/>
    <w:basedOn w:val="Normal"/>
    <w:next w:val="Normal"/>
    <w:rsid w:val="00186A9E"/>
    <w:pPr>
      <w:spacing w:before="360" w:after="360"/>
      <w:jc w:val="center"/>
    </w:pPr>
    <w:rPr>
      <w:rFonts w:eastAsia="Times New Roman"/>
      <w:b/>
      <w:lang w:eastAsia="en-GB"/>
    </w:rPr>
  </w:style>
  <w:style w:type="paragraph" w:customStyle="1" w:styleId="Prliminairetype">
    <w:name w:val="Préliminaire type"/>
    <w:basedOn w:val="Normal"/>
    <w:next w:val="Normal"/>
    <w:rsid w:val="00186A9E"/>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186A9E"/>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186A9E"/>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186A9E"/>
    <w:pPr>
      <w:spacing w:before="0" w:after="0"/>
      <w:ind w:left="5103"/>
      <w:jc w:val="left"/>
    </w:pPr>
    <w:rPr>
      <w:rFonts w:eastAsia="Times New Roman"/>
      <w:lang w:eastAsia="en-GB"/>
    </w:rPr>
  </w:style>
  <w:style w:type="paragraph" w:customStyle="1" w:styleId="Sous-titreobjetprliminaire">
    <w:name w:val="Sous-titre objet (préliminaire)"/>
    <w:basedOn w:val="Normal"/>
    <w:rsid w:val="00186A9E"/>
    <w:pPr>
      <w:spacing w:before="0" w:after="0"/>
      <w:jc w:val="center"/>
    </w:pPr>
    <w:rPr>
      <w:rFonts w:eastAsia="Times New Roman"/>
      <w:b/>
      <w:lang w:eastAsia="en-GB"/>
    </w:rPr>
  </w:style>
  <w:style w:type="paragraph" w:customStyle="1" w:styleId="Statutprliminaire">
    <w:name w:val="Statut (préliminaire)"/>
    <w:basedOn w:val="Normal"/>
    <w:next w:val="Normal"/>
    <w:rsid w:val="00186A9E"/>
    <w:pPr>
      <w:spacing w:before="360" w:after="0"/>
      <w:jc w:val="center"/>
    </w:pPr>
    <w:rPr>
      <w:rFonts w:eastAsia="Times New Roman"/>
      <w:lang w:eastAsia="en-GB"/>
    </w:rPr>
  </w:style>
  <w:style w:type="paragraph" w:customStyle="1" w:styleId="Titreobjetprliminaire">
    <w:name w:val="Titre objet (préliminaire)"/>
    <w:basedOn w:val="Normal"/>
    <w:next w:val="Normal"/>
    <w:rsid w:val="00186A9E"/>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186A9E"/>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186A9E"/>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186A9E"/>
    <w:pPr>
      <w:jc w:val="center"/>
    </w:pPr>
    <w:rPr>
      <w:rFonts w:eastAsia="Times New Roman"/>
      <w:b/>
      <w:u w:val="single"/>
      <w:lang w:eastAsia="en-GB"/>
    </w:rPr>
  </w:style>
  <w:style w:type="paragraph" w:customStyle="1" w:styleId="Fichefinanciretravailtitre">
    <w:name w:val="Fiche financière (travail) titre"/>
    <w:basedOn w:val="Normal"/>
    <w:next w:val="Normal"/>
    <w:rsid w:val="00186A9E"/>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186A9E"/>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186A9E"/>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186A9E"/>
    <w:pPr>
      <w:jc w:val="center"/>
    </w:pPr>
    <w:rPr>
      <w:rFonts w:eastAsia="Times New Roman"/>
      <w:b/>
      <w:u w:val="single"/>
      <w:lang w:eastAsia="en-GB"/>
    </w:rPr>
  </w:style>
  <w:style w:type="character" w:styleId="CommentReference">
    <w:name w:val="annotation reference"/>
    <w:uiPriority w:val="99"/>
    <w:rsid w:val="00186A9E"/>
    <w:rPr>
      <w:rFonts w:cs="Times New Roman"/>
      <w:sz w:val="16"/>
      <w:szCs w:val="16"/>
    </w:rPr>
  </w:style>
  <w:style w:type="paragraph" w:styleId="CommentText">
    <w:name w:val="annotation text"/>
    <w:basedOn w:val="Normal"/>
    <w:link w:val="CommentTextChar"/>
    <w:uiPriority w:val="99"/>
    <w:rsid w:val="00186A9E"/>
    <w:rPr>
      <w:rFonts w:eastAsia="Times New Roman"/>
      <w:sz w:val="20"/>
      <w:szCs w:val="20"/>
      <w:lang w:eastAsia="en-GB"/>
    </w:rPr>
  </w:style>
  <w:style w:type="character" w:customStyle="1" w:styleId="CommentTextChar">
    <w:name w:val="Comment Text Char"/>
    <w:basedOn w:val="DefaultParagraphFont"/>
    <w:link w:val="CommentText"/>
    <w:uiPriority w:val="99"/>
    <w:rsid w:val="00186A9E"/>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186A9E"/>
    <w:rPr>
      <w:b/>
      <w:bCs/>
    </w:rPr>
  </w:style>
  <w:style w:type="character" w:customStyle="1" w:styleId="CommentSubjectChar">
    <w:name w:val="Comment Subject Char"/>
    <w:basedOn w:val="CommentTextChar"/>
    <w:link w:val="CommentSubject"/>
    <w:rsid w:val="00186A9E"/>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186A9E"/>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186A9E"/>
    <w:rPr>
      <w:rFonts w:ascii="Tahoma" w:eastAsia="Times New Roman" w:hAnsi="Tahoma" w:cs="Tahoma"/>
      <w:sz w:val="16"/>
      <w:szCs w:val="16"/>
      <w:lang w:val="fr-FR" w:eastAsia="en-GB"/>
    </w:rPr>
  </w:style>
  <w:style w:type="paragraph" w:styleId="Caption">
    <w:name w:val="caption"/>
    <w:basedOn w:val="Normal"/>
    <w:next w:val="Normal"/>
    <w:qFormat/>
    <w:rsid w:val="00186A9E"/>
    <w:rPr>
      <w:rFonts w:eastAsia="Times New Roman"/>
      <w:b/>
      <w:bCs/>
      <w:sz w:val="20"/>
      <w:szCs w:val="20"/>
      <w:lang w:eastAsia="en-GB"/>
    </w:rPr>
  </w:style>
  <w:style w:type="paragraph" w:styleId="TableofFigures">
    <w:name w:val="table of figures"/>
    <w:basedOn w:val="Normal"/>
    <w:next w:val="Normal"/>
    <w:rsid w:val="00186A9E"/>
    <w:rPr>
      <w:rFonts w:eastAsia="Times New Roman"/>
      <w:lang w:eastAsia="en-GB"/>
    </w:rPr>
  </w:style>
  <w:style w:type="character" w:styleId="PageNumber">
    <w:name w:val="page number"/>
    <w:rsid w:val="00186A9E"/>
  </w:style>
  <w:style w:type="character" w:customStyle="1" w:styleId="tw4winMark">
    <w:name w:val="tw4winMark"/>
    <w:rsid w:val="00186A9E"/>
    <w:rPr>
      <w:vanish/>
      <w:color w:val="800080"/>
      <w:vertAlign w:val="subscript"/>
    </w:rPr>
  </w:style>
  <w:style w:type="character" w:styleId="FollowedHyperlink">
    <w:name w:val="FollowedHyperlink"/>
    <w:rsid w:val="00186A9E"/>
    <w:rPr>
      <w:color w:val="800080"/>
      <w:u w:val="single"/>
    </w:rPr>
  </w:style>
  <w:style w:type="paragraph" w:customStyle="1" w:styleId="Sous-titreobjet">
    <w:name w:val="Sous-titre objet"/>
    <w:basedOn w:val="Normal"/>
    <w:rsid w:val="00186A9E"/>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186A9E"/>
  </w:style>
  <w:style w:type="paragraph" w:styleId="Revision">
    <w:name w:val="Revision"/>
    <w:hidden/>
    <w:uiPriority w:val="99"/>
    <w:semiHidden/>
    <w:rsid w:val="00186A9E"/>
    <w:rPr>
      <w:rFonts w:ascii="Calibri" w:eastAsia="Calibri" w:hAnsi="Calibri" w:cs="Times New Roman"/>
      <w:sz w:val="24"/>
      <w:lang w:eastAsia="en-GB"/>
    </w:rPr>
  </w:style>
  <w:style w:type="paragraph" w:customStyle="1" w:styleId="FooterCoverPage">
    <w:name w:val="Footer Cover Page"/>
    <w:basedOn w:val="Normal"/>
    <w:link w:val="FooterCoverPageChar"/>
    <w:rsid w:val="00186A9E"/>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186A9E"/>
    <w:rPr>
      <w:rFonts w:ascii="Times New Roman" w:hAnsi="Times New Roman" w:cs="Times New Roman"/>
      <w:b/>
      <w:sz w:val="28"/>
      <w:lang w:val="fr-FR"/>
    </w:rPr>
  </w:style>
  <w:style w:type="character" w:customStyle="1" w:styleId="FooterCoverPageChar">
    <w:name w:val="Footer Cover Page Char"/>
    <w:link w:val="FooterCoverPage"/>
    <w:rsid w:val="00186A9E"/>
    <w:rPr>
      <w:rFonts w:ascii="Times New Roman" w:eastAsia="Calibri" w:hAnsi="Times New Roman" w:cs="Times New Roman"/>
      <w:sz w:val="24"/>
      <w:lang w:val="fr-FR" w:eastAsia="en-GB"/>
    </w:rPr>
  </w:style>
  <w:style w:type="paragraph" w:customStyle="1" w:styleId="HeaderCoverPage">
    <w:name w:val="Header Cover Page"/>
    <w:basedOn w:val="Normal"/>
    <w:link w:val="HeaderCoverPageChar"/>
    <w:rsid w:val="00186A9E"/>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186A9E"/>
    <w:rPr>
      <w:rFonts w:ascii="Times New Roman" w:eastAsia="Calibri" w:hAnsi="Times New Roman" w:cs="Times New Roman"/>
      <w:sz w:val="24"/>
      <w:lang w:val="fr-FR" w:eastAsia="en-GB"/>
    </w:rPr>
  </w:style>
  <w:style w:type="character" w:customStyle="1" w:styleId="FooterSensitivityChar">
    <w:name w:val="Footer Sensitivity Char"/>
    <w:rsid w:val="00186A9E"/>
    <w:rPr>
      <w:rFonts w:ascii="Times New Roman" w:hAnsi="Times New Roman" w:cs="Times New Roman"/>
      <w:b/>
      <w:sz w:val="32"/>
      <w:lang w:val="fr-FR"/>
    </w:rPr>
  </w:style>
  <w:style w:type="character" w:customStyle="1" w:styleId="HeaderSensitivityChar">
    <w:name w:val="Header Sensitivity Char"/>
    <w:rsid w:val="00186A9E"/>
    <w:rPr>
      <w:rFonts w:ascii="Times New Roman" w:hAnsi="Times New Roman" w:cs="Times New Roman"/>
      <w:b/>
      <w:sz w:val="32"/>
      <w:lang w:val="fr-FR"/>
    </w:rPr>
  </w:style>
  <w:style w:type="character" w:customStyle="1" w:styleId="HeaderSensitivityRightChar">
    <w:name w:val="Header Sensitivity Right Char"/>
    <w:rsid w:val="00186A9E"/>
    <w:rPr>
      <w:rFonts w:ascii="Times New Roman" w:hAnsi="Times New Roman" w:cs="Times New Roman"/>
      <w:sz w:val="28"/>
      <w:lang w:val="fr-FR"/>
    </w:rPr>
  </w:style>
  <w:style w:type="paragraph" w:customStyle="1" w:styleId="LegalNumPar">
    <w:name w:val="LegalNumPar"/>
    <w:basedOn w:val="Normal"/>
    <w:rsid w:val="00186A9E"/>
    <w:pPr>
      <w:numPr>
        <w:numId w:val="16"/>
      </w:numPr>
      <w:spacing w:line="360" w:lineRule="auto"/>
    </w:pPr>
    <w:rPr>
      <w:rFonts w:eastAsia="Times New Roman"/>
      <w:lang w:eastAsia="en-GB"/>
    </w:rPr>
  </w:style>
  <w:style w:type="paragraph" w:customStyle="1" w:styleId="LegalNumPar2">
    <w:name w:val="LegalNumPar2"/>
    <w:basedOn w:val="Normal"/>
    <w:rsid w:val="00186A9E"/>
    <w:pPr>
      <w:numPr>
        <w:ilvl w:val="1"/>
        <w:numId w:val="16"/>
      </w:numPr>
      <w:spacing w:line="360" w:lineRule="auto"/>
    </w:pPr>
    <w:rPr>
      <w:rFonts w:eastAsia="Times New Roman"/>
      <w:lang w:eastAsia="en-GB"/>
    </w:rPr>
  </w:style>
  <w:style w:type="paragraph" w:customStyle="1" w:styleId="LegalNumPar3">
    <w:name w:val="LegalNumPar3"/>
    <w:basedOn w:val="Normal"/>
    <w:rsid w:val="00186A9E"/>
    <w:pPr>
      <w:numPr>
        <w:ilvl w:val="2"/>
        <w:numId w:val="16"/>
      </w:numPr>
      <w:spacing w:line="360" w:lineRule="auto"/>
    </w:pPr>
    <w:rPr>
      <w:rFonts w:eastAsia="Times New Roman"/>
      <w:lang w:eastAsia="en-GB"/>
    </w:rPr>
  </w:style>
  <w:style w:type="paragraph" w:styleId="ListParagraph">
    <w:name w:val="List Paragraph"/>
    <w:aliases w:val="GSA List,Dot pt,F5 List Paragraph,List Paragraph Char Char Char,Indicator Text,Numbered Para 1,Bullet Points,List Paragraph2,MAIN CONTENT,Normal numbered,List Paragraph1,Issue Action POC,3,POCG Table Text,No Spacing1,Bullet list,EC,Bullet"/>
    <w:basedOn w:val="Normal"/>
    <w:link w:val="ListParagraphChar"/>
    <w:uiPriority w:val="34"/>
    <w:qFormat/>
    <w:rsid w:val="00186A9E"/>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186A9E"/>
    <w:rPr>
      <w:color w:val="605E5C"/>
      <w:shd w:val="clear" w:color="auto" w:fill="E1DFDD"/>
    </w:rPr>
  </w:style>
  <w:style w:type="character" w:styleId="Strong">
    <w:name w:val="Strong"/>
    <w:basedOn w:val="DefaultParagraphFont"/>
    <w:qFormat/>
    <w:rsid w:val="00186A9E"/>
    <w:rPr>
      <w:b/>
      <w:bCs/>
    </w:rPr>
  </w:style>
  <w:style w:type="character" w:styleId="Emphasis">
    <w:name w:val="Emphasis"/>
    <w:basedOn w:val="DefaultParagraphFont"/>
    <w:qFormat/>
    <w:rsid w:val="00186A9E"/>
    <w:rPr>
      <w:i/>
      <w:iCs/>
    </w:rPr>
  </w:style>
  <w:style w:type="character" w:customStyle="1" w:styleId="Mention1">
    <w:name w:val="Mention1"/>
    <w:basedOn w:val="DefaultParagraphFont"/>
    <w:uiPriority w:val="99"/>
    <w:unhideWhenUsed/>
    <w:rsid w:val="00186A9E"/>
    <w:rPr>
      <w:color w:val="2B579A"/>
      <w:shd w:val="clear" w:color="auto" w:fill="E1DFDD"/>
    </w:rPr>
  </w:style>
  <w:style w:type="character" w:customStyle="1" w:styleId="normaltextrun">
    <w:name w:val="normaltextrun"/>
    <w:basedOn w:val="DefaultParagraphFont"/>
    <w:rsid w:val="00186A9E"/>
  </w:style>
  <w:style w:type="character" w:customStyle="1" w:styleId="eop">
    <w:name w:val="eop"/>
    <w:basedOn w:val="DefaultParagraphFont"/>
    <w:rsid w:val="00186A9E"/>
  </w:style>
  <w:style w:type="paragraph" w:styleId="Title">
    <w:name w:val="Title"/>
    <w:basedOn w:val="Normal"/>
    <w:next w:val="Normal"/>
    <w:link w:val="TitleChar"/>
    <w:uiPriority w:val="10"/>
    <w:qFormat/>
    <w:rsid w:val="00EA62B1"/>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2B1"/>
    <w:rPr>
      <w:rFonts w:asciiTheme="majorHAnsi" w:eastAsiaTheme="majorEastAsia" w:hAnsiTheme="majorHAnsi" w:cstheme="majorBidi"/>
      <w:spacing w:val="-10"/>
      <w:kern w:val="28"/>
      <w:sz w:val="56"/>
      <w:szCs w:val="56"/>
      <w:lang w:val="fr-FR"/>
    </w:rPr>
  </w:style>
  <w:style w:type="character" w:customStyle="1" w:styleId="ListParagraphChar">
    <w:name w:val="List Paragraph Char"/>
    <w:aliases w:val="GSA List Char,Dot pt Char,F5 List Paragraph Char,List Paragraph Char Char Char Char,Indicator Text Char,Numbered Para 1 Char,Bullet Points Char,List Paragraph2 Char,MAIN CONTENT Char,Normal numbered Char,List Paragraph1 Char,3 Char"/>
    <w:basedOn w:val="DefaultParagraphFont"/>
    <w:link w:val="ListParagraph"/>
    <w:uiPriority w:val="1"/>
    <w:qFormat/>
    <w:locked/>
    <w:rsid w:val="008C7509"/>
    <w:rPr>
      <w:rFonts w:ascii="Times New Roman" w:eastAsia="Times New Roman" w:hAnsi="Times New Roman" w:cs="Times New Roman"/>
      <w:sz w:val="24"/>
      <w:lang w:val="fr-FR"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8C7509"/>
    <w:pPr>
      <w:spacing w:before="0" w:after="160" w:line="240" w:lineRule="exact"/>
    </w:pPr>
    <w:rPr>
      <w:rFonts w:asciiTheme="minorHAnsi" w:hAnsiTheme="minorHAnsi" w:cstheme="minorBidi"/>
      <w:sz w:val="22"/>
      <w:vertAlign w:val="superscript"/>
    </w:rPr>
  </w:style>
  <w:style w:type="paragraph" w:customStyle="1" w:styleId="Letter0number">
    <w:name w:val="Letter 0 (number)"/>
    <w:basedOn w:val="Normal"/>
    <w:rsid w:val="00F8562E"/>
    <w:pPr>
      <w:numPr>
        <w:numId w:val="17"/>
      </w:numPr>
      <w:spacing w:line="360" w:lineRule="auto"/>
      <w:ind w:left="0" w:firstLine="0"/>
    </w:pPr>
  </w:style>
  <w:style w:type="paragraph" w:customStyle="1" w:styleId="Text">
    <w:name w:val="Text #"/>
    <w:basedOn w:val="Normal"/>
    <w:rsid w:val="00FD0B33"/>
    <w:pPr>
      <w:spacing w:line="360" w:lineRule="auto"/>
    </w:pPr>
    <w:rPr>
      <w:rFonts w:eastAsia="Times New Roman"/>
      <w:color w:val="000000" w:themeColor="text1"/>
    </w:rPr>
  </w:style>
  <w:style w:type="paragraph" w:customStyle="1" w:styleId="Text10">
    <w:name w:val="Text1"/>
    <w:basedOn w:val="Normal"/>
    <w:rsid w:val="00333BA9"/>
    <w:pPr>
      <w:spacing w:line="276" w:lineRule="auto"/>
    </w:pPr>
    <w:rPr>
      <w:rFonts w:eastAsia="Times New Roman"/>
      <w:color w:val="000000" w:themeColor="text1"/>
    </w:rPr>
  </w:style>
  <w:style w:type="paragraph" w:customStyle="1" w:styleId="paragraph">
    <w:name w:val="paragraph"/>
    <w:basedOn w:val="Normal"/>
    <w:rsid w:val="00FB0190"/>
    <w:pPr>
      <w:spacing w:before="100" w:beforeAutospacing="1" w:after="100" w:afterAutospacing="1"/>
      <w:jc w:val="left"/>
    </w:pPr>
    <w:rPr>
      <w:rFonts w:eastAsia="Times New Roman"/>
      <w:szCs w:val="24"/>
      <w:lang w:eastAsia="en-IE"/>
    </w:rPr>
  </w:style>
  <w:style w:type="paragraph" w:customStyle="1" w:styleId="Titlearticle">
    <w:name w:val="Title article"/>
    <w:basedOn w:val="Titrearticle"/>
    <w:rsid w:val="00B100E2"/>
  </w:style>
  <w:style w:type="paragraph" w:customStyle="1" w:styleId="Chaptertitle">
    <w:name w:val="Chapter title"/>
    <w:basedOn w:val="Titlearticle"/>
    <w:rsid w:val="00232111"/>
  </w:style>
  <w:style w:type="paragraph" w:customStyle="1" w:styleId="Ponit1letter">
    <w:name w:val="Ponit 1 (letter)"/>
    <w:basedOn w:val="Normal"/>
    <w:rsid w:val="004E08A3"/>
    <w:pPr>
      <w:numPr>
        <w:numId w:val="27"/>
      </w:numPr>
      <w:spacing w:line="276" w:lineRule="auto"/>
      <w:ind w:left="993"/>
    </w:pPr>
  </w:style>
  <w:style w:type="paragraph" w:customStyle="1" w:styleId="Ponit2number">
    <w:name w:val="Ponit 2 (number)"/>
    <w:basedOn w:val="Normal"/>
    <w:rsid w:val="003F25BD"/>
    <w:pPr>
      <w:ind w:left="720"/>
    </w:pPr>
    <w:rPr>
      <w:rFonts w:eastAsia="Times New Roman"/>
    </w:rPr>
  </w:style>
  <w:style w:type="paragraph" w:customStyle="1" w:styleId="Point2n">
    <w:name w:val="Point 2 (n"/>
    <w:basedOn w:val="ListParagraph"/>
    <w:rsid w:val="00A53485"/>
    <w:pPr>
      <w:numPr>
        <w:numId w:val="177"/>
      </w:numPr>
      <w:spacing w:line="259" w:lineRule="auto"/>
      <w:contextualSpacing w:val="0"/>
      <w:jc w:val="left"/>
    </w:pPr>
  </w:style>
  <w:style w:type="paragraph" w:customStyle="1" w:styleId="NumPara1">
    <w:name w:val="NumPara 1"/>
    <w:basedOn w:val="Normal"/>
    <w:rsid w:val="00C6195D"/>
  </w:style>
  <w:style w:type="paragraph" w:customStyle="1" w:styleId="NumPar10">
    <w:name w:val="NumPar 10"/>
    <w:basedOn w:val="Normal"/>
    <w:next w:val="Text1"/>
    <w:pPr>
      <w:tabs>
        <w:tab w:val="num" w:pos="850"/>
      </w:tabs>
      <w:ind w:left="850" w:hanging="850"/>
    </w:pPr>
  </w:style>
  <w:style w:type="paragraph" w:customStyle="1" w:styleId="ChapterTitle0">
    <w:name w:val="ChapterTitle"/>
    <w:basedOn w:val="Normal"/>
    <w:next w:val="Normal"/>
    <w:pPr>
      <w:keepNext/>
      <w:spacing w:after="360"/>
      <w:jc w:val="center"/>
    </w:pPr>
    <w:rPr>
      <w:b/>
      <w:sz w:val="32"/>
    </w:rPr>
  </w:style>
  <w:style w:type="paragraph" w:customStyle="1" w:styleId="NumPar100">
    <w:name w:val="NumPar 100"/>
    <w:basedOn w:val="Normal"/>
    <w:next w:val="Text1"/>
    <w:rsid w:val="001C50F9"/>
    <w:pPr>
      <w:tabs>
        <w:tab w:val="num" w:pos="850"/>
      </w:tabs>
      <w:ind w:left="850" w:hanging="850"/>
    </w:pPr>
  </w:style>
  <w:style w:type="paragraph" w:customStyle="1" w:styleId="NumPar1000">
    <w:name w:val="NumPar 1000"/>
    <w:basedOn w:val="Normal"/>
    <w:next w:val="Text1"/>
    <w:rsid w:val="00C16887"/>
    <w:pPr>
      <w:tabs>
        <w:tab w:val="num" w:pos="850"/>
      </w:tabs>
      <w:ind w:left="850" w:hanging="850"/>
    </w:pPr>
  </w:style>
  <w:style w:type="paragraph" w:customStyle="1" w:styleId="Numpar11">
    <w:name w:val="Num par 1"/>
    <w:basedOn w:val="NumPar10000"/>
    <w:rsid w:val="005F3D4A"/>
  </w:style>
  <w:style w:type="paragraph" w:customStyle="1" w:styleId="NumPar10000">
    <w:name w:val="NumPar 10000"/>
    <w:basedOn w:val="Normal"/>
    <w:next w:val="Text1"/>
    <w:rsid w:val="00C16887"/>
    <w:pPr>
      <w:tabs>
        <w:tab w:val="num" w:pos="850"/>
      </w:tabs>
      <w:ind w:left="850" w:hanging="850"/>
    </w:pPr>
  </w:style>
  <w:style w:type="paragraph" w:customStyle="1" w:styleId="Articletitle">
    <w:name w:val="Articletitle"/>
    <w:basedOn w:val="NumPar100000"/>
    <w:rsid w:val="004E3138"/>
    <w:pPr>
      <w:jc w:val="left"/>
    </w:pPr>
  </w:style>
  <w:style w:type="paragraph" w:customStyle="1" w:styleId="NumPar10001">
    <w:name w:val="NumPar1000"/>
    <w:basedOn w:val="Normal"/>
    <w:rsid w:val="00C10D30"/>
    <w:pPr>
      <w:jc w:val="left"/>
    </w:pPr>
  </w:style>
  <w:style w:type="paragraph" w:customStyle="1" w:styleId="NumPar100000">
    <w:name w:val="NumPar 100000"/>
    <w:basedOn w:val="Normal"/>
    <w:next w:val="Text1"/>
    <w:rsid w:val="002C13C4"/>
    <w:pPr>
      <w:tabs>
        <w:tab w:val="num" w:pos="850"/>
      </w:tabs>
      <w:ind w:left="850" w:hanging="850"/>
    </w:pPr>
  </w:style>
  <w:style w:type="paragraph" w:customStyle="1" w:styleId="NumPar1000000">
    <w:name w:val="NumPar 1000000"/>
    <w:basedOn w:val="Normal"/>
    <w:next w:val="Text1"/>
    <w:rsid w:val="002C5A28"/>
    <w:pPr>
      <w:tabs>
        <w:tab w:val="num" w:pos="850"/>
      </w:tabs>
      <w:ind w:left="850" w:hanging="850"/>
    </w:pPr>
  </w:style>
  <w:style w:type="paragraph" w:customStyle="1" w:styleId="NumPar10000000">
    <w:name w:val="NumPar 10000000"/>
    <w:basedOn w:val="Normal"/>
    <w:next w:val="Text1"/>
    <w:rsid w:val="00791F90"/>
    <w:pPr>
      <w:tabs>
        <w:tab w:val="num" w:pos="850"/>
      </w:tabs>
      <w:ind w:left="850" w:hanging="850"/>
    </w:pPr>
  </w:style>
  <w:style w:type="paragraph" w:customStyle="1" w:styleId="Numpar100000000">
    <w:name w:val="Num par 100000000"/>
    <w:basedOn w:val="Numpar11"/>
    <w:rsid w:val="00D24C63"/>
  </w:style>
  <w:style w:type="paragraph" w:customStyle="1" w:styleId="Texte">
    <w:name w:val="Texte"/>
    <w:basedOn w:val="Point1letter"/>
    <w:rsid w:val="005A40EE"/>
    <w:pPr>
      <w:numPr>
        <w:ilvl w:val="0"/>
        <w:numId w:val="0"/>
      </w:numPr>
      <w:ind w:left="850"/>
    </w:pPr>
    <w:rPr>
      <w:rFonts w:eastAsiaTheme="majorEastAsia"/>
      <w:sz w:val="22"/>
    </w:rPr>
  </w:style>
  <w:style w:type="paragraph" w:customStyle="1" w:styleId="Numpar1000000000">
    <w:name w:val="Numpar 100000000"/>
    <w:basedOn w:val="Numpar100000000"/>
    <w:rsid w:val="00BB49F4"/>
  </w:style>
  <w:style w:type="paragraph" w:customStyle="1" w:styleId="NumPar10000001">
    <w:name w:val="NumPar1000000"/>
    <w:basedOn w:val="Text1"/>
    <w:rsid w:val="00270035"/>
  </w:style>
  <w:style w:type="paragraph" w:customStyle="1" w:styleId="NumPar1000000001">
    <w:name w:val="NumPar100000000"/>
    <w:basedOn w:val="Text1"/>
    <w:rsid w:val="0041797B"/>
  </w:style>
  <w:style w:type="paragraph" w:customStyle="1" w:styleId="NumPar1000000002">
    <w:name w:val="NumPar  100000000"/>
    <w:basedOn w:val="NumPar1000000001"/>
    <w:rsid w:val="0041797B"/>
  </w:style>
  <w:style w:type="character" w:customStyle="1" w:styleId="font311">
    <w:name w:val="font311"/>
    <w:basedOn w:val="DefaultParagraphFont"/>
    <w:rsid w:val="00B31E07"/>
    <w:rPr>
      <w:rFonts w:ascii="Times New Roman" w:hAnsi="Times New Roman" w:cs="Times New Roman" w:hint="default"/>
      <w:b/>
      <w:bCs/>
      <w:i w:val="0"/>
      <w:iCs w:val="0"/>
      <w:strike w:val="0"/>
      <w:dstrike w:val="0"/>
      <w:color w:val="000000"/>
      <w:sz w:val="16"/>
      <w:szCs w:val="16"/>
      <w:u w:val="none"/>
      <w:effect w:val="none"/>
    </w:rPr>
  </w:style>
  <w:style w:type="character" w:customStyle="1" w:styleId="font351">
    <w:name w:val="font351"/>
    <w:basedOn w:val="DefaultParagraphFont"/>
    <w:rsid w:val="00B31E07"/>
    <w:rPr>
      <w:rFonts w:ascii="Arial Narrow" w:hAnsi="Arial Narrow" w:hint="default"/>
      <w:b w:val="0"/>
      <w:bCs w:val="0"/>
      <w:i w:val="0"/>
      <w:iCs w:val="0"/>
      <w:strike w:val="0"/>
      <w:dstrike w:val="0"/>
      <w:color w:val="000000"/>
      <w:sz w:val="20"/>
      <w:szCs w:val="20"/>
      <w:u w:val="none"/>
      <w:effect w:val="none"/>
    </w:rPr>
  </w:style>
  <w:style w:type="character" w:customStyle="1" w:styleId="font81">
    <w:name w:val="font81"/>
    <w:basedOn w:val="DefaultParagraphFont"/>
    <w:rsid w:val="00B31E07"/>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font361">
    <w:name w:val="font361"/>
    <w:basedOn w:val="DefaultParagraphFont"/>
    <w:rsid w:val="00B31E07"/>
    <w:rPr>
      <w:rFonts w:ascii="Calibri" w:hAnsi="Calibri" w:cs="Calibri" w:hint="default"/>
      <w:b/>
      <w:bCs/>
      <w:i w:val="0"/>
      <w:iCs w:val="0"/>
      <w:strike w:val="0"/>
      <w:dstrike w:val="0"/>
      <w:color w:val="000000"/>
      <w:sz w:val="16"/>
      <w:szCs w:val="16"/>
      <w:u w:val="none"/>
      <w:effect w:val="none"/>
    </w:rPr>
  </w:style>
  <w:style w:type="character" w:customStyle="1" w:styleId="scxw183855405">
    <w:name w:val="scxw183855405"/>
    <w:basedOn w:val="DefaultParagraphFont"/>
    <w:rsid w:val="00080E00"/>
  </w:style>
  <w:style w:type="character" w:customStyle="1" w:styleId="font231">
    <w:name w:val="font231"/>
    <w:basedOn w:val="DefaultParagraphFont"/>
    <w:rsid w:val="004A489F"/>
    <w:rPr>
      <w:rFonts w:ascii="Times New Roman" w:hAnsi="Times New Roman" w:cs="Times New Roman" w:hint="default"/>
      <w:b/>
      <w:bCs/>
      <w:i w:val="0"/>
      <w:iCs w:val="0"/>
      <w:strike w:val="0"/>
      <w:dstrike w:val="0"/>
      <w:color w:val="000000"/>
      <w:sz w:val="22"/>
      <w:szCs w:val="22"/>
      <w:u w:val="none"/>
      <w:effect w:val="none"/>
    </w:rPr>
  </w:style>
  <w:style w:type="paragraph" w:customStyle="1" w:styleId="Pa">
    <w:name w:val="Pa"/>
    <w:basedOn w:val="Text1"/>
    <w:rsid w:val="007A2212"/>
    <w:pPr>
      <w:ind w:left="0"/>
    </w:pPr>
  </w:style>
  <w:style w:type="paragraph" w:customStyle="1" w:styleId="ChapterTitle1">
    <w:name w:val="ChapterTitle"/>
    <w:basedOn w:val="Normal"/>
    <w:next w:val="Normal"/>
    <w:pPr>
      <w:keepNext/>
      <w:spacing w:after="360"/>
      <w:jc w:val="center"/>
    </w:pPr>
    <w:rPr>
      <w:b/>
      <w:sz w:val="32"/>
    </w:rPr>
  </w:style>
  <w:style w:type="paragraph" w:customStyle="1" w:styleId="ChapterTitle2">
    <w:name w:val="ChapterTitle"/>
    <w:basedOn w:val="Normal"/>
    <w:next w:val="Normal"/>
    <w:pPr>
      <w:keepNext/>
      <w:spacing w:after="360"/>
      <w:jc w:val="center"/>
    </w:pPr>
    <w:rPr>
      <w:b/>
      <w:sz w:val="32"/>
    </w:rPr>
  </w:style>
  <w:style w:type="paragraph" w:customStyle="1" w:styleId="ChapterTitle3">
    <w:name w:val="ChapterTitle"/>
    <w:basedOn w:val="Normal"/>
    <w:next w:val="Normal"/>
    <w:pPr>
      <w:keepNext/>
      <w:spacing w:after="360"/>
      <w:jc w:val="center"/>
    </w:pPr>
    <w:rPr>
      <w:b/>
      <w:sz w:val="32"/>
    </w:rPr>
  </w:style>
  <w:style w:type="paragraph" w:customStyle="1" w:styleId="ChapterTitle4">
    <w:name w:val="ChapterTitle"/>
    <w:basedOn w:val="Normal"/>
    <w:next w:val="Normal"/>
    <w:pPr>
      <w:keepNext/>
      <w:spacing w:after="360"/>
      <w:jc w:val="center"/>
    </w:pPr>
    <w:rPr>
      <w:b/>
      <w:sz w:val="32"/>
    </w:rPr>
  </w:style>
  <w:style w:type="paragraph" w:customStyle="1" w:styleId="ChapterTitle5">
    <w:name w:val="ChapterTitle"/>
    <w:basedOn w:val="Normal"/>
    <w:next w:val="Normal"/>
    <w:pPr>
      <w:keepNext/>
      <w:spacing w:after="360"/>
      <w:jc w:val="center"/>
    </w:pPr>
    <w:rPr>
      <w:b/>
      <w:sz w:val="32"/>
    </w:rPr>
  </w:style>
  <w:style w:type="paragraph" w:customStyle="1" w:styleId="ChapterTitle6">
    <w:name w:val="ChapterTitle"/>
    <w:basedOn w:val="Normal"/>
    <w:next w:val="Normal"/>
    <w:pPr>
      <w:keepNext/>
      <w:spacing w:after="360"/>
      <w:jc w:val="center"/>
    </w:pPr>
    <w:rPr>
      <w:b/>
      <w:sz w:val="32"/>
    </w:rPr>
  </w:style>
  <w:style w:type="character" w:customStyle="1" w:styleId="UnresolvedMention">
    <w:name w:val="Unresolved Mention"/>
    <w:basedOn w:val="DefaultParagraphFont"/>
    <w:uiPriority w:val="99"/>
    <w:semiHidden/>
    <w:unhideWhenUsed/>
    <w:rsid w:val="00ED20C9"/>
    <w:rPr>
      <w:color w:val="605E5C"/>
      <w:shd w:val="clear" w:color="auto" w:fill="E1DFDD"/>
    </w:rPr>
  </w:style>
  <w:style w:type="paragraph" w:customStyle="1" w:styleId="ChapterTitle7">
    <w:name w:val="ChapterTitle"/>
    <w:basedOn w:val="Normal"/>
    <w:next w:val="Normal"/>
    <w:pPr>
      <w:keepNext/>
      <w:spacing w:after="360"/>
      <w:jc w:val="center"/>
    </w:pPr>
    <w:rPr>
      <w:b/>
      <w:sz w:val="32"/>
    </w:rPr>
  </w:style>
  <w:style w:type="paragraph" w:customStyle="1" w:styleId="Point1">
    <w:name w:val="Point 1"/>
    <w:basedOn w:val="Normal"/>
    <w:pPr>
      <w:ind w:left="1417" w:hanging="567"/>
    </w:pPr>
  </w:style>
  <w:style w:type="paragraph" w:customStyle="1" w:styleId="ChapterTitle8">
    <w:name w:val="ChapterTitle"/>
    <w:basedOn w:val="Normal"/>
    <w:next w:val="Normal"/>
    <w:pPr>
      <w:keepNext/>
      <w:spacing w:after="360"/>
      <w:jc w:val="center"/>
    </w:pPr>
    <w:rPr>
      <w:b/>
      <w:sz w:val="32"/>
    </w:rPr>
  </w:style>
  <w:style w:type="character" w:customStyle="1" w:styleId="HeaderChar">
    <w:name w:val="Header Char"/>
    <w:basedOn w:val="DefaultParagraphFont"/>
    <w:link w:val="Header"/>
    <w:uiPriority w:val="99"/>
    <w:rsid w:val="00972E68"/>
    <w:rPr>
      <w:rFonts w:ascii="Times New Roman" w:hAnsi="Times New Roman" w:cs="Times New Roman"/>
      <w:sz w:val="24"/>
      <w:lang w:val="fr-FR"/>
    </w:rPr>
  </w:style>
  <w:style w:type="character" w:customStyle="1" w:styleId="FooterChar">
    <w:name w:val="Footer Char"/>
    <w:basedOn w:val="DefaultParagraphFont"/>
    <w:link w:val="Footer"/>
    <w:uiPriority w:val="99"/>
    <w:rsid w:val="00972E68"/>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r-F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r-F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r-F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972E6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72E68"/>
    <w:pPr>
      <w:spacing w:before="0"/>
      <w:jc w:val="right"/>
    </w:pPr>
    <w:rPr>
      <w:sz w:val="28"/>
    </w:rPr>
  </w:style>
  <w:style w:type="paragraph" w:customStyle="1" w:styleId="FooterSensitivity">
    <w:name w:val="Footer Sensitivity"/>
    <w:basedOn w:val="Normal"/>
    <w:rsid w:val="00972E6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0">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08"/>
      </w:numPr>
    </w:pPr>
  </w:style>
  <w:style w:type="paragraph" w:customStyle="1" w:styleId="Tiret1">
    <w:name w:val="Tiret 1"/>
    <w:basedOn w:val="Point10"/>
    <w:pPr>
      <w:numPr>
        <w:numId w:val="209"/>
      </w:numPr>
    </w:pPr>
  </w:style>
  <w:style w:type="paragraph" w:customStyle="1" w:styleId="Tiret2">
    <w:name w:val="Tiret 2"/>
    <w:basedOn w:val="Point2"/>
    <w:pPr>
      <w:numPr>
        <w:numId w:val="210"/>
      </w:numPr>
    </w:pPr>
  </w:style>
  <w:style w:type="paragraph" w:customStyle="1" w:styleId="Tiret3">
    <w:name w:val="Tiret 3"/>
    <w:basedOn w:val="Point3"/>
    <w:pPr>
      <w:numPr>
        <w:numId w:val="211"/>
      </w:numPr>
    </w:pPr>
  </w:style>
  <w:style w:type="paragraph" w:customStyle="1" w:styleId="Tiret4">
    <w:name w:val="Tiret 4"/>
    <w:basedOn w:val="Point4"/>
    <w:pPr>
      <w:numPr>
        <w:numId w:val="212"/>
      </w:numPr>
    </w:pPr>
  </w:style>
  <w:style w:type="paragraph" w:customStyle="1" w:styleId="Tiret5">
    <w:name w:val="Tiret 5"/>
    <w:basedOn w:val="Point5"/>
    <w:pPr>
      <w:numPr>
        <w:numId w:val="2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4"/>
      </w:numPr>
    </w:pPr>
  </w:style>
  <w:style w:type="paragraph" w:customStyle="1" w:styleId="NumPar2">
    <w:name w:val="NumPar 2"/>
    <w:basedOn w:val="Normal"/>
    <w:next w:val="Text1"/>
    <w:pPr>
      <w:numPr>
        <w:ilvl w:val="1"/>
        <w:numId w:val="214"/>
      </w:numPr>
    </w:pPr>
  </w:style>
  <w:style w:type="paragraph" w:customStyle="1" w:styleId="NumPar3">
    <w:name w:val="NumPar 3"/>
    <w:basedOn w:val="Normal"/>
    <w:next w:val="Text1"/>
    <w:pPr>
      <w:numPr>
        <w:ilvl w:val="2"/>
        <w:numId w:val="214"/>
      </w:numPr>
    </w:pPr>
  </w:style>
  <w:style w:type="paragraph" w:customStyle="1" w:styleId="NumPar4">
    <w:name w:val="NumPar 4"/>
    <w:basedOn w:val="Normal"/>
    <w:next w:val="Text1"/>
    <w:pPr>
      <w:numPr>
        <w:ilvl w:val="3"/>
        <w:numId w:val="214"/>
      </w:numPr>
    </w:pPr>
  </w:style>
  <w:style w:type="paragraph" w:customStyle="1" w:styleId="NumPar5">
    <w:name w:val="NumPar 5"/>
    <w:basedOn w:val="Normal"/>
    <w:next w:val="Text2"/>
    <w:pPr>
      <w:numPr>
        <w:ilvl w:val="4"/>
        <w:numId w:val="214"/>
      </w:numPr>
    </w:pPr>
  </w:style>
  <w:style w:type="paragraph" w:customStyle="1" w:styleId="NumPar6">
    <w:name w:val="NumPar 6"/>
    <w:basedOn w:val="Normal"/>
    <w:next w:val="Text2"/>
    <w:pPr>
      <w:numPr>
        <w:ilvl w:val="5"/>
        <w:numId w:val="214"/>
      </w:numPr>
    </w:pPr>
  </w:style>
  <w:style w:type="paragraph" w:customStyle="1" w:styleId="NumPar7">
    <w:name w:val="NumPar 7"/>
    <w:basedOn w:val="Normal"/>
    <w:next w:val="Text2"/>
    <w:pPr>
      <w:numPr>
        <w:ilvl w:val="6"/>
        <w:numId w:val="2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9">
    <w:name w:val="ChapterTitle"/>
    <w:basedOn w:val="Normal"/>
    <w:next w:val="Normal"/>
    <w:pPr>
      <w:keepNext/>
      <w:spacing w:after="360"/>
      <w:jc w:val="center"/>
    </w:pPr>
    <w:rPr>
      <w:b/>
      <w:sz w:val="32"/>
    </w:rPr>
  </w:style>
  <w:style w:type="paragraph" w:customStyle="1" w:styleId="PartTitle">
    <w:name w:val="PartTitle"/>
    <w:basedOn w:val="Normal"/>
    <w:next w:val="ChapterTitle9"/>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6"/>
      </w:numPr>
    </w:pPr>
  </w:style>
  <w:style w:type="paragraph" w:customStyle="1" w:styleId="Point1number">
    <w:name w:val="Point 1 (number)"/>
    <w:basedOn w:val="Normal"/>
    <w:pPr>
      <w:numPr>
        <w:ilvl w:val="2"/>
        <w:numId w:val="216"/>
      </w:numPr>
    </w:pPr>
  </w:style>
  <w:style w:type="paragraph" w:customStyle="1" w:styleId="Point2number">
    <w:name w:val="Point 2 (number)"/>
    <w:basedOn w:val="Normal"/>
    <w:pPr>
      <w:numPr>
        <w:ilvl w:val="4"/>
        <w:numId w:val="216"/>
      </w:numPr>
    </w:pPr>
  </w:style>
  <w:style w:type="paragraph" w:customStyle="1" w:styleId="Point3number">
    <w:name w:val="Point 3 (number)"/>
    <w:basedOn w:val="Normal"/>
    <w:pPr>
      <w:numPr>
        <w:ilvl w:val="6"/>
        <w:numId w:val="216"/>
      </w:numPr>
    </w:pPr>
  </w:style>
  <w:style w:type="paragraph" w:customStyle="1" w:styleId="Point0letter">
    <w:name w:val="Point 0 (letter)"/>
    <w:basedOn w:val="Normal"/>
    <w:pPr>
      <w:numPr>
        <w:ilvl w:val="1"/>
        <w:numId w:val="216"/>
      </w:numPr>
    </w:pPr>
  </w:style>
  <w:style w:type="paragraph" w:customStyle="1" w:styleId="Point1letter">
    <w:name w:val="Point 1 (letter)"/>
    <w:basedOn w:val="Normal"/>
    <w:pPr>
      <w:numPr>
        <w:ilvl w:val="3"/>
        <w:numId w:val="216"/>
      </w:numPr>
    </w:pPr>
  </w:style>
  <w:style w:type="paragraph" w:customStyle="1" w:styleId="Point2letter">
    <w:name w:val="Point 2 (letter)"/>
    <w:basedOn w:val="Normal"/>
    <w:pPr>
      <w:numPr>
        <w:ilvl w:val="5"/>
        <w:numId w:val="216"/>
      </w:numPr>
    </w:pPr>
  </w:style>
  <w:style w:type="paragraph" w:customStyle="1" w:styleId="Point3letter">
    <w:name w:val="Point 3 (letter)"/>
    <w:basedOn w:val="Normal"/>
    <w:pPr>
      <w:numPr>
        <w:ilvl w:val="7"/>
        <w:numId w:val="216"/>
      </w:numPr>
    </w:pPr>
  </w:style>
  <w:style w:type="paragraph" w:customStyle="1" w:styleId="Point4letter">
    <w:name w:val="Point 4 (letter)"/>
    <w:basedOn w:val="Normal"/>
    <w:pPr>
      <w:numPr>
        <w:ilvl w:val="8"/>
        <w:numId w:val="216"/>
      </w:numPr>
    </w:pPr>
  </w:style>
  <w:style w:type="paragraph" w:customStyle="1" w:styleId="Bullet0">
    <w:name w:val="Bullet 0"/>
    <w:basedOn w:val="Normal"/>
    <w:pPr>
      <w:numPr>
        <w:numId w:val="217"/>
      </w:numPr>
    </w:pPr>
  </w:style>
  <w:style w:type="paragraph" w:customStyle="1" w:styleId="Bullet1">
    <w:name w:val="Bullet 1"/>
    <w:basedOn w:val="Normal"/>
    <w:pPr>
      <w:numPr>
        <w:numId w:val="218"/>
      </w:numPr>
    </w:pPr>
  </w:style>
  <w:style w:type="paragraph" w:customStyle="1" w:styleId="Bullet2">
    <w:name w:val="Bullet 2"/>
    <w:basedOn w:val="Normal"/>
    <w:pPr>
      <w:numPr>
        <w:numId w:val="219"/>
      </w:numPr>
    </w:pPr>
  </w:style>
  <w:style w:type="paragraph" w:customStyle="1" w:styleId="Bullet3">
    <w:name w:val="Bullet 3"/>
    <w:basedOn w:val="Normal"/>
    <w:pPr>
      <w:numPr>
        <w:numId w:val="220"/>
      </w:numPr>
    </w:pPr>
  </w:style>
  <w:style w:type="paragraph" w:customStyle="1" w:styleId="Bullet4">
    <w:name w:val="Bullet 4"/>
    <w:basedOn w:val="Normal"/>
    <w:pPr>
      <w:numPr>
        <w:numId w:val="2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972E68"/>
    <w:pPr>
      <w:tabs>
        <w:tab w:val="center" w:pos="4535"/>
        <w:tab w:val="right" w:pos="9071"/>
      </w:tabs>
      <w:spacing w:before="0"/>
    </w:pPr>
  </w:style>
  <w:style w:type="paragraph" w:customStyle="1" w:styleId="HeaderLandscape">
    <w:name w:val="HeaderLandscape"/>
    <w:basedOn w:val="Normal"/>
    <w:rsid w:val="00972E68"/>
    <w:pPr>
      <w:tabs>
        <w:tab w:val="center" w:pos="7285"/>
        <w:tab w:val="right" w:pos="14003"/>
      </w:tabs>
      <w:spacing w:before="0"/>
    </w:pPr>
  </w:style>
  <w:style w:type="paragraph" w:styleId="Footer">
    <w:name w:val="footer"/>
    <w:basedOn w:val="Normal"/>
    <w:link w:val="FooterChar"/>
    <w:uiPriority w:val="99"/>
    <w:unhideWhenUsed/>
    <w:rsid w:val="00972E68"/>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972E68"/>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033">
      <w:bodyDiv w:val="1"/>
      <w:marLeft w:val="0"/>
      <w:marRight w:val="0"/>
      <w:marTop w:val="0"/>
      <w:marBottom w:val="0"/>
      <w:divBdr>
        <w:top w:val="none" w:sz="0" w:space="0" w:color="auto"/>
        <w:left w:val="none" w:sz="0" w:space="0" w:color="auto"/>
        <w:bottom w:val="none" w:sz="0" w:space="0" w:color="auto"/>
        <w:right w:val="none" w:sz="0" w:space="0" w:color="auto"/>
      </w:divBdr>
    </w:div>
    <w:div w:id="79954144">
      <w:bodyDiv w:val="1"/>
      <w:marLeft w:val="0"/>
      <w:marRight w:val="0"/>
      <w:marTop w:val="0"/>
      <w:marBottom w:val="0"/>
      <w:divBdr>
        <w:top w:val="none" w:sz="0" w:space="0" w:color="auto"/>
        <w:left w:val="none" w:sz="0" w:space="0" w:color="auto"/>
        <w:bottom w:val="none" w:sz="0" w:space="0" w:color="auto"/>
        <w:right w:val="none" w:sz="0" w:space="0" w:color="auto"/>
      </w:divBdr>
      <w:divsChild>
        <w:div w:id="536432997">
          <w:marLeft w:val="0"/>
          <w:marRight w:val="0"/>
          <w:marTop w:val="0"/>
          <w:marBottom w:val="0"/>
          <w:divBdr>
            <w:top w:val="none" w:sz="0" w:space="0" w:color="auto"/>
            <w:left w:val="none" w:sz="0" w:space="0" w:color="auto"/>
            <w:bottom w:val="none" w:sz="0" w:space="0" w:color="auto"/>
            <w:right w:val="none" w:sz="0" w:space="0" w:color="auto"/>
          </w:divBdr>
        </w:div>
        <w:div w:id="887180187">
          <w:marLeft w:val="0"/>
          <w:marRight w:val="0"/>
          <w:marTop w:val="0"/>
          <w:marBottom w:val="0"/>
          <w:divBdr>
            <w:top w:val="none" w:sz="0" w:space="0" w:color="auto"/>
            <w:left w:val="none" w:sz="0" w:space="0" w:color="auto"/>
            <w:bottom w:val="none" w:sz="0" w:space="0" w:color="auto"/>
            <w:right w:val="none" w:sz="0" w:space="0" w:color="auto"/>
          </w:divBdr>
        </w:div>
      </w:divsChild>
    </w:div>
    <w:div w:id="107555719">
      <w:bodyDiv w:val="1"/>
      <w:marLeft w:val="0"/>
      <w:marRight w:val="0"/>
      <w:marTop w:val="0"/>
      <w:marBottom w:val="0"/>
      <w:divBdr>
        <w:top w:val="none" w:sz="0" w:space="0" w:color="auto"/>
        <w:left w:val="none" w:sz="0" w:space="0" w:color="auto"/>
        <w:bottom w:val="none" w:sz="0" w:space="0" w:color="auto"/>
        <w:right w:val="none" w:sz="0" w:space="0" w:color="auto"/>
      </w:divBdr>
    </w:div>
    <w:div w:id="110172442">
      <w:bodyDiv w:val="1"/>
      <w:marLeft w:val="0"/>
      <w:marRight w:val="0"/>
      <w:marTop w:val="0"/>
      <w:marBottom w:val="0"/>
      <w:divBdr>
        <w:top w:val="none" w:sz="0" w:space="0" w:color="auto"/>
        <w:left w:val="none" w:sz="0" w:space="0" w:color="auto"/>
        <w:bottom w:val="none" w:sz="0" w:space="0" w:color="auto"/>
        <w:right w:val="none" w:sz="0" w:space="0" w:color="auto"/>
      </w:divBdr>
    </w:div>
    <w:div w:id="163512968">
      <w:bodyDiv w:val="1"/>
      <w:marLeft w:val="0"/>
      <w:marRight w:val="0"/>
      <w:marTop w:val="0"/>
      <w:marBottom w:val="0"/>
      <w:divBdr>
        <w:top w:val="none" w:sz="0" w:space="0" w:color="auto"/>
        <w:left w:val="none" w:sz="0" w:space="0" w:color="auto"/>
        <w:bottom w:val="none" w:sz="0" w:space="0" w:color="auto"/>
        <w:right w:val="none" w:sz="0" w:space="0" w:color="auto"/>
      </w:divBdr>
    </w:div>
    <w:div w:id="167672101">
      <w:bodyDiv w:val="1"/>
      <w:marLeft w:val="0"/>
      <w:marRight w:val="0"/>
      <w:marTop w:val="0"/>
      <w:marBottom w:val="0"/>
      <w:divBdr>
        <w:top w:val="none" w:sz="0" w:space="0" w:color="auto"/>
        <w:left w:val="none" w:sz="0" w:space="0" w:color="auto"/>
        <w:bottom w:val="none" w:sz="0" w:space="0" w:color="auto"/>
        <w:right w:val="none" w:sz="0" w:space="0" w:color="auto"/>
      </w:divBdr>
    </w:div>
    <w:div w:id="197280196">
      <w:bodyDiv w:val="1"/>
      <w:marLeft w:val="0"/>
      <w:marRight w:val="0"/>
      <w:marTop w:val="0"/>
      <w:marBottom w:val="0"/>
      <w:divBdr>
        <w:top w:val="none" w:sz="0" w:space="0" w:color="auto"/>
        <w:left w:val="none" w:sz="0" w:space="0" w:color="auto"/>
        <w:bottom w:val="none" w:sz="0" w:space="0" w:color="auto"/>
        <w:right w:val="none" w:sz="0" w:space="0" w:color="auto"/>
      </w:divBdr>
    </w:div>
    <w:div w:id="243105551">
      <w:bodyDiv w:val="1"/>
      <w:marLeft w:val="0"/>
      <w:marRight w:val="0"/>
      <w:marTop w:val="0"/>
      <w:marBottom w:val="0"/>
      <w:divBdr>
        <w:top w:val="none" w:sz="0" w:space="0" w:color="auto"/>
        <w:left w:val="none" w:sz="0" w:space="0" w:color="auto"/>
        <w:bottom w:val="none" w:sz="0" w:space="0" w:color="auto"/>
        <w:right w:val="none" w:sz="0" w:space="0" w:color="auto"/>
      </w:divBdr>
    </w:div>
    <w:div w:id="256794051">
      <w:bodyDiv w:val="1"/>
      <w:marLeft w:val="0"/>
      <w:marRight w:val="0"/>
      <w:marTop w:val="0"/>
      <w:marBottom w:val="0"/>
      <w:divBdr>
        <w:top w:val="none" w:sz="0" w:space="0" w:color="auto"/>
        <w:left w:val="none" w:sz="0" w:space="0" w:color="auto"/>
        <w:bottom w:val="none" w:sz="0" w:space="0" w:color="auto"/>
        <w:right w:val="none" w:sz="0" w:space="0" w:color="auto"/>
      </w:divBdr>
    </w:div>
    <w:div w:id="262616586">
      <w:bodyDiv w:val="1"/>
      <w:marLeft w:val="0"/>
      <w:marRight w:val="0"/>
      <w:marTop w:val="0"/>
      <w:marBottom w:val="0"/>
      <w:divBdr>
        <w:top w:val="none" w:sz="0" w:space="0" w:color="auto"/>
        <w:left w:val="none" w:sz="0" w:space="0" w:color="auto"/>
        <w:bottom w:val="none" w:sz="0" w:space="0" w:color="auto"/>
        <w:right w:val="none" w:sz="0" w:space="0" w:color="auto"/>
      </w:divBdr>
    </w:div>
    <w:div w:id="291643035">
      <w:bodyDiv w:val="1"/>
      <w:marLeft w:val="0"/>
      <w:marRight w:val="0"/>
      <w:marTop w:val="0"/>
      <w:marBottom w:val="0"/>
      <w:divBdr>
        <w:top w:val="none" w:sz="0" w:space="0" w:color="auto"/>
        <w:left w:val="none" w:sz="0" w:space="0" w:color="auto"/>
        <w:bottom w:val="none" w:sz="0" w:space="0" w:color="auto"/>
        <w:right w:val="none" w:sz="0" w:space="0" w:color="auto"/>
      </w:divBdr>
    </w:div>
    <w:div w:id="299504866">
      <w:bodyDiv w:val="1"/>
      <w:marLeft w:val="0"/>
      <w:marRight w:val="0"/>
      <w:marTop w:val="0"/>
      <w:marBottom w:val="0"/>
      <w:divBdr>
        <w:top w:val="none" w:sz="0" w:space="0" w:color="auto"/>
        <w:left w:val="none" w:sz="0" w:space="0" w:color="auto"/>
        <w:bottom w:val="none" w:sz="0" w:space="0" w:color="auto"/>
        <w:right w:val="none" w:sz="0" w:space="0" w:color="auto"/>
      </w:divBdr>
    </w:div>
    <w:div w:id="317810598">
      <w:bodyDiv w:val="1"/>
      <w:marLeft w:val="0"/>
      <w:marRight w:val="0"/>
      <w:marTop w:val="0"/>
      <w:marBottom w:val="0"/>
      <w:divBdr>
        <w:top w:val="none" w:sz="0" w:space="0" w:color="auto"/>
        <w:left w:val="none" w:sz="0" w:space="0" w:color="auto"/>
        <w:bottom w:val="none" w:sz="0" w:space="0" w:color="auto"/>
        <w:right w:val="none" w:sz="0" w:space="0" w:color="auto"/>
      </w:divBdr>
    </w:div>
    <w:div w:id="357269421">
      <w:bodyDiv w:val="1"/>
      <w:marLeft w:val="0"/>
      <w:marRight w:val="0"/>
      <w:marTop w:val="0"/>
      <w:marBottom w:val="0"/>
      <w:divBdr>
        <w:top w:val="none" w:sz="0" w:space="0" w:color="auto"/>
        <w:left w:val="none" w:sz="0" w:space="0" w:color="auto"/>
        <w:bottom w:val="none" w:sz="0" w:space="0" w:color="auto"/>
        <w:right w:val="none" w:sz="0" w:space="0" w:color="auto"/>
      </w:divBdr>
      <w:divsChild>
        <w:div w:id="857474098">
          <w:marLeft w:val="0"/>
          <w:marRight w:val="0"/>
          <w:marTop w:val="0"/>
          <w:marBottom w:val="0"/>
          <w:divBdr>
            <w:top w:val="none" w:sz="0" w:space="0" w:color="auto"/>
            <w:left w:val="none" w:sz="0" w:space="0" w:color="auto"/>
            <w:bottom w:val="none" w:sz="0" w:space="0" w:color="auto"/>
            <w:right w:val="none" w:sz="0" w:space="0" w:color="auto"/>
          </w:divBdr>
        </w:div>
        <w:div w:id="2075421891">
          <w:marLeft w:val="0"/>
          <w:marRight w:val="0"/>
          <w:marTop w:val="0"/>
          <w:marBottom w:val="0"/>
          <w:divBdr>
            <w:top w:val="none" w:sz="0" w:space="0" w:color="auto"/>
            <w:left w:val="none" w:sz="0" w:space="0" w:color="auto"/>
            <w:bottom w:val="none" w:sz="0" w:space="0" w:color="auto"/>
            <w:right w:val="none" w:sz="0" w:space="0" w:color="auto"/>
          </w:divBdr>
        </w:div>
      </w:divsChild>
    </w:div>
    <w:div w:id="393092359">
      <w:bodyDiv w:val="1"/>
      <w:marLeft w:val="0"/>
      <w:marRight w:val="0"/>
      <w:marTop w:val="0"/>
      <w:marBottom w:val="0"/>
      <w:divBdr>
        <w:top w:val="none" w:sz="0" w:space="0" w:color="auto"/>
        <w:left w:val="none" w:sz="0" w:space="0" w:color="auto"/>
        <w:bottom w:val="none" w:sz="0" w:space="0" w:color="auto"/>
        <w:right w:val="none" w:sz="0" w:space="0" w:color="auto"/>
      </w:divBdr>
      <w:divsChild>
        <w:div w:id="277833366">
          <w:marLeft w:val="0"/>
          <w:marRight w:val="0"/>
          <w:marTop w:val="0"/>
          <w:marBottom w:val="0"/>
          <w:divBdr>
            <w:top w:val="none" w:sz="0" w:space="0" w:color="auto"/>
            <w:left w:val="none" w:sz="0" w:space="0" w:color="auto"/>
            <w:bottom w:val="none" w:sz="0" w:space="0" w:color="auto"/>
            <w:right w:val="none" w:sz="0" w:space="0" w:color="auto"/>
          </w:divBdr>
          <w:divsChild>
            <w:div w:id="582298648">
              <w:marLeft w:val="0"/>
              <w:marRight w:val="0"/>
              <w:marTop w:val="0"/>
              <w:marBottom w:val="0"/>
              <w:divBdr>
                <w:top w:val="none" w:sz="0" w:space="0" w:color="auto"/>
                <w:left w:val="none" w:sz="0" w:space="0" w:color="auto"/>
                <w:bottom w:val="none" w:sz="0" w:space="0" w:color="auto"/>
                <w:right w:val="none" w:sz="0" w:space="0" w:color="auto"/>
              </w:divBdr>
            </w:div>
            <w:div w:id="1450320939">
              <w:marLeft w:val="0"/>
              <w:marRight w:val="0"/>
              <w:marTop w:val="0"/>
              <w:marBottom w:val="0"/>
              <w:divBdr>
                <w:top w:val="none" w:sz="0" w:space="0" w:color="auto"/>
                <w:left w:val="none" w:sz="0" w:space="0" w:color="auto"/>
                <w:bottom w:val="none" w:sz="0" w:space="0" w:color="auto"/>
                <w:right w:val="none" w:sz="0" w:space="0" w:color="auto"/>
              </w:divBdr>
            </w:div>
            <w:div w:id="1580751262">
              <w:marLeft w:val="0"/>
              <w:marRight w:val="0"/>
              <w:marTop w:val="0"/>
              <w:marBottom w:val="0"/>
              <w:divBdr>
                <w:top w:val="none" w:sz="0" w:space="0" w:color="auto"/>
                <w:left w:val="none" w:sz="0" w:space="0" w:color="auto"/>
                <w:bottom w:val="none" w:sz="0" w:space="0" w:color="auto"/>
                <w:right w:val="none" w:sz="0" w:space="0" w:color="auto"/>
              </w:divBdr>
            </w:div>
          </w:divsChild>
        </w:div>
        <w:div w:id="1657369972">
          <w:marLeft w:val="0"/>
          <w:marRight w:val="0"/>
          <w:marTop w:val="0"/>
          <w:marBottom w:val="0"/>
          <w:divBdr>
            <w:top w:val="none" w:sz="0" w:space="0" w:color="auto"/>
            <w:left w:val="none" w:sz="0" w:space="0" w:color="auto"/>
            <w:bottom w:val="none" w:sz="0" w:space="0" w:color="auto"/>
            <w:right w:val="none" w:sz="0" w:space="0" w:color="auto"/>
          </w:divBdr>
          <w:divsChild>
            <w:div w:id="37511019">
              <w:marLeft w:val="0"/>
              <w:marRight w:val="0"/>
              <w:marTop w:val="0"/>
              <w:marBottom w:val="0"/>
              <w:divBdr>
                <w:top w:val="none" w:sz="0" w:space="0" w:color="auto"/>
                <w:left w:val="none" w:sz="0" w:space="0" w:color="auto"/>
                <w:bottom w:val="none" w:sz="0" w:space="0" w:color="auto"/>
                <w:right w:val="none" w:sz="0" w:space="0" w:color="auto"/>
              </w:divBdr>
            </w:div>
            <w:div w:id="774713777">
              <w:marLeft w:val="0"/>
              <w:marRight w:val="0"/>
              <w:marTop w:val="0"/>
              <w:marBottom w:val="0"/>
              <w:divBdr>
                <w:top w:val="none" w:sz="0" w:space="0" w:color="auto"/>
                <w:left w:val="none" w:sz="0" w:space="0" w:color="auto"/>
                <w:bottom w:val="none" w:sz="0" w:space="0" w:color="auto"/>
                <w:right w:val="none" w:sz="0" w:space="0" w:color="auto"/>
              </w:divBdr>
            </w:div>
            <w:div w:id="935362361">
              <w:marLeft w:val="0"/>
              <w:marRight w:val="0"/>
              <w:marTop w:val="0"/>
              <w:marBottom w:val="0"/>
              <w:divBdr>
                <w:top w:val="none" w:sz="0" w:space="0" w:color="auto"/>
                <w:left w:val="none" w:sz="0" w:space="0" w:color="auto"/>
                <w:bottom w:val="none" w:sz="0" w:space="0" w:color="auto"/>
                <w:right w:val="none" w:sz="0" w:space="0" w:color="auto"/>
              </w:divBdr>
            </w:div>
            <w:div w:id="1158960694">
              <w:marLeft w:val="0"/>
              <w:marRight w:val="0"/>
              <w:marTop w:val="0"/>
              <w:marBottom w:val="0"/>
              <w:divBdr>
                <w:top w:val="none" w:sz="0" w:space="0" w:color="auto"/>
                <w:left w:val="none" w:sz="0" w:space="0" w:color="auto"/>
                <w:bottom w:val="none" w:sz="0" w:space="0" w:color="auto"/>
                <w:right w:val="none" w:sz="0" w:space="0" w:color="auto"/>
              </w:divBdr>
            </w:div>
            <w:div w:id="1185292276">
              <w:marLeft w:val="0"/>
              <w:marRight w:val="0"/>
              <w:marTop w:val="0"/>
              <w:marBottom w:val="0"/>
              <w:divBdr>
                <w:top w:val="none" w:sz="0" w:space="0" w:color="auto"/>
                <w:left w:val="none" w:sz="0" w:space="0" w:color="auto"/>
                <w:bottom w:val="none" w:sz="0" w:space="0" w:color="auto"/>
                <w:right w:val="none" w:sz="0" w:space="0" w:color="auto"/>
              </w:divBdr>
            </w:div>
            <w:div w:id="1701473581">
              <w:marLeft w:val="0"/>
              <w:marRight w:val="0"/>
              <w:marTop w:val="0"/>
              <w:marBottom w:val="0"/>
              <w:divBdr>
                <w:top w:val="none" w:sz="0" w:space="0" w:color="auto"/>
                <w:left w:val="none" w:sz="0" w:space="0" w:color="auto"/>
                <w:bottom w:val="none" w:sz="0" w:space="0" w:color="auto"/>
                <w:right w:val="none" w:sz="0" w:space="0" w:color="auto"/>
              </w:divBdr>
            </w:div>
            <w:div w:id="1748770157">
              <w:marLeft w:val="0"/>
              <w:marRight w:val="0"/>
              <w:marTop w:val="0"/>
              <w:marBottom w:val="0"/>
              <w:divBdr>
                <w:top w:val="none" w:sz="0" w:space="0" w:color="auto"/>
                <w:left w:val="none" w:sz="0" w:space="0" w:color="auto"/>
                <w:bottom w:val="none" w:sz="0" w:space="0" w:color="auto"/>
                <w:right w:val="none" w:sz="0" w:space="0" w:color="auto"/>
              </w:divBdr>
            </w:div>
            <w:div w:id="18094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1774">
      <w:bodyDiv w:val="1"/>
      <w:marLeft w:val="0"/>
      <w:marRight w:val="0"/>
      <w:marTop w:val="0"/>
      <w:marBottom w:val="0"/>
      <w:divBdr>
        <w:top w:val="none" w:sz="0" w:space="0" w:color="auto"/>
        <w:left w:val="none" w:sz="0" w:space="0" w:color="auto"/>
        <w:bottom w:val="none" w:sz="0" w:space="0" w:color="auto"/>
        <w:right w:val="none" w:sz="0" w:space="0" w:color="auto"/>
      </w:divBdr>
      <w:divsChild>
        <w:div w:id="803430593">
          <w:marLeft w:val="0"/>
          <w:marRight w:val="0"/>
          <w:marTop w:val="0"/>
          <w:marBottom w:val="0"/>
          <w:divBdr>
            <w:top w:val="none" w:sz="0" w:space="0" w:color="auto"/>
            <w:left w:val="none" w:sz="0" w:space="0" w:color="auto"/>
            <w:bottom w:val="none" w:sz="0" w:space="0" w:color="auto"/>
            <w:right w:val="none" w:sz="0" w:space="0" w:color="auto"/>
          </w:divBdr>
        </w:div>
        <w:div w:id="1169833799">
          <w:marLeft w:val="0"/>
          <w:marRight w:val="0"/>
          <w:marTop w:val="0"/>
          <w:marBottom w:val="0"/>
          <w:divBdr>
            <w:top w:val="none" w:sz="0" w:space="0" w:color="auto"/>
            <w:left w:val="none" w:sz="0" w:space="0" w:color="auto"/>
            <w:bottom w:val="none" w:sz="0" w:space="0" w:color="auto"/>
            <w:right w:val="none" w:sz="0" w:space="0" w:color="auto"/>
          </w:divBdr>
        </w:div>
        <w:div w:id="1181504262">
          <w:marLeft w:val="0"/>
          <w:marRight w:val="0"/>
          <w:marTop w:val="0"/>
          <w:marBottom w:val="0"/>
          <w:divBdr>
            <w:top w:val="none" w:sz="0" w:space="0" w:color="auto"/>
            <w:left w:val="none" w:sz="0" w:space="0" w:color="auto"/>
            <w:bottom w:val="none" w:sz="0" w:space="0" w:color="auto"/>
            <w:right w:val="none" w:sz="0" w:space="0" w:color="auto"/>
          </w:divBdr>
        </w:div>
        <w:div w:id="1783375526">
          <w:marLeft w:val="0"/>
          <w:marRight w:val="0"/>
          <w:marTop w:val="0"/>
          <w:marBottom w:val="0"/>
          <w:divBdr>
            <w:top w:val="none" w:sz="0" w:space="0" w:color="auto"/>
            <w:left w:val="none" w:sz="0" w:space="0" w:color="auto"/>
            <w:bottom w:val="none" w:sz="0" w:space="0" w:color="auto"/>
            <w:right w:val="none" w:sz="0" w:space="0" w:color="auto"/>
          </w:divBdr>
        </w:div>
      </w:divsChild>
    </w:div>
    <w:div w:id="403991246">
      <w:bodyDiv w:val="1"/>
      <w:marLeft w:val="0"/>
      <w:marRight w:val="0"/>
      <w:marTop w:val="0"/>
      <w:marBottom w:val="0"/>
      <w:divBdr>
        <w:top w:val="none" w:sz="0" w:space="0" w:color="auto"/>
        <w:left w:val="none" w:sz="0" w:space="0" w:color="auto"/>
        <w:bottom w:val="none" w:sz="0" w:space="0" w:color="auto"/>
        <w:right w:val="none" w:sz="0" w:space="0" w:color="auto"/>
      </w:divBdr>
      <w:divsChild>
        <w:div w:id="566453477">
          <w:marLeft w:val="0"/>
          <w:marRight w:val="0"/>
          <w:marTop w:val="0"/>
          <w:marBottom w:val="0"/>
          <w:divBdr>
            <w:top w:val="none" w:sz="0" w:space="0" w:color="auto"/>
            <w:left w:val="none" w:sz="0" w:space="0" w:color="auto"/>
            <w:bottom w:val="none" w:sz="0" w:space="0" w:color="auto"/>
            <w:right w:val="none" w:sz="0" w:space="0" w:color="auto"/>
          </w:divBdr>
        </w:div>
        <w:div w:id="1026558452">
          <w:marLeft w:val="0"/>
          <w:marRight w:val="0"/>
          <w:marTop w:val="0"/>
          <w:marBottom w:val="0"/>
          <w:divBdr>
            <w:top w:val="none" w:sz="0" w:space="0" w:color="auto"/>
            <w:left w:val="none" w:sz="0" w:space="0" w:color="auto"/>
            <w:bottom w:val="none" w:sz="0" w:space="0" w:color="auto"/>
            <w:right w:val="none" w:sz="0" w:space="0" w:color="auto"/>
          </w:divBdr>
        </w:div>
        <w:div w:id="1106970763">
          <w:marLeft w:val="0"/>
          <w:marRight w:val="0"/>
          <w:marTop w:val="0"/>
          <w:marBottom w:val="0"/>
          <w:divBdr>
            <w:top w:val="none" w:sz="0" w:space="0" w:color="auto"/>
            <w:left w:val="none" w:sz="0" w:space="0" w:color="auto"/>
            <w:bottom w:val="none" w:sz="0" w:space="0" w:color="auto"/>
            <w:right w:val="none" w:sz="0" w:space="0" w:color="auto"/>
          </w:divBdr>
        </w:div>
        <w:div w:id="1460104027">
          <w:marLeft w:val="0"/>
          <w:marRight w:val="0"/>
          <w:marTop w:val="0"/>
          <w:marBottom w:val="0"/>
          <w:divBdr>
            <w:top w:val="none" w:sz="0" w:space="0" w:color="auto"/>
            <w:left w:val="none" w:sz="0" w:space="0" w:color="auto"/>
            <w:bottom w:val="none" w:sz="0" w:space="0" w:color="auto"/>
            <w:right w:val="none" w:sz="0" w:space="0" w:color="auto"/>
          </w:divBdr>
        </w:div>
        <w:div w:id="1934900192">
          <w:marLeft w:val="0"/>
          <w:marRight w:val="0"/>
          <w:marTop w:val="0"/>
          <w:marBottom w:val="0"/>
          <w:divBdr>
            <w:top w:val="none" w:sz="0" w:space="0" w:color="auto"/>
            <w:left w:val="none" w:sz="0" w:space="0" w:color="auto"/>
            <w:bottom w:val="none" w:sz="0" w:space="0" w:color="auto"/>
            <w:right w:val="none" w:sz="0" w:space="0" w:color="auto"/>
          </w:divBdr>
        </w:div>
      </w:divsChild>
    </w:div>
    <w:div w:id="469131935">
      <w:bodyDiv w:val="1"/>
      <w:marLeft w:val="0"/>
      <w:marRight w:val="0"/>
      <w:marTop w:val="0"/>
      <w:marBottom w:val="0"/>
      <w:divBdr>
        <w:top w:val="none" w:sz="0" w:space="0" w:color="auto"/>
        <w:left w:val="none" w:sz="0" w:space="0" w:color="auto"/>
        <w:bottom w:val="none" w:sz="0" w:space="0" w:color="auto"/>
        <w:right w:val="none" w:sz="0" w:space="0" w:color="auto"/>
      </w:divBdr>
      <w:divsChild>
        <w:div w:id="291176775">
          <w:marLeft w:val="0"/>
          <w:marRight w:val="0"/>
          <w:marTop w:val="0"/>
          <w:marBottom w:val="0"/>
          <w:divBdr>
            <w:top w:val="none" w:sz="0" w:space="0" w:color="auto"/>
            <w:left w:val="none" w:sz="0" w:space="0" w:color="auto"/>
            <w:bottom w:val="none" w:sz="0" w:space="0" w:color="auto"/>
            <w:right w:val="none" w:sz="0" w:space="0" w:color="auto"/>
          </w:divBdr>
          <w:divsChild>
            <w:div w:id="58794324">
              <w:marLeft w:val="0"/>
              <w:marRight w:val="0"/>
              <w:marTop w:val="0"/>
              <w:marBottom w:val="0"/>
              <w:divBdr>
                <w:top w:val="none" w:sz="0" w:space="0" w:color="auto"/>
                <w:left w:val="none" w:sz="0" w:space="0" w:color="auto"/>
                <w:bottom w:val="none" w:sz="0" w:space="0" w:color="auto"/>
                <w:right w:val="none" w:sz="0" w:space="0" w:color="auto"/>
              </w:divBdr>
            </w:div>
            <w:div w:id="222181917">
              <w:marLeft w:val="0"/>
              <w:marRight w:val="0"/>
              <w:marTop w:val="0"/>
              <w:marBottom w:val="0"/>
              <w:divBdr>
                <w:top w:val="none" w:sz="0" w:space="0" w:color="auto"/>
                <w:left w:val="none" w:sz="0" w:space="0" w:color="auto"/>
                <w:bottom w:val="none" w:sz="0" w:space="0" w:color="auto"/>
                <w:right w:val="none" w:sz="0" w:space="0" w:color="auto"/>
              </w:divBdr>
            </w:div>
            <w:div w:id="242957558">
              <w:marLeft w:val="0"/>
              <w:marRight w:val="0"/>
              <w:marTop w:val="0"/>
              <w:marBottom w:val="0"/>
              <w:divBdr>
                <w:top w:val="none" w:sz="0" w:space="0" w:color="auto"/>
                <w:left w:val="none" w:sz="0" w:space="0" w:color="auto"/>
                <w:bottom w:val="none" w:sz="0" w:space="0" w:color="auto"/>
                <w:right w:val="none" w:sz="0" w:space="0" w:color="auto"/>
              </w:divBdr>
            </w:div>
            <w:div w:id="1386223638">
              <w:marLeft w:val="0"/>
              <w:marRight w:val="0"/>
              <w:marTop w:val="0"/>
              <w:marBottom w:val="0"/>
              <w:divBdr>
                <w:top w:val="none" w:sz="0" w:space="0" w:color="auto"/>
                <w:left w:val="none" w:sz="0" w:space="0" w:color="auto"/>
                <w:bottom w:val="none" w:sz="0" w:space="0" w:color="auto"/>
                <w:right w:val="none" w:sz="0" w:space="0" w:color="auto"/>
              </w:divBdr>
            </w:div>
            <w:div w:id="1516849794">
              <w:marLeft w:val="0"/>
              <w:marRight w:val="0"/>
              <w:marTop w:val="0"/>
              <w:marBottom w:val="0"/>
              <w:divBdr>
                <w:top w:val="none" w:sz="0" w:space="0" w:color="auto"/>
                <w:left w:val="none" w:sz="0" w:space="0" w:color="auto"/>
                <w:bottom w:val="none" w:sz="0" w:space="0" w:color="auto"/>
                <w:right w:val="none" w:sz="0" w:space="0" w:color="auto"/>
              </w:divBdr>
            </w:div>
            <w:div w:id="1741555385">
              <w:marLeft w:val="0"/>
              <w:marRight w:val="0"/>
              <w:marTop w:val="0"/>
              <w:marBottom w:val="0"/>
              <w:divBdr>
                <w:top w:val="none" w:sz="0" w:space="0" w:color="auto"/>
                <w:left w:val="none" w:sz="0" w:space="0" w:color="auto"/>
                <w:bottom w:val="none" w:sz="0" w:space="0" w:color="auto"/>
                <w:right w:val="none" w:sz="0" w:space="0" w:color="auto"/>
              </w:divBdr>
            </w:div>
            <w:div w:id="1849170019">
              <w:marLeft w:val="0"/>
              <w:marRight w:val="0"/>
              <w:marTop w:val="0"/>
              <w:marBottom w:val="0"/>
              <w:divBdr>
                <w:top w:val="none" w:sz="0" w:space="0" w:color="auto"/>
                <w:left w:val="none" w:sz="0" w:space="0" w:color="auto"/>
                <w:bottom w:val="none" w:sz="0" w:space="0" w:color="auto"/>
                <w:right w:val="none" w:sz="0" w:space="0" w:color="auto"/>
              </w:divBdr>
            </w:div>
            <w:div w:id="2028435669">
              <w:marLeft w:val="0"/>
              <w:marRight w:val="0"/>
              <w:marTop w:val="0"/>
              <w:marBottom w:val="0"/>
              <w:divBdr>
                <w:top w:val="none" w:sz="0" w:space="0" w:color="auto"/>
                <w:left w:val="none" w:sz="0" w:space="0" w:color="auto"/>
                <w:bottom w:val="none" w:sz="0" w:space="0" w:color="auto"/>
                <w:right w:val="none" w:sz="0" w:space="0" w:color="auto"/>
              </w:divBdr>
            </w:div>
          </w:divsChild>
        </w:div>
        <w:div w:id="1665549294">
          <w:marLeft w:val="0"/>
          <w:marRight w:val="0"/>
          <w:marTop w:val="0"/>
          <w:marBottom w:val="0"/>
          <w:divBdr>
            <w:top w:val="none" w:sz="0" w:space="0" w:color="auto"/>
            <w:left w:val="none" w:sz="0" w:space="0" w:color="auto"/>
            <w:bottom w:val="none" w:sz="0" w:space="0" w:color="auto"/>
            <w:right w:val="none" w:sz="0" w:space="0" w:color="auto"/>
          </w:divBdr>
          <w:divsChild>
            <w:div w:id="502743637">
              <w:marLeft w:val="0"/>
              <w:marRight w:val="0"/>
              <w:marTop w:val="0"/>
              <w:marBottom w:val="0"/>
              <w:divBdr>
                <w:top w:val="none" w:sz="0" w:space="0" w:color="auto"/>
                <w:left w:val="none" w:sz="0" w:space="0" w:color="auto"/>
                <w:bottom w:val="none" w:sz="0" w:space="0" w:color="auto"/>
                <w:right w:val="none" w:sz="0" w:space="0" w:color="auto"/>
              </w:divBdr>
            </w:div>
            <w:div w:id="1010722135">
              <w:marLeft w:val="0"/>
              <w:marRight w:val="0"/>
              <w:marTop w:val="0"/>
              <w:marBottom w:val="0"/>
              <w:divBdr>
                <w:top w:val="none" w:sz="0" w:space="0" w:color="auto"/>
                <w:left w:val="none" w:sz="0" w:space="0" w:color="auto"/>
                <w:bottom w:val="none" w:sz="0" w:space="0" w:color="auto"/>
                <w:right w:val="none" w:sz="0" w:space="0" w:color="auto"/>
              </w:divBdr>
            </w:div>
            <w:div w:id="15398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23127">
      <w:bodyDiv w:val="1"/>
      <w:marLeft w:val="0"/>
      <w:marRight w:val="0"/>
      <w:marTop w:val="0"/>
      <w:marBottom w:val="0"/>
      <w:divBdr>
        <w:top w:val="none" w:sz="0" w:space="0" w:color="auto"/>
        <w:left w:val="none" w:sz="0" w:space="0" w:color="auto"/>
        <w:bottom w:val="none" w:sz="0" w:space="0" w:color="auto"/>
        <w:right w:val="none" w:sz="0" w:space="0" w:color="auto"/>
      </w:divBdr>
    </w:div>
    <w:div w:id="473256905">
      <w:bodyDiv w:val="1"/>
      <w:marLeft w:val="0"/>
      <w:marRight w:val="0"/>
      <w:marTop w:val="0"/>
      <w:marBottom w:val="0"/>
      <w:divBdr>
        <w:top w:val="none" w:sz="0" w:space="0" w:color="auto"/>
        <w:left w:val="none" w:sz="0" w:space="0" w:color="auto"/>
        <w:bottom w:val="none" w:sz="0" w:space="0" w:color="auto"/>
        <w:right w:val="none" w:sz="0" w:space="0" w:color="auto"/>
      </w:divBdr>
      <w:divsChild>
        <w:div w:id="613750900">
          <w:marLeft w:val="0"/>
          <w:marRight w:val="0"/>
          <w:marTop w:val="0"/>
          <w:marBottom w:val="0"/>
          <w:divBdr>
            <w:top w:val="none" w:sz="0" w:space="0" w:color="auto"/>
            <w:left w:val="none" w:sz="0" w:space="0" w:color="auto"/>
            <w:bottom w:val="none" w:sz="0" w:space="0" w:color="auto"/>
            <w:right w:val="none" w:sz="0" w:space="0" w:color="auto"/>
          </w:divBdr>
          <w:divsChild>
            <w:div w:id="387921374">
              <w:marLeft w:val="0"/>
              <w:marRight w:val="0"/>
              <w:marTop w:val="0"/>
              <w:marBottom w:val="0"/>
              <w:divBdr>
                <w:top w:val="none" w:sz="0" w:space="0" w:color="auto"/>
                <w:left w:val="none" w:sz="0" w:space="0" w:color="auto"/>
                <w:bottom w:val="none" w:sz="0" w:space="0" w:color="auto"/>
                <w:right w:val="none" w:sz="0" w:space="0" w:color="auto"/>
              </w:divBdr>
            </w:div>
            <w:div w:id="918176591">
              <w:marLeft w:val="0"/>
              <w:marRight w:val="0"/>
              <w:marTop w:val="0"/>
              <w:marBottom w:val="0"/>
              <w:divBdr>
                <w:top w:val="none" w:sz="0" w:space="0" w:color="auto"/>
                <w:left w:val="none" w:sz="0" w:space="0" w:color="auto"/>
                <w:bottom w:val="none" w:sz="0" w:space="0" w:color="auto"/>
                <w:right w:val="none" w:sz="0" w:space="0" w:color="auto"/>
              </w:divBdr>
            </w:div>
            <w:div w:id="1089544674">
              <w:marLeft w:val="0"/>
              <w:marRight w:val="0"/>
              <w:marTop w:val="0"/>
              <w:marBottom w:val="0"/>
              <w:divBdr>
                <w:top w:val="none" w:sz="0" w:space="0" w:color="auto"/>
                <w:left w:val="none" w:sz="0" w:space="0" w:color="auto"/>
                <w:bottom w:val="none" w:sz="0" w:space="0" w:color="auto"/>
                <w:right w:val="none" w:sz="0" w:space="0" w:color="auto"/>
              </w:divBdr>
            </w:div>
            <w:div w:id="1099519096">
              <w:marLeft w:val="0"/>
              <w:marRight w:val="0"/>
              <w:marTop w:val="0"/>
              <w:marBottom w:val="0"/>
              <w:divBdr>
                <w:top w:val="none" w:sz="0" w:space="0" w:color="auto"/>
                <w:left w:val="none" w:sz="0" w:space="0" w:color="auto"/>
                <w:bottom w:val="none" w:sz="0" w:space="0" w:color="auto"/>
                <w:right w:val="none" w:sz="0" w:space="0" w:color="auto"/>
              </w:divBdr>
            </w:div>
            <w:div w:id="1356888205">
              <w:marLeft w:val="0"/>
              <w:marRight w:val="0"/>
              <w:marTop w:val="0"/>
              <w:marBottom w:val="0"/>
              <w:divBdr>
                <w:top w:val="none" w:sz="0" w:space="0" w:color="auto"/>
                <w:left w:val="none" w:sz="0" w:space="0" w:color="auto"/>
                <w:bottom w:val="none" w:sz="0" w:space="0" w:color="auto"/>
                <w:right w:val="none" w:sz="0" w:space="0" w:color="auto"/>
              </w:divBdr>
            </w:div>
            <w:div w:id="1839810476">
              <w:marLeft w:val="0"/>
              <w:marRight w:val="0"/>
              <w:marTop w:val="0"/>
              <w:marBottom w:val="0"/>
              <w:divBdr>
                <w:top w:val="none" w:sz="0" w:space="0" w:color="auto"/>
                <w:left w:val="none" w:sz="0" w:space="0" w:color="auto"/>
                <w:bottom w:val="none" w:sz="0" w:space="0" w:color="auto"/>
                <w:right w:val="none" w:sz="0" w:space="0" w:color="auto"/>
              </w:divBdr>
            </w:div>
            <w:div w:id="1855531649">
              <w:marLeft w:val="0"/>
              <w:marRight w:val="0"/>
              <w:marTop w:val="0"/>
              <w:marBottom w:val="0"/>
              <w:divBdr>
                <w:top w:val="none" w:sz="0" w:space="0" w:color="auto"/>
                <w:left w:val="none" w:sz="0" w:space="0" w:color="auto"/>
                <w:bottom w:val="none" w:sz="0" w:space="0" w:color="auto"/>
                <w:right w:val="none" w:sz="0" w:space="0" w:color="auto"/>
              </w:divBdr>
            </w:div>
            <w:div w:id="1904368010">
              <w:marLeft w:val="0"/>
              <w:marRight w:val="0"/>
              <w:marTop w:val="0"/>
              <w:marBottom w:val="0"/>
              <w:divBdr>
                <w:top w:val="none" w:sz="0" w:space="0" w:color="auto"/>
                <w:left w:val="none" w:sz="0" w:space="0" w:color="auto"/>
                <w:bottom w:val="none" w:sz="0" w:space="0" w:color="auto"/>
                <w:right w:val="none" w:sz="0" w:space="0" w:color="auto"/>
              </w:divBdr>
            </w:div>
          </w:divsChild>
        </w:div>
        <w:div w:id="705637896">
          <w:marLeft w:val="0"/>
          <w:marRight w:val="0"/>
          <w:marTop w:val="0"/>
          <w:marBottom w:val="0"/>
          <w:divBdr>
            <w:top w:val="none" w:sz="0" w:space="0" w:color="auto"/>
            <w:left w:val="none" w:sz="0" w:space="0" w:color="auto"/>
            <w:bottom w:val="none" w:sz="0" w:space="0" w:color="auto"/>
            <w:right w:val="none" w:sz="0" w:space="0" w:color="auto"/>
          </w:divBdr>
          <w:divsChild>
            <w:div w:id="68158922">
              <w:marLeft w:val="0"/>
              <w:marRight w:val="0"/>
              <w:marTop w:val="0"/>
              <w:marBottom w:val="0"/>
              <w:divBdr>
                <w:top w:val="none" w:sz="0" w:space="0" w:color="auto"/>
                <w:left w:val="none" w:sz="0" w:space="0" w:color="auto"/>
                <w:bottom w:val="none" w:sz="0" w:space="0" w:color="auto"/>
                <w:right w:val="none" w:sz="0" w:space="0" w:color="auto"/>
              </w:divBdr>
            </w:div>
            <w:div w:id="997221811">
              <w:marLeft w:val="0"/>
              <w:marRight w:val="0"/>
              <w:marTop w:val="0"/>
              <w:marBottom w:val="0"/>
              <w:divBdr>
                <w:top w:val="none" w:sz="0" w:space="0" w:color="auto"/>
                <w:left w:val="none" w:sz="0" w:space="0" w:color="auto"/>
                <w:bottom w:val="none" w:sz="0" w:space="0" w:color="auto"/>
                <w:right w:val="none" w:sz="0" w:space="0" w:color="auto"/>
              </w:divBdr>
            </w:div>
            <w:div w:id="14025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19609">
      <w:bodyDiv w:val="1"/>
      <w:marLeft w:val="0"/>
      <w:marRight w:val="0"/>
      <w:marTop w:val="0"/>
      <w:marBottom w:val="0"/>
      <w:divBdr>
        <w:top w:val="none" w:sz="0" w:space="0" w:color="auto"/>
        <w:left w:val="none" w:sz="0" w:space="0" w:color="auto"/>
        <w:bottom w:val="none" w:sz="0" w:space="0" w:color="auto"/>
        <w:right w:val="none" w:sz="0" w:space="0" w:color="auto"/>
      </w:divBdr>
    </w:div>
    <w:div w:id="532305403">
      <w:bodyDiv w:val="1"/>
      <w:marLeft w:val="0"/>
      <w:marRight w:val="0"/>
      <w:marTop w:val="0"/>
      <w:marBottom w:val="0"/>
      <w:divBdr>
        <w:top w:val="none" w:sz="0" w:space="0" w:color="auto"/>
        <w:left w:val="none" w:sz="0" w:space="0" w:color="auto"/>
        <w:bottom w:val="none" w:sz="0" w:space="0" w:color="auto"/>
        <w:right w:val="none" w:sz="0" w:space="0" w:color="auto"/>
      </w:divBdr>
    </w:div>
    <w:div w:id="550580870">
      <w:bodyDiv w:val="1"/>
      <w:marLeft w:val="0"/>
      <w:marRight w:val="0"/>
      <w:marTop w:val="0"/>
      <w:marBottom w:val="0"/>
      <w:divBdr>
        <w:top w:val="none" w:sz="0" w:space="0" w:color="auto"/>
        <w:left w:val="none" w:sz="0" w:space="0" w:color="auto"/>
        <w:bottom w:val="none" w:sz="0" w:space="0" w:color="auto"/>
        <w:right w:val="none" w:sz="0" w:space="0" w:color="auto"/>
      </w:divBdr>
    </w:div>
    <w:div w:id="565847233">
      <w:bodyDiv w:val="1"/>
      <w:marLeft w:val="0"/>
      <w:marRight w:val="0"/>
      <w:marTop w:val="0"/>
      <w:marBottom w:val="0"/>
      <w:divBdr>
        <w:top w:val="none" w:sz="0" w:space="0" w:color="auto"/>
        <w:left w:val="none" w:sz="0" w:space="0" w:color="auto"/>
        <w:bottom w:val="none" w:sz="0" w:space="0" w:color="auto"/>
        <w:right w:val="none" w:sz="0" w:space="0" w:color="auto"/>
      </w:divBdr>
    </w:div>
    <w:div w:id="567569649">
      <w:bodyDiv w:val="1"/>
      <w:marLeft w:val="0"/>
      <w:marRight w:val="0"/>
      <w:marTop w:val="0"/>
      <w:marBottom w:val="0"/>
      <w:divBdr>
        <w:top w:val="none" w:sz="0" w:space="0" w:color="auto"/>
        <w:left w:val="none" w:sz="0" w:space="0" w:color="auto"/>
        <w:bottom w:val="none" w:sz="0" w:space="0" w:color="auto"/>
        <w:right w:val="none" w:sz="0" w:space="0" w:color="auto"/>
      </w:divBdr>
    </w:div>
    <w:div w:id="596642321">
      <w:bodyDiv w:val="1"/>
      <w:marLeft w:val="0"/>
      <w:marRight w:val="0"/>
      <w:marTop w:val="0"/>
      <w:marBottom w:val="0"/>
      <w:divBdr>
        <w:top w:val="none" w:sz="0" w:space="0" w:color="auto"/>
        <w:left w:val="none" w:sz="0" w:space="0" w:color="auto"/>
        <w:bottom w:val="none" w:sz="0" w:space="0" w:color="auto"/>
        <w:right w:val="none" w:sz="0" w:space="0" w:color="auto"/>
      </w:divBdr>
    </w:div>
    <w:div w:id="601382663">
      <w:bodyDiv w:val="1"/>
      <w:marLeft w:val="0"/>
      <w:marRight w:val="0"/>
      <w:marTop w:val="0"/>
      <w:marBottom w:val="0"/>
      <w:divBdr>
        <w:top w:val="none" w:sz="0" w:space="0" w:color="auto"/>
        <w:left w:val="none" w:sz="0" w:space="0" w:color="auto"/>
        <w:bottom w:val="none" w:sz="0" w:space="0" w:color="auto"/>
        <w:right w:val="none" w:sz="0" w:space="0" w:color="auto"/>
      </w:divBdr>
    </w:div>
    <w:div w:id="620917794">
      <w:bodyDiv w:val="1"/>
      <w:marLeft w:val="0"/>
      <w:marRight w:val="0"/>
      <w:marTop w:val="0"/>
      <w:marBottom w:val="0"/>
      <w:divBdr>
        <w:top w:val="none" w:sz="0" w:space="0" w:color="auto"/>
        <w:left w:val="none" w:sz="0" w:space="0" w:color="auto"/>
        <w:bottom w:val="none" w:sz="0" w:space="0" w:color="auto"/>
        <w:right w:val="none" w:sz="0" w:space="0" w:color="auto"/>
      </w:divBdr>
    </w:div>
    <w:div w:id="627588769">
      <w:bodyDiv w:val="1"/>
      <w:marLeft w:val="0"/>
      <w:marRight w:val="0"/>
      <w:marTop w:val="0"/>
      <w:marBottom w:val="0"/>
      <w:divBdr>
        <w:top w:val="none" w:sz="0" w:space="0" w:color="auto"/>
        <w:left w:val="none" w:sz="0" w:space="0" w:color="auto"/>
        <w:bottom w:val="none" w:sz="0" w:space="0" w:color="auto"/>
        <w:right w:val="none" w:sz="0" w:space="0" w:color="auto"/>
      </w:divBdr>
    </w:div>
    <w:div w:id="634019167">
      <w:bodyDiv w:val="1"/>
      <w:marLeft w:val="0"/>
      <w:marRight w:val="0"/>
      <w:marTop w:val="0"/>
      <w:marBottom w:val="0"/>
      <w:divBdr>
        <w:top w:val="none" w:sz="0" w:space="0" w:color="auto"/>
        <w:left w:val="none" w:sz="0" w:space="0" w:color="auto"/>
        <w:bottom w:val="none" w:sz="0" w:space="0" w:color="auto"/>
        <w:right w:val="none" w:sz="0" w:space="0" w:color="auto"/>
      </w:divBdr>
    </w:div>
    <w:div w:id="645012621">
      <w:bodyDiv w:val="1"/>
      <w:marLeft w:val="0"/>
      <w:marRight w:val="0"/>
      <w:marTop w:val="0"/>
      <w:marBottom w:val="0"/>
      <w:divBdr>
        <w:top w:val="none" w:sz="0" w:space="0" w:color="auto"/>
        <w:left w:val="none" w:sz="0" w:space="0" w:color="auto"/>
        <w:bottom w:val="none" w:sz="0" w:space="0" w:color="auto"/>
        <w:right w:val="none" w:sz="0" w:space="0" w:color="auto"/>
      </w:divBdr>
    </w:div>
    <w:div w:id="656886398">
      <w:bodyDiv w:val="1"/>
      <w:marLeft w:val="0"/>
      <w:marRight w:val="0"/>
      <w:marTop w:val="0"/>
      <w:marBottom w:val="0"/>
      <w:divBdr>
        <w:top w:val="none" w:sz="0" w:space="0" w:color="auto"/>
        <w:left w:val="none" w:sz="0" w:space="0" w:color="auto"/>
        <w:bottom w:val="none" w:sz="0" w:space="0" w:color="auto"/>
        <w:right w:val="none" w:sz="0" w:space="0" w:color="auto"/>
      </w:divBdr>
    </w:div>
    <w:div w:id="660428338">
      <w:bodyDiv w:val="1"/>
      <w:marLeft w:val="0"/>
      <w:marRight w:val="0"/>
      <w:marTop w:val="0"/>
      <w:marBottom w:val="0"/>
      <w:divBdr>
        <w:top w:val="none" w:sz="0" w:space="0" w:color="auto"/>
        <w:left w:val="none" w:sz="0" w:space="0" w:color="auto"/>
        <w:bottom w:val="none" w:sz="0" w:space="0" w:color="auto"/>
        <w:right w:val="none" w:sz="0" w:space="0" w:color="auto"/>
      </w:divBdr>
    </w:div>
    <w:div w:id="687831040">
      <w:bodyDiv w:val="1"/>
      <w:marLeft w:val="0"/>
      <w:marRight w:val="0"/>
      <w:marTop w:val="0"/>
      <w:marBottom w:val="0"/>
      <w:divBdr>
        <w:top w:val="none" w:sz="0" w:space="0" w:color="auto"/>
        <w:left w:val="none" w:sz="0" w:space="0" w:color="auto"/>
        <w:bottom w:val="none" w:sz="0" w:space="0" w:color="auto"/>
        <w:right w:val="none" w:sz="0" w:space="0" w:color="auto"/>
      </w:divBdr>
    </w:div>
    <w:div w:id="687831547">
      <w:bodyDiv w:val="1"/>
      <w:marLeft w:val="0"/>
      <w:marRight w:val="0"/>
      <w:marTop w:val="0"/>
      <w:marBottom w:val="0"/>
      <w:divBdr>
        <w:top w:val="none" w:sz="0" w:space="0" w:color="auto"/>
        <w:left w:val="none" w:sz="0" w:space="0" w:color="auto"/>
        <w:bottom w:val="none" w:sz="0" w:space="0" w:color="auto"/>
        <w:right w:val="none" w:sz="0" w:space="0" w:color="auto"/>
      </w:divBdr>
      <w:divsChild>
        <w:div w:id="1481848944">
          <w:marLeft w:val="0"/>
          <w:marRight w:val="0"/>
          <w:marTop w:val="0"/>
          <w:marBottom w:val="0"/>
          <w:divBdr>
            <w:top w:val="none" w:sz="0" w:space="0" w:color="auto"/>
            <w:left w:val="none" w:sz="0" w:space="0" w:color="auto"/>
            <w:bottom w:val="none" w:sz="0" w:space="0" w:color="auto"/>
            <w:right w:val="none" w:sz="0" w:space="0" w:color="auto"/>
          </w:divBdr>
        </w:div>
        <w:div w:id="1558324539">
          <w:marLeft w:val="0"/>
          <w:marRight w:val="0"/>
          <w:marTop w:val="0"/>
          <w:marBottom w:val="0"/>
          <w:divBdr>
            <w:top w:val="none" w:sz="0" w:space="0" w:color="auto"/>
            <w:left w:val="none" w:sz="0" w:space="0" w:color="auto"/>
            <w:bottom w:val="none" w:sz="0" w:space="0" w:color="auto"/>
            <w:right w:val="none" w:sz="0" w:space="0" w:color="auto"/>
          </w:divBdr>
        </w:div>
      </w:divsChild>
    </w:div>
    <w:div w:id="696078491">
      <w:bodyDiv w:val="1"/>
      <w:marLeft w:val="0"/>
      <w:marRight w:val="0"/>
      <w:marTop w:val="0"/>
      <w:marBottom w:val="0"/>
      <w:divBdr>
        <w:top w:val="none" w:sz="0" w:space="0" w:color="auto"/>
        <w:left w:val="none" w:sz="0" w:space="0" w:color="auto"/>
        <w:bottom w:val="none" w:sz="0" w:space="0" w:color="auto"/>
        <w:right w:val="none" w:sz="0" w:space="0" w:color="auto"/>
      </w:divBdr>
    </w:div>
    <w:div w:id="717705801">
      <w:bodyDiv w:val="1"/>
      <w:marLeft w:val="0"/>
      <w:marRight w:val="0"/>
      <w:marTop w:val="0"/>
      <w:marBottom w:val="0"/>
      <w:divBdr>
        <w:top w:val="none" w:sz="0" w:space="0" w:color="auto"/>
        <w:left w:val="none" w:sz="0" w:space="0" w:color="auto"/>
        <w:bottom w:val="none" w:sz="0" w:space="0" w:color="auto"/>
        <w:right w:val="none" w:sz="0" w:space="0" w:color="auto"/>
      </w:divBdr>
    </w:div>
    <w:div w:id="747919983">
      <w:bodyDiv w:val="1"/>
      <w:marLeft w:val="0"/>
      <w:marRight w:val="0"/>
      <w:marTop w:val="0"/>
      <w:marBottom w:val="0"/>
      <w:divBdr>
        <w:top w:val="none" w:sz="0" w:space="0" w:color="auto"/>
        <w:left w:val="none" w:sz="0" w:space="0" w:color="auto"/>
        <w:bottom w:val="none" w:sz="0" w:space="0" w:color="auto"/>
        <w:right w:val="none" w:sz="0" w:space="0" w:color="auto"/>
      </w:divBdr>
    </w:div>
    <w:div w:id="779180731">
      <w:bodyDiv w:val="1"/>
      <w:marLeft w:val="0"/>
      <w:marRight w:val="0"/>
      <w:marTop w:val="0"/>
      <w:marBottom w:val="0"/>
      <w:divBdr>
        <w:top w:val="none" w:sz="0" w:space="0" w:color="auto"/>
        <w:left w:val="none" w:sz="0" w:space="0" w:color="auto"/>
        <w:bottom w:val="none" w:sz="0" w:space="0" w:color="auto"/>
        <w:right w:val="none" w:sz="0" w:space="0" w:color="auto"/>
      </w:divBdr>
    </w:div>
    <w:div w:id="790831178">
      <w:bodyDiv w:val="1"/>
      <w:marLeft w:val="0"/>
      <w:marRight w:val="0"/>
      <w:marTop w:val="0"/>
      <w:marBottom w:val="0"/>
      <w:divBdr>
        <w:top w:val="none" w:sz="0" w:space="0" w:color="auto"/>
        <w:left w:val="none" w:sz="0" w:space="0" w:color="auto"/>
        <w:bottom w:val="none" w:sz="0" w:space="0" w:color="auto"/>
        <w:right w:val="none" w:sz="0" w:space="0" w:color="auto"/>
      </w:divBdr>
    </w:div>
    <w:div w:id="808283342">
      <w:bodyDiv w:val="1"/>
      <w:marLeft w:val="0"/>
      <w:marRight w:val="0"/>
      <w:marTop w:val="0"/>
      <w:marBottom w:val="0"/>
      <w:divBdr>
        <w:top w:val="none" w:sz="0" w:space="0" w:color="auto"/>
        <w:left w:val="none" w:sz="0" w:space="0" w:color="auto"/>
        <w:bottom w:val="none" w:sz="0" w:space="0" w:color="auto"/>
        <w:right w:val="none" w:sz="0" w:space="0" w:color="auto"/>
      </w:divBdr>
      <w:divsChild>
        <w:div w:id="372195132">
          <w:marLeft w:val="0"/>
          <w:marRight w:val="0"/>
          <w:marTop w:val="0"/>
          <w:marBottom w:val="0"/>
          <w:divBdr>
            <w:top w:val="none" w:sz="0" w:space="0" w:color="auto"/>
            <w:left w:val="none" w:sz="0" w:space="0" w:color="auto"/>
            <w:bottom w:val="none" w:sz="0" w:space="0" w:color="auto"/>
            <w:right w:val="none" w:sz="0" w:space="0" w:color="auto"/>
          </w:divBdr>
        </w:div>
        <w:div w:id="822544826">
          <w:marLeft w:val="0"/>
          <w:marRight w:val="0"/>
          <w:marTop w:val="0"/>
          <w:marBottom w:val="0"/>
          <w:divBdr>
            <w:top w:val="none" w:sz="0" w:space="0" w:color="auto"/>
            <w:left w:val="none" w:sz="0" w:space="0" w:color="auto"/>
            <w:bottom w:val="none" w:sz="0" w:space="0" w:color="auto"/>
            <w:right w:val="none" w:sz="0" w:space="0" w:color="auto"/>
          </w:divBdr>
        </w:div>
        <w:div w:id="913468565">
          <w:marLeft w:val="0"/>
          <w:marRight w:val="0"/>
          <w:marTop w:val="0"/>
          <w:marBottom w:val="0"/>
          <w:divBdr>
            <w:top w:val="none" w:sz="0" w:space="0" w:color="auto"/>
            <w:left w:val="none" w:sz="0" w:space="0" w:color="auto"/>
            <w:bottom w:val="none" w:sz="0" w:space="0" w:color="auto"/>
            <w:right w:val="none" w:sz="0" w:space="0" w:color="auto"/>
          </w:divBdr>
        </w:div>
        <w:div w:id="1957248519">
          <w:marLeft w:val="0"/>
          <w:marRight w:val="0"/>
          <w:marTop w:val="0"/>
          <w:marBottom w:val="0"/>
          <w:divBdr>
            <w:top w:val="none" w:sz="0" w:space="0" w:color="auto"/>
            <w:left w:val="none" w:sz="0" w:space="0" w:color="auto"/>
            <w:bottom w:val="none" w:sz="0" w:space="0" w:color="auto"/>
            <w:right w:val="none" w:sz="0" w:space="0" w:color="auto"/>
          </w:divBdr>
        </w:div>
        <w:div w:id="2102098795">
          <w:marLeft w:val="0"/>
          <w:marRight w:val="0"/>
          <w:marTop w:val="0"/>
          <w:marBottom w:val="0"/>
          <w:divBdr>
            <w:top w:val="none" w:sz="0" w:space="0" w:color="auto"/>
            <w:left w:val="none" w:sz="0" w:space="0" w:color="auto"/>
            <w:bottom w:val="none" w:sz="0" w:space="0" w:color="auto"/>
            <w:right w:val="none" w:sz="0" w:space="0" w:color="auto"/>
          </w:divBdr>
        </w:div>
      </w:divsChild>
    </w:div>
    <w:div w:id="823552272">
      <w:bodyDiv w:val="1"/>
      <w:marLeft w:val="0"/>
      <w:marRight w:val="0"/>
      <w:marTop w:val="0"/>
      <w:marBottom w:val="0"/>
      <w:divBdr>
        <w:top w:val="none" w:sz="0" w:space="0" w:color="auto"/>
        <w:left w:val="none" w:sz="0" w:space="0" w:color="auto"/>
        <w:bottom w:val="none" w:sz="0" w:space="0" w:color="auto"/>
        <w:right w:val="none" w:sz="0" w:space="0" w:color="auto"/>
      </w:divBdr>
      <w:divsChild>
        <w:div w:id="907114056">
          <w:marLeft w:val="0"/>
          <w:marRight w:val="0"/>
          <w:marTop w:val="0"/>
          <w:marBottom w:val="0"/>
          <w:divBdr>
            <w:top w:val="none" w:sz="0" w:space="0" w:color="auto"/>
            <w:left w:val="none" w:sz="0" w:space="0" w:color="auto"/>
            <w:bottom w:val="none" w:sz="0" w:space="0" w:color="auto"/>
            <w:right w:val="none" w:sz="0" w:space="0" w:color="auto"/>
          </w:divBdr>
        </w:div>
        <w:div w:id="1411081841">
          <w:marLeft w:val="0"/>
          <w:marRight w:val="0"/>
          <w:marTop w:val="0"/>
          <w:marBottom w:val="0"/>
          <w:divBdr>
            <w:top w:val="none" w:sz="0" w:space="0" w:color="auto"/>
            <w:left w:val="none" w:sz="0" w:space="0" w:color="auto"/>
            <w:bottom w:val="none" w:sz="0" w:space="0" w:color="auto"/>
            <w:right w:val="none" w:sz="0" w:space="0" w:color="auto"/>
          </w:divBdr>
        </w:div>
      </w:divsChild>
    </w:div>
    <w:div w:id="853152389">
      <w:bodyDiv w:val="1"/>
      <w:marLeft w:val="0"/>
      <w:marRight w:val="0"/>
      <w:marTop w:val="0"/>
      <w:marBottom w:val="0"/>
      <w:divBdr>
        <w:top w:val="none" w:sz="0" w:space="0" w:color="auto"/>
        <w:left w:val="none" w:sz="0" w:space="0" w:color="auto"/>
        <w:bottom w:val="none" w:sz="0" w:space="0" w:color="auto"/>
        <w:right w:val="none" w:sz="0" w:space="0" w:color="auto"/>
      </w:divBdr>
    </w:div>
    <w:div w:id="856583429">
      <w:bodyDiv w:val="1"/>
      <w:marLeft w:val="0"/>
      <w:marRight w:val="0"/>
      <w:marTop w:val="0"/>
      <w:marBottom w:val="0"/>
      <w:divBdr>
        <w:top w:val="none" w:sz="0" w:space="0" w:color="auto"/>
        <w:left w:val="none" w:sz="0" w:space="0" w:color="auto"/>
        <w:bottom w:val="none" w:sz="0" w:space="0" w:color="auto"/>
        <w:right w:val="none" w:sz="0" w:space="0" w:color="auto"/>
      </w:divBdr>
      <w:divsChild>
        <w:div w:id="165100592">
          <w:marLeft w:val="0"/>
          <w:marRight w:val="0"/>
          <w:marTop w:val="0"/>
          <w:marBottom w:val="0"/>
          <w:divBdr>
            <w:top w:val="none" w:sz="0" w:space="0" w:color="auto"/>
            <w:left w:val="none" w:sz="0" w:space="0" w:color="auto"/>
            <w:bottom w:val="none" w:sz="0" w:space="0" w:color="auto"/>
            <w:right w:val="none" w:sz="0" w:space="0" w:color="auto"/>
          </w:divBdr>
        </w:div>
        <w:div w:id="413473879">
          <w:marLeft w:val="0"/>
          <w:marRight w:val="0"/>
          <w:marTop w:val="0"/>
          <w:marBottom w:val="0"/>
          <w:divBdr>
            <w:top w:val="none" w:sz="0" w:space="0" w:color="auto"/>
            <w:left w:val="none" w:sz="0" w:space="0" w:color="auto"/>
            <w:bottom w:val="none" w:sz="0" w:space="0" w:color="auto"/>
            <w:right w:val="none" w:sz="0" w:space="0" w:color="auto"/>
          </w:divBdr>
        </w:div>
        <w:div w:id="501702349">
          <w:marLeft w:val="0"/>
          <w:marRight w:val="0"/>
          <w:marTop w:val="0"/>
          <w:marBottom w:val="0"/>
          <w:divBdr>
            <w:top w:val="none" w:sz="0" w:space="0" w:color="auto"/>
            <w:left w:val="none" w:sz="0" w:space="0" w:color="auto"/>
            <w:bottom w:val="none" w:sz="0" w:space="0" w:color="auto"/>
            <w:right w:val="none" w:sz="0" w:space="0" w:color="auto"/>
          </w:divBdr>
        </w:div>
        <w:div w:id="801576945">
          <w:marLeft w:val="0"/>
          <w:marRight w:val="0"/>
          <w:marTop w:val="0"/>
          <w:marBottom w:val="0"/>
          <w:divBdr>
            <w:top w:val="none" w:sz="0" w:space="0" w:color="auto"/>
            <w:left w:val="none" w:sz="0" w:space="0" w:color="auto"/>
            <w:bottom w:val="none" w:sz="0" w:space="0" w:color="auto"/>
            <w:right w:val="none" w:sz="0" w:space="0" w:color="auto"/>
          </w:divBdr>
        </w:div>
        <w:div w:id="955797918">
          <w:marLeft w:val="0"/>
          <w:marRight w:val="0"/>
          <w:marTop w:val="0"/>
          <w:marBottom w:val="0"/>
          <w:divBdr>
            <w:top w:val="none" w:sz="0" w:space="0" w:color="auto"/>
            <w:left w:val="none" w:sz="0" w:space="0" w:color="auto"/>
            <w:bottom w:val="none" w:sz="0" w:space="0" w:color="auto"/>
            <w:right w:val="none" w:sz="0" w:space="0" w:color="auto"/>
          </w:divBdr>
        </w:div>
        <w:div w:id="1946376706">
          <w:marLeft w:val="0"/>
          <w:marRight w:val="0"/>
          <w:marTop w:val="0"/>
          <w:marBottom w:val="0"/>
          <w:divBdr>
            <w:top w:val="none" w:sz="0" w:space="0" w:color="auto"/>
            <w:left w:val="none" w:sz="0" w:space="0" w:color="auto"/>
            <w:bottom w:val="none" w:sz="0" w:space="0" w:color="auto"/>
            <w:right w:val="none" w:sz="0" w:space="0" w:color="auto"/>
          </w:divBdr>
        </w:div>
      </w:divsChild>
    </w:div>
    <w:div w:id="906107373">
      <w:bodyDiv w:val="1"/>
      <w:marLeft w:val="0"/>
      <w:marRight w:val="0"/>
      <w:marTop w:val="0"/>
      <w:marBottom w:val="0"/>
      <w:divBdr>
        <w:top w:val="none" w:sz="0" w:space="0" w:color="auto"/>
        <w:left w:val="none" w:sz="0" w:space="0" w:color="auto"/>
        <w:bottom w:val="none" w:sz="0" w:space="0" w:color="auto"/>
        <w:right w:val="none" w:sz="0" w:space="0" w:color="auto"/>
      </w:divBdr>
      <w:divsChild>
        <w:div w:id="644429546">
          <w:marLeft w:val="0"/>
          <w:marRight w:val="0"/>
          <w:marTop w:val="0"/>
          <w:marBottom w:val="0"/>
          <w:divBdr>
            <w:top w:val="none" w:sz="0" w:space="0" w:color="auto"/>
            <w:left w:val="none" w:sz="0" w:space="0" w:color="auto"/>
            <w:bottom w:val="none" w:sz="0" w:space="0" w:color="auto"/>
            <w:right w:val="none" w:sz="0" w:space="0" w:color="auto"/>
          </w:divBdr>
        </w:div>
        <w:div w:id="703945853">
          <w:marLeft w:val="0"/>
          <w:marRight w:val="0"/>
          <w:marTop w:val="0"/>
          <w:marBottom w:val="0"/>
          <w:divBdr>
            <w:top w:val="none" w:sz="0" w:space="0" w:color="auto"/>
            <w:left w:val="none" w:sz="0" w:space="0" w:color="auto"/>
            <w:bottom w:val="none" w:sz="0" w:space="0" w:color="auto"/>
            <w:right w:val="none" w:sz="0" w:space="0" w:color="auto"/>
          </w:divBdr>
        </w:div>
        <w:div w:id="705451762">
          <w:marLeft w:val="0"/>
          <w:marRight w:val="0"/>
          <w:marTop w:val="0"/>
          <w:marBottom w:val="0"/>
          <w:divBdr>
            <w:top w:val="none" w:sz="0" w:space="0" w:color="auto"/>
            <w:left w:val="none" w:sz="0" w:space="0" w:color="auto"/>
            <w:bottom w:val="none" w:sz="0" w:space="0" w:color="auto"/>
            <w:right w:val="none" w:sz="0" w:space="0" w:color="auto"/>
          </w:divBdr>
        </w:div>
        <w:div w:id="1287590490">
          <w:marLeft w:val="0"/>
          <w:marRight w:val="0"/>
          <w:marTop w:val="0"/>
          <w:marBottom w:val="0"/>
          <w:divBdr>
            <w:top w:val="none" w:sz="0" w:space="0" w:color="auto"/>
            <w:left w:val="none" w:sz="0" w:space="0" w:color="auto"/>
            <w:bottom w:val="none" w:sz="0" w:space="0" w:color="auto"/>
            <w:right w:val="none" w:sz="0" w:space="0" w:color="auto"/>
          </w:divBdr>
        </w:div>
      </w:divsChild>
    </w:div>
    <w:div w:id="981353573">
      <w:bodyDiv w:val="1"/>
      <w:marLeft w:val="0"/>
      <w:marRight w:val="0"/>
      <w:marTop w:val="0"/>
      <w:marBottom w:val="0"/>
      <w:divBdr>
        <w:top w:val="none" w:sz="0" w:space="0" w:color="auto"/>
        <w:left w:val="none" w:sz="0" w:space="0" w:color="auto"/>
        <w:bottom w:val="none" w:sz="0" w:space="0" w:color="auto"/>
        <w:right w:val="none" w:sz="0" w:space="0" w:color="auto"/>
      </w:divBdr>
      <w:divsChild>
        <w:div w:id="549922588">
          <w:marLeft w:val="0"/>
          <w:marRight w:val="0"/>
          <w:marTop w:val="0"/>
          <w:marBottom w:val="0"/>
          <w:divBdr>
            <w:top w:val="none" w:sz="0" w:space="0" w:color="auto"/>
            <w:left w:val="none" w:sz="0" w:space="0" w:color="auto"/>
            <w:bottom w:val="none" w:sz="0" w:space="0" w:color="auto"/>
            <w:right w:val="none" w:sz="0" w:space="0" w:color="auto"/>
          </w:divBdr>
        </w:div>
        <w:div w:id="2008048859">
          <w:marLeft w:val="0"/>
          <w:marRight w:val="0"/>
          <w:marTop w:val="0"/>
          <w:marBottom w:val="0"/>
          <w:divBdr>
            <w:top w:val="none" w:sz="0" w:space="0" w:color="auto"/>
            <w:left w:val="none" w:sz="0" w:space="0" w:color="auto"/>
            <w:bottom w:val="none" w:sz="0" w:space="0" w:color="auto"/>
            <w:right w:val="none" w:sz="0" w:space="0" w:color="auto"/>
          </w:divBdr>
        </w:div>
      </w:divsChild>
    </w:div>
    <w:div w:id="993142662">
      <w:bodyDiv w:val="1"/>
      <w:marLeft w:val="0"/>
      <w:marRight w:val="0"/>
      <w:marTop w:val="0"/>
      <w:marBottom w:val="0"/>
      <w:divBdr>
        <w:top w:val="none" w:sz="0" w:space="0" w:color="auto"/>
        <w:left w:val="none" w:sz="0" w:space="0" w:color="auto"/>
        <w:bottom w:val="none" w:sz="0" w:space="0" w:color="auto"/>
        <w:right w:val="none" w:sz="0" w:space="0" w:color="auto"/>
      </w:divBdr>
    </w:div>
    <w:div w:id="1001155683">
      <w:bodyDiv w:val="1"/>
      <w:marLeft w:val="0"/>
      <w:marRight w:val="0"/>
      <w:marTop w:val="0"/>
      <w:marBottom w:val="0"/>
      <w:divBdr>
        <w:top w:val="none" w:sz="0" w:space="0" w:color="auto"/>
        <w:left w:val="none" w:sz="0" w:space="0" w:color="auto"/>
        <w:bottom w:val="none" w:sz="0" w:space="0" w:color="auto"/>
        <w:right w:val="none" w:sz="0" w:space="0" w:color="auto"/>
      </w:divBdr>
    </w:div>
    <w:div w:id="1088187901">
      <w:bodyDiv w:val="1"/>
      <w:marLeft w:val="0"/>
      <w:marRight w:val="0"/>
      <w:marTop w:val="0"/>
      <w:marBottom w:val="0"/>
      <w:divBdr>
        <w:top w:val="none" w:sz="0" w:space="0" w:color="auto"/>
        <w:left w:val="none" w:sz="0" w:space="0" w:color="auto"/>
        <w:bottom w:val="none" w:sz="0" w:space="0" w:color="auto"/>
        <w:right w:val="none" w:sz="0" w:space="0" w:color="auto"/>
      </w:divBdr>
    </w:div>
    <w:div w:id="1091703630">
      <w:bodyDiv w:val="1"/>
      <w:marLeft w:val="0"/>
      <w:marRight w:val="0"/>
      <w:marTop w:val="0"/>
      <w:marBottom w:val="0"/>
      <w:divBdr>
        <w:top w:val="none" w:sz="0" w:space="0" w:color="auto"/>
        <w:left w:val="none" w:sz="0" w:space="0" w:color="auto"/>
        <w:bottom w:val="none" w:sz="0" w:space="0" w:color="auto"/>
        <w:right w:val="none" w:sz="0" w:space="0" w:color="auto"/>
      </w:divBdr>
    </w:div>
    <w:div w:id="1111434669">
      <w:bodyDiv w:val="1"/>
      <w:marLeft w:val="0"/>
      <w:marRight w:val="0"/>
      <w:marTop w:val="0"/>
      <w:marBottom w:val="0"/>
      <w:divBdr>
        <w:top w:val="none" w:sz="0" w:space="0" w:color="auto"/>
        <w:left w:val="none" w:sz="0" w:space="0" w:color="auto"/>
        <w:bottom w:val="none" w:sz="0" w:space="0" w:color="auto"/>
        <w:right w:val="none" w:sz="0" w:space="0" w:color="auto"/>
      </w:divBdr>
    </w:div>
    <w:div w:id="1187519541">
      <w:bodyDiv w:val="1"/>
      <w:marLeft w:val="0"/>
      <w:marRight w:val="0"/>
      <w:marTop w:val="0"/>
      <w:marBottom w:val="0"/>
      <w:divBdr>
        <w:top w:val="none" w:sz="0" w:space="0" w:color="auto"/>
        <w:left w:val="none" w:sz="0" w:space="0" w:color="auto"/>
        <w:bottom w:val="none" w:sz="0" w:space="0" w:color="auto"/>
        <w:right w:val="none" w:sz="0" w:space="0" w:color="auto"/>
      </w:divBdr>
    </w:div>
    <w:div w:id="1207792397">
      <w:bodyDiv w:val="1"/>
      <w:marLeft w:val="0"/>
      <w:marRight w:val="0"/>
      <w:marTop w:val="0"/>
      <w:marBottom w:val="0"/>
      <w:divBdr>
        <w:top w:val="none" w:sz="0" w:space="0" w:color="auto"/>
        <w:left w:val="none" w:sz="0" w:space="0" w:color="auto"/>
        <w:bottom w:val="none" w:sz="0" w:space="0" w:color="auto"/>
        <w:right w:val="none" w:sz="0" w:space="0" w:color="auto"/>
      </w:divBdr>
    </w:div>
    <w:div w:id="1220363836">
      <w:bodyDiv w:val="1"/>
      <w:marLeft w:val="0"/>
      <w:marRight w:val="0"/>
      <w:marTop w:val="0"/>
      <w:marBottom w:val="0"/>
      <w:divBdr>
        <w:top w:val="none" w:sz="0" w:space="0" w:color="auto"/>
        <w:left w:val="none" w:sz="0" w:space="0" w:color="auto"/>
        <w:bottom w:val="none" w:sz="0" w:space="0" w:color="auto"/>
        <w:right w:val="none" w:sz="0" w:space="0" w:color="auto"/>
      </w:divBdr>
    </w:div>
    <w:div w:id="1254968865">
      <w:bodyDiv w:val="1"/>
      <w:marLeft w:val="0"/>
      <w:marRight w:val="0"/>
      <w:marTop w:val="0"/>
      <w:marBottom w:val="0"/>
      <w:divBdr>
        <w:top w:val="none" w:sz="0" w:space="0" w:color="auto"/>
        <w:left w:val="none" w:sz="0" w:space="0" w:color="auto"/>
        <w:bottom w:val="none" w:sz="0" w:space="0" w:color="auto"/>
        <w:right w:val="none" w:sz="0" w:space="0" w:color="auto"/>
      </w:divBdr>
    </w:div>
    <w:div w:id="1262183322">
      <w:bodyDiv w:val="1"/>
      <w:marLeft w:val="0"/>
      <w:marRight w:val="0"/>
      <w:marTop w:val="0"/>
      <w:marBottom w:val="0"/>
      <w:divBdr>
        <w:top w:val="none" w:sz="0" w:space="0" w:color="auto"/>
        <w:left w:val="none" w:sz="0" w:space="0" w:color="auto"/>
        <w:bottom w:val="none" w:sz="0" w:space="0" w:color="auto"/>
        <w:right w:val="none" w:sz="0" w:space="0" w:color="auto"/>
      </w:divBdr>
    </w:div>
    <w:div w:id="1262421359">
      <w:bodyDiv w:val="1"/>
      <w:marLeft w:val="0"/>
      <w:marRight w:val="0"/>
      <w:marTop w:val="0"/>
      <w:marBottom w:val="0"/>
      <w:divBdr>
        <w:top w:val="none" w:sz="0" w:space="0" w:color="auto"/>
        <w:left w:val="none" w:sz="0" w:space="0" w:color="auto"/>
        <w:bottom w:val="none" w:sz="0" w:space="0" w:color="auto"/>
        <w:right w:val="none" w:sz="0" w:space="0" w:color="auto"/>
      </w:divBdr>
    </w:div>
    <w:div w:id="1262878941">
      <w:bodyDiv w:val="1"/>
      <w:marLeft w:val="0"/>
      <w:marRight w:val="0"/>
      <w:marTop w:val="0"/>
      <w:marBottom w:val="0"/>
      <w:divBdr>
        <w:top w:val="none" w:sz="0" w:space="0" w:color="auto"/>
        <w:left w:val="none" w:sz="0" w:space="0" w:color="auto"/>
        <w:bottom w:val="none" w:sz="0" w:space="0" w:color="auto"/>
        <w:right w:val="none" w:sz="0" w:space="0" w:color="auto"/>
      </w:divBdr>
    </w:div>
    <w:div w:id="1267613333">
      <w:bodyDiv w:val="1"/>
      <w:marLeft w:val="0"/>
      <w:marRight w:val="0"/>
      <w:marTop w:val="0"/>
      <w:marBottom w:val="0"/>
      <w:divBdr>
        <w:top w:val="none" w:sz="0" w:space="0" w:color="auto"/>
        <w:left w:val="none" w:sz="0" w:space="0" w:color="auto"/>
        <w:bottom w:val="none" w:sz="0" w:space="0" w:color="auto"/>
        <w:right w:val="none" w:sz="0" w:space="0" w:color="auto"/>
      </w:divBdr>
    </w:div>
    <w:div w:id="1308973046">
      <w:bodyDiv w:val="1"/>
      <w:marLeft w:val="0"/>
      <w:marRight w:val="0"/>
      <w:marTop w:val="0"/>
      <w:marBottom w:val="0"/>
      <w:divBdr>
        <w:top w:val="none" w:sz="0" w:space="0" w:color="auto"/>
        <w:left w:val="none" w:sz="0" w:space="0" w:color="auto"/>
        <w:bottom w:val="none" w:sz="0" w:space="0" w:color="auto"/>
        <w:right w:val="none" w:sz="0" w:space="0" w:color="auto"/>
      </w:divBdr>
    </w:div>
    <w:div w:id="1315570521">
      <w:bodyDiv w:val="1"/>
      <w:marLeft w:val="0"/>
      <w:marRight w:val="0"/>
      <w:marTop w:val="0"/>
      <w:marBottom w:val="0"/>
      <w:divBdr>
        <w:top w:val="none" w:sz="0" w:space="0" w:color="auto"/>
        <w:left w:val="none" w:sz="0" w:space="0" w:color="auto"/>
        <w:bottom w:val="none" w:sz="0" w:space="0" w:color="auto"/>
        <w:right w:val="none" w:sz="0" w:space="0" w:color="auto"/>
      </w:divBdr>
      <w:divsChild>
        <w:div w:id="725953203">
          <w:marLeft w:val="0"/>
          <w:marRight w:val="0"/>
          <w:marTop w:val="0"/>
          <w:marBottom w:val="0"/>
          <w:divBdr>
            <w:top w:val="none" w:sz="0" w:space="0" w:color="auto"/>
            <w:left w:val="none" w:sz="0" w:space="0" w:color="auto"/>
            <w:bottom w:val="none" w:sz="0" w:space="0" w:color="auto"/>
            <w:right w:val="none" w:sz="0" w:space="0" w:color="auto"/>
          </w:divBdr>
        </w:div>
        <w:div w:id="791899836">
          <w:marLeft w:val="0"/>
          <w:marRight w:val="0"/>
          <w:marTop w:val="0"/>
          <w:marBottom w:val="0"/>
          <w:divBdr>
            <w:top w:val="none" w:sz="0" w:space="0" w:color="auto"/>
            <w:left w:val="none" w:sz="0" w:space="0" w:color="auto"/>
            <w:bottom w:val="none" w:sz="0" w:space="0" w:color="auto"/>
            <w:right w:val="none" w:sz="0" w:space="0" w:color="auto"/>
          </w:divBdr>
        </w:div>
      </w:divsChild>
    </w:div>
    <w:div w:id="1381202175">
      <w:bodyDiv w:val="1"/>
      <w:marLeft w:val="0"/>
      <w:marRight w:val="0"/>
      <w:marTop w:val="0"/>
      <w:marBottom w:val="0"/>
      <w:divBdr>
        <w:top w:val="none" w:sz="0" w:space="0" w:color="auto"/>
        <w:left w:val="none" w:sz="0" w:space="0" w:color="auto"/>
        <w:bottom w:val="none" w:sz="0" w:space="0" w:color="auto"/>
        <w:right w:val="none" w:sz="0" w:space="0" w:color="auto"/>
      </w:divBdr>
    </w:div>
    <w:div w:id="1507286668">
      <w:bodyDiv w:val="1"/>
      <w:marLeft w:val="0"/>
      <w:marRight w:val="0"/>
      <w:marTop w:val="0"/>
      <w:marBottom w:val="0"/>
      <w:divBdr>
        <w:top w:val="none" w:sz="0" w:space="0" w:color="auto"/>
        <w:left w:val="none" w:sz="0" w:space="0" w:color="auto"/>
        <w:bottom w:val="none" w:sz="0" w:space="0" w:color="auto"/>
        <w:right w:val="none" w:sz="0" w:space="0" w:color="auto"/>
      </w:divBdr>
    </w:div>
    <w:div w:id="1514682451">
      <w:bodyDiv w:val="1"/>
      <w:marLeft w:val="0"/>
      <w:marRight w:val="0"/>
      <w:marTop w:val="0"/>
      <w:marBottom w:val="0"/>
      <w:divBdr>
        <w:top w:val="none" w:sz="0" w:space="0" w:color="auto"/>
        <w:left w:val="none" w:sz="0" w:space="0" w:color="auto"/>
        <w:bottom w:val="none" w:sz="0" w:space="0" w:color="auto"/>
        <w:right w:val="none" w:sz="0" w:space="0" w:color="auto"/>
      </w:divBdr>
      <w:divsChild>
        <w:div w:id="380402285">
          <w:marLeft w:val="0"/>
          <w:marRight w:val="0"/>
          <w:marTop w:val="0"/>
          <w:marBottom w:val="0"/>
          <w:divBdr>
            <w:top w:val="none" w:sz="0" w:space="0" w:color="auto"/>
            <w:left w:val="none" w:sz="0" w:space="0" w:color="auto"/>
            <w:bottom w:val="none" w:sz="0" w:space="0" w:color="auto"/>
            <w:right w:val="none" w:sz="0" w:space="0" w:color="auto"/>
          </w:divBdr>
        </w:div>
        <w:div w:id="381056184">
          <w:marLeft w:val="0"/>
          <w:marRight w:val="0"/>
          <w:marTop w:val="0"/>
          <w:marBottom w:val="0"/>
          <w:divBdr>
            <w:top w:val="none" w:sz="0" w:space="0" w:color="auto"/>
            <w:left w:val="none" w:sz="0" w:space="0" w:color="auto"/>
            <w:bottom w:val="none" w:sz="0" w:space="0" w:color="auto"/>
            <w:right w:val="none" w:sz="0" w:space="0" w:color="auto"/>
          </w:divBdr>
        </w:div>
        <w:div w:id="837354990">
          <w:marLeft w:val="0"/>
          <w:marRight w:val="0"/>
          <w:marTop w:val="0"/>
          <w:marBottom w:val="0"/>
          <w:divBdr>
            <w:top w:val="none" w:sz="0" w:space="0" w:color="auto"/>
            <w:left w:val="none" w:sz="0" w:space="0" w:color="auto"/>
            <w:bottom w:val="none" w:sz="0" w:space="0" w:color="auto"/>
            <w:right w:val="none" w:sz="0" w:space="0" w:color="auto"/>
          </w:divBdr>
        </w:div>
        <w:div w:id="1339380214">
          <w:marLeft w:val="0"/>
          <w:marRight w:val="0"/>
          <w:marTop w:val="0"/>
          <w:marBottom w:val="0"/>
          <w:divBdr>
            <w:top w:val="none" w:sz="0" w:space="0" w:color="auto"/>
            <w:left w:val="none" w:sz="0" w:space="0" w:color="auto"/>
            <w:bottom w:val="none" w:sz="0" w:space="0" w:color="auto"/>
            <w:right w:val="none" w:sz="0" w:space="0" w:color="auto"/>
          </w:divBdr>
        </w:div>
        <w:div w:id="1447771081">
          <w:marLeft w:val="0"/>
          <w:marRight w:val="0"/>
          <w:marTop w:val="0"/>
          <w:marBottom w:val="0"/>
          <w:divBdr>
            <w:top w:val="none" w:sz="0" w:space="0" w:color="auto"/>
            <w:left w:val="none" w:sz="0" w:space="0" w:color="auto"/>
            <w:bottom w:val="none" w:sz="0" w:space="0" w:color="auto"/>
            <w:right w:val="none" w:sz="0" w:space="0" w:color="auto"/>
          </w:divBdr>
        </w:div>
      </w:divsChild>
    </w:div>
    <w:div w:id="1565531905">
      <w:bodyDiv w:val="1"/>
      <w:marLeft w:val="0"/>
      <w:marRight w:val="0"/>
      <w:marTop w:val="0"/>
      <w:marBottom w:val="0"/>
      <w:divBdr>
        <w:top w:val="none" w:sz="0" w:space="0" w:color="auto"/>
        <w:left w:val="none" w:sz="0" w:space="0" w:color="auto"/>
        <w:bottom w:val="none" w:sz="0" w:space="0" w:color="auto"/>
        <w:right w:val="none" w:sz="0" w:space="0" w:color="auto"/>
      </w:divBdr>
    </w:div>
    <w:div w:id="1580362488">
      <w:bodyDiv w:val="1"/>
      <w:marLeft w:val="0"/>
      <w:marRight w:val="0"/>
      <w:marTop w:val="0"/>
      <w:marBottom w:val="0"/>
      <w:divBdr>
        <w:top w:val="none" w:sz="0" w:space="0" w:color="auto"/>
        <w:left w:val="none" w:sz="0" w:space="0" w:color="auto"/>
        <w:bottom w:val="none" w:sz="0" w:space="0" w:color="auto"/>
        <w:right w:val="none" w:sz="0" w:space="0" w:color="auto"/>
      </w:divBdr>
    </w:div>
    <w:div w:id="1589072416">
      <w:bodyDiv w:val="1"/>
      <w:marLeft w:val="0"/>
      <w:marRight w:val="0"/>
      <w:marTop w:val="0"/>
      <w:marBottom w:val="0"/>
      <w:divBdr>
        <w:top w:val="none" w:sz="0" w:space="0" w:color="auto"/>
        <w:left w:val="none" w:sz="0" w:space="0" w:color="auto"/>
        <w:bottom w:val="none" w:sz="0" w:space="0" w:color="auto"/>
        <w:right w:val="none" w:sz="0" w:space="0" w:color="auto"/>
      </w:divBdr>
      <w:divsChild>
        <w:div w:id="428165603">
          <w:marLeft w:val="0"/>
          <w:marRight w:val="0"/>
          <w:marTop w:val="0"/>
          <w:marBottom w:val="0"/>
          <w:divBdr>
            <w:top w:val="none" w:sz="0" w:space="0" w:color="auto"/>
            <w:left w:val="none" w:sz="0" w:space="0" w:color="auto"/>
            <w:bottom w:val="none" w:sz="0" w:space="0" w:color="auto"/>
            <w:right w:val="none" w:sz="0" w:space="0" w:color="auto"/>
          </w:divBdr>
        </w:div>
        <w:div w:id="699282071">
          <w:marLeft w:val="0"/>
          <w:marRight w:val="0"/>
          <w:marTop w:val="0"/>
          <w:marBottom w:val="0"/>
          <w:divBdr>
            <w:top w:val="none" w:sz="0" w:space="0" w:color="auto"/>
            <w:left w:val="none" w:sz="0" w:space="0" w:color="auto"/>
            <w:bottom w:val="none" w:sz="0" w:space="0" w:color="auto"/>
            <w:right w:val="none" w:sz="0" w:space="0" w:color="auto"/>
          </w:divBdr>
        </w:div>
      </w:divsChild>
    </w:div>
    <w:div w:id="1631322637">
      <w:bodyDiv w:val="1"/>
      <w:marLeft w:val="0"/>
      <w:marRight w:val="0"/>
      <w:marTop w:val="0"/>
      <w:marBottom w:val="0"/>
      <w:divBdr>
        <w:top w:val="none" w:sz="0" w:space="0" w:color="auto"/>
        <w:left w:val="none" w:sz="0" w:space="0" w:color="auto"/>
        <w:bottom w:val="none" w:sz="0" w:space="0" w:color="auto"/>
        <w:right w:val="none" w:sz="0" w:space="0" w:color="auto"/>
      </w:divBdr>
      <w:divsChild>
        <w:div w:id="365446852">
          <w:marLeft w:val="0"/>
          <w:marRight w:val="0"/>
          <w:marTop w:val="0"/>
          <w:marBottom w:val="0"/>
          <w:divBdr>
            <w:top w:val="none" w:sz="0" w:space="0" w:color="auto"/>
            <w:left w:val="none" w:sz="0" w:space="0" w:color="auto"/>
            <w:bottom w:val="none" w:sz="0" w:space="0" w:color="auto"/>
            <w:right w:val="none" w:sz="0" w:space="0" w:color="auto"/>
          </w:divBdr>
        </w:div>
        <w:div w:id="1191452082">
          <w:marLeft w:val="0"/>
          <w:marRight w:val="0"/>
          <w:marTop w:val="0"/>
          <w:marBottom w:val="0"/>
          <w:divBdr>
            <w:top w:val="none" w:sz="0" w:space="0" w:color="auto"/>
            <w:left w:val="none" w:sz="0" w:space="0" w:color="auto"/>
            <w:bottom w:val="none" w:sz="0" w:space="0" w:color="auto"/>
            <w:right w:val="none" w:sz="0" w:space="0" w:color="auto"/>
          </w:divBdr>
        </w:div>
        <w:div w:id="1200894653">
          <w:marLeft w:val="0"/>
          <w:marRight w:val="0"/>
          <w:marTop w:val="0"/>
          <w:marBottom w:val="0"/>
          <w:divBdr>
            <w:top w:val="none" w:sz="0" w:space="0" w:color="auto"/>
            <w:left w:val="none" w:sz="0" w:space="0" w:color="auto"/>
            <w:bottom w:val="none" w:sz="0" w:space="0" w:color="auto"/>
            <w:right w:val="none" w:sz="0" w:space="0" w:color="auto"/>
          </w:divBdr>
        </w:div>
        <w:div w:id="1376389990">
          <w:marLeft w:val="0"/>
          <w:marRight w:val="0"/>
          <w:marTop w:val="0"/>
          <w:marBottom w:val="0"/>
          <w:divBdr>
            <w:top w:val="none" w:sz="0" w:space="0" w:color="auto"/>
            <w:left w:val="none" w:sz="0" w:space="0" w:color="auto"/>
            <w:bottom w:val="none" w:sz="0" w:space="0" w:color="auto"/>
            <w:right w:val="none" w:sz="0" w:space="0" w:color="auto"/>
          </w:divBdr>
        </w:div>
      </w:divsChild>
    </w:div>
    <w:div w:id="1631858258">
      <w:bodyDiv w:val="1"/>
      <w:marLeft w:val="0"/>
      <w:marRight w:val="0"/>
      <w:marTop w:val="0"/>
      <w:marBottom w:val="0"/>
      <w:divBdr>
        <w:top w:val="none" w:sz="0" w:space="0" w:color="auto"/>
        <w:left w:val="none" w:sz="0" w:space="0" w:color="auto"/>
        <w:bottom w:val="none" w:sz="0" w:space="0" w:color="auto"/>
        <w:right w:val="none" w:sz="0" w:space="0" w:color="auto"/>
      </w:divBdr>
    </w:div>
    <w:div w:id="1637446804">
      <w:bodyDiv w:val="1"/>
      <w:marLeft w:val="0"/>
      <w:marRight w:val="0"/>
      <w:marTop w:val="0"/>
      <w:marBottom w:val="0"/>
      <w:divBdr>
        <w:top w:val="none" w:sz="0" w:space="0" w:color="auto"/>
        <w:left w:val="none" w:sz="0" w:space="0" w:color="auto"/>
        <w:bottom w:val="none" w:sz="0" w:space="0" w:color="auto"/>
        <w:right w:val="none" w:sz="0" w:space="0" w:color="auto"/>
      </w:divBdr>
    </w:div>
    <w:div w:id="1681086115">
      <w:bodyDiv w:val="1"/>
      <w:marLeft w:val="0"/>
      <w:marRight w:val="0"/>
      <w:marTop w:val="0"/>
      <w:marBottom w:val="0"/>
      <w:divBdr>
        <w:top w:val="none" w:sz="0" w:space="0" w:color="auto"/>
        <w:left w:val="none" w:sz="0" w:space="0" w:color="auto"/>
        <w:bottom w:val="none" w:sz="0" w:space="0" w:color="auto"/>
        <w:right w:val="none" w:sz="0" w:space="0" w:color="auto"/>
      </w:divBdr>
      <w:divsChild>
        <w:div w:id="126514107">
          <w:marLeft w:val="0"/>
          <w:marRight w:val="0"/>
          <w:marTop w:val="0"/>
          <w:marBottom w:val="0"/>
          <w:divBdr>
            <w:top w:val="none" w:sz="0" w:space="0" w:color="auto"/>
            <w:left w:val="none" w:sz="0" w:space="0" w:color="auto"/>
            <w:bottom w:val="none" w:sz="0" w:space="0" w:color="auto"/>
            <w:right w:val="none" w:sz="0" w:space="0" w:color="auto"/>
          </w:divBdr>
          <w:divsChild>
            <w:div w:id="497042333">
              <w:marLeft w:val="0"/>
              <w:marRight w:val="0"/>
              <w:marTop w:val="0"/>
              <w:marBottom w:val="0"/>
              <w:divBdr>
                <w:top w:val="none" w:sz="0" w:space="0" w:color="auto"/>
                <w:left w:val="none" w:sz="0" w:space="0" w:color="auto"/>
                <w:bottom w:val="none" w:sz="0" w:space="0" w:color="auto"/>
                <w:right w:val="none" w:sz="0" w:space="0" w:color="auto"/>
              </w:divBdr>
            </w:div>
            <w:div w:id="1758399445">
              <w:marLeft w:val="0"/>
              <w:marRight w:val="0"/>
              <w:marTop w:val="0"/>
              <w:marBottom w:val="0"/>
              <w:divBdr>
                <w:top w:val="none" w:sz="0" w:space="0" w:color="auto"/>
                <w:left w:val="none" w:sz="0" w:space="0" w:color="auto"/>
                <w:bottom w:val="none" w:sz="0" w:space="0" w:color="auto"/>
                <w:right w:val="none" w:sz="0" w:space="0" w:color="auto"/>
              </w:divBdr>
            </w:div>
            <w:div w:id="1845898814">
              <w:marLeft w:val="0"/>
              <w:marRight w:val="0"/>
              <w:marTop w:val="0"/>
              <w:marBottom w:val="0"/>
              <w:divBdr>
                <w:top w:val="none" w:sz="0" w:space="0" w:color="auto"/>
                <w:left w:val="none" w:sz="0" w:space="0" w:color="auto"/>
                <w:bottom w:val="none" w:sz="0" w:space="0" w:color="auto"/>
                <w:right w:val="none" w:sz="0" w:space="0" w:color="auto"/>
              </w:divBdr>
            </w:div>
          </w:divsChild>
        </w:div>
        <w:div w:id="1837963885">
          <w:marLeft w:val="0"/>
          <w:marRight w:val="0"/>
          <w:marTop w:val="0"/>
          <w:marBottom w:val="0"/>
          <w:divBdr>
            <w:top w:val="none" w:sz="0" w:space="0" w:color="auto"/>
            <w:left w:val="none" w:sz="0" w:space="0" w:color="auto"/>
            <w:bottom w:val="none" w:sz="0" w:space="0" w:color="auto"/>
            <w:right w:val="none" w:sz="0" w:space="0" w:color="auto"/>
          </w:divBdr>
          <w:divsChild>
            <w:div w:id="115802487">
              <w:marLeft w:val="0"/>
              <w:marRight w:val="0"/>
              <w:marTop w:val="0"/>
              <w:marBottom w:val="0"/>
              <w:divBdr>
                <w:top w:val="none" w:sz="0" w:space="0" w:color="auto"/>
                <w:left w:val="none" w:sz="0" w:space="0" w:color="auto"/>
                <w:bottom w:val="none" w:sz="0" w:space="0" w:color="auto"/>
                <w:right w:val="none" w:sz="0" w:space="0" w:color="auto"/>
              </w:divBdr>
            </w:div>
            <w:div w:id="177155775">
              <w:marLeft w:val="0"/>
              <w:marRight w:val="0"/>
              <w:marTop w:val="0"/>
              <w:marBottom w:val="0"/>
              <w:divBdr>
                <w:top w:val="none" w:sz="0" w:space="0" w:color="auto"/>
                <w:left w:val="none" w:sz="0" w:space="0" w:color="auto"/>
                <w:bottom w:val="none" w:sz="0" w:space="0" w:color="auto"/>
                <w:right w:val="none" w:sz="0" w:space="0" w:color="auto"/>
              </w:divBdr>
            </w:div>
            <w:div w:id="767310468">
              <w:marLeft w:val="0"/>
              <w:marRight w:val="0"/>
              <w:marTop w:val="0"/>
              <w:marBottom w:val="0"/>
              <w:divBdr>
                <w:top w:val="none" w:sz="0" w:space="0" w:color="auto"/>
                <w:left w:val="none" w:sz="0" w:space="0" w:color="auto"/>
                <w:bottom w:val="none" w:sz="0" w:space="0" w:color="auto"/>
                <w:right w:val="none" w:sz="0" w:space="0" w:color="auto"/>
              </w:divBdr>
            </w:div>
            <w:div w:id="854344375">
              <w:marLeft w:val="0"/>
              <w:marRight w:val="0"/>
              <w:marTop w:val="0"/>
              <w:marBottom w:val="0"/>
              <w:divBdr>
                <w:top w:val="none" w:sz="0" w:space="0" w:color="auto"/>
                <w:left w:val="none" w:sz="0" w:space="0" w:color="auto"/>
                <w:bottom w:val="none" w:sz="0" w:space="0" w:color="auto"/>
                <w:right w:val="none" w:sz="0" w:space="0" w:color="auto"/>
              </w:divBdr>
            </w:div>
            <w:div w:id="1222330989">
              <w:marLeft w:val="0"/>
              <w:marRight w:val="0"/>
              <w:marTop w:val="0"/>
              <w:marBottom w:val="0"/>
              <w:divBdr>
                <w:top w:val="none" w:sz="0" w:space="0" w:color="auto"/>
                <w:left w:val="none" w:sz="0" w:space="0" w:color="auto"/>
                <w:bottom w:val="none" w:sz="0" w:space="0" w:color="auto"/>
                <w:right w:val="none" w:sz="0" w:space="0" w:color="auto"/>
              </w:divBdr>
            </w:div>
            <w:div w:id="1421565882">
              <w:marLeft w:val="0"/>
              <w:marRight w:val="0"/>
              <w:marTop w:val="0"/>
              <w:marBottom w:val="0"/>
              <w:divBdr>
                <w:top w:val="none" w:sz="0" w:space="0" w:color="auto"/>
                <w:left w:val="none" w:sz="0" w:space="0" w:color="auto"/>
                <w:bottom w:val="none" w:sz="0" w:space="0" w:color="auto"/>
                <w:right w:val="none" w:sz="0" w:space="0" w:color="auto"/>
              </w:divBdr>
            </w:div>
            <w:div w:id="1539271124">
              <w:marLeft w:val="0"/>
              <w:marRight w:val="0"/>
              <w:marTop w:val="0"/>
              <w:marBottom w:val="0"/>
              <w:divBdr>
                <w:top w:val="none" w:sz="0" w:space="0" w:color="auto"/>
                <w:left w:val="none" w:sz="0" w:space="0" w:color="auto"/>
                <w:bottom w:val="none" w:sz="0" w:space="0" w:color="auto"/>
                <w:right w:val="none" w:sz="0" w:space="0" w:color="auto"/>
              </w:divBdr>
            </w:div>
            <w:div w:id="169765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60451">
      <w:bodyDiv w:val="1"/>
      <w:marLeft w:val="0"/>
      <w:marRight w:val="0"/>
      <w:marTop w:val="0"/>
      <w:marBottom w:val="0"/>
      <w:divBdr>
        <w:top w:val="none" w:sz="0" w:space="0" w:color="auto"/>
        <w:left w:val="none" w:sz="0" w:space="0" w:color="auto"/>
        <w:bottom w:val="none" w:sz="0" w:space="0" w:color="auto"/>
        <w:right w:val="none" w:sz="0" w:space="0" w:color="auto"/>
      </w:divBdr>
      <w:divsChild>
        <w:div w:id="219560586">
          <w:marLeft w:val="0"/>
          <w:marRight w:val="0"/>
          <w:marTop w:val="0"/>
          <w:marBottom w:val="0"/>
          <w:divBdr>
            <w:top w:val="none" w:sz="0" w:space="0" w:color="auto"/>
            <w:left w:val="none" w:sz="0" w:space="0" w:color="auto"/>
            <w:bottom w:val="none" w:sz="0" w:space="0" w:color="auto"/>
            <w:right w:val="none" w:sz="0" w:space="0" w:color="auto"/>
          </w:divBdr>
        </w:div>
        <w:div w:id="603656593">
          <w:marLeft w:val="0"/>
          <w:marRight w:val="0"/>
          <w:marTop w:val="0"/>
          <w:marBottom w:val="0"/>
          <w:divBdr>
            <w:top w:val="none" w:sz="0" w:space="0" w:color="auto"/>
            <w:left w:val="none" w:sz="0" w:space="0" w:color="auto"/>
            <w:bottom w:val="none" w:sz="0" w:space="0" w:color="auto"/>
            <w:right w:val="none" w:sz="0" w:space="0" w:color="auto"/>
          </w:divBdr>
        </w:div>
        <w:div w:id="1409494507">
          <w:marLeft w:val="0"/>
          <w:marRight w:val="0"/>
          <w:marTop w:val="0"/>
          <w:marBottom w:val="0"/>
          <w:divBdr>
            <w:top w:val="none" w:sz="0" w:space="0" w:color="auto"/>
            <w:left w:val="none" w:sz="0" w:space="0" w:color="auto"/>
            <w:bottom w:val="none" w:sz="0" w:space="0" w:color="auto"/>
            <w:right w:val="none" w:sz="0" w:space="0" w:color="auto"/>
          </w:divBdr>
        </w:div>
        <w:div w:id="1562062898">
          <w:marLeft w:val="0"/>
          <w:marRight w:val="0"/>
          <w:marTop w:val="0"/>
          <w:marBottom w:val="0"/>
          <w:divBdr>
            <w:top w:val="none" w:sz="0" w:space="0" w:color="auto"/>
            <w:left w:val="none" w:sz="0" w:space="0" w:color="auto"/>
            <w:bottom w:val="none" w:sz="0" w:space="0" w:color="auto"/>
            <w:right w:val="none" w:sz="0" w:space="0" w:color="auto"/>
          </w:divBdr>
        </w:div>
        <w:div w:id="1919943240">
          <w:marLeft w:val="0"/>
          <w:marRight w:val="0"/>
          <w:marTop w:val="0"/>
          <w:marBottom w:val="0"/>
          <w:divBdr>
            <w:top w:val="none" w:sz="0" w:space="0" w:color="auto"/>
            <w:left w:val="none" w:sz="0" w:space="0" w:color="auto"/>
            <w:bottom w:val="none" w:sz="0" w:space="0" w:color="auto"/>
            <w:right w:val="none" w:sz="0" w:space="0" w:color="auto"/>
          </w:divBdr>
        </w:div>
      </w:divsChild>
    </w:div>
    <w:div w:id="1703171940">
      <w:bodyDiv w:val="1"/>
      <w:marLeft w:val="0"/>
      <w:marRight w:val="0"/>
      <w:marTop w:val="0"/>
      <w:marBottom w:val="0"/>
      <w:divBdr>
        <w:top w:val="none" w:sz="0" w:space="0" w:color="auto"/>
        <w:left w:val="none" w:sz="0" w:space="0" w:color="auto"/>
        <w:bottom w:val="none" w:sz="0" w:space="0" w:color="auto"/>
        <w:right w:val="none" w:sz="0" w:space="0" w:color="auto"/>
      </w:divBdr>
      <w:divsChild>
        <w:div w:id="830944689">
          <w:marLeft w:val="0"/>
          <w:marRight w:val="0"/>
          <w:marTop w:val="0"/>
          <w:marBottom w:val="0"/>
          <w:divBdr>
            <w:top w:val="none" w:sz="0" w:space="0" w:color="auto"/>
            <w:left w:val="none" w:sz="0" w:space="0" w:color="auto"/>
            <w:bottom w:val="none" w:sz="0" w:space="0" w:color="auto"/>
            <w:right w:val="none" w:sz="0" w:space="0" w:color="auto"/>
          </w:divBdr>
        </w:div>
        <w:div w:id="992879411">
          <w:marLeft w:val="0"/>
          <w:marRight w:val="0"/>
          <w:marTop w:val="0"/>
          <w:marBottom w:val="0"/>
          <w:divBdr>
            <w:top w:val="none" w:sz="0" w:space="0" w:color="auto"/>
            <w:left w:val="none" w:sz="0" w:space="0" w:color="auto"/>
            <w:bottom w:val="none" w:sz="0" w:space="0" w:color="auto"/>
            <w:right w:val="none" w:sz="0" w:space="0" w:color="auto"/>
          </w:divBdr>
        </w:div>
        <w:div w:id="1639260090">
          <w:marLeft w:val="0"/>
          <w:marRight w:val="0"/>
          <w:marTop w:val="0"/>
          <w:marBottom w:val="0"/>
          <w:divBdr>
            <w:top w:val="none" w:sz="0" w:space="0" w:color="auto"/>
            <w:left w:val="none" w:sz="0" w:space="0" w:color="auto"/>
            <w:bottom w:val="none" w:sz="0" w:space="0" w:color="auto"/>
            <w:right w:val="none" w:sz="0" w:space="0" w:color="auto"/>
          </w:divBdr>
        </w:div>
      </w:divsChild>
    </w:div>
    <w:div w:id="1723404291">
      <w:bodyDiv w:val="1"/>
      <w:marLeft w:val="0"/>
      <w:marRight w:val="0"/>
      <w:marTop w:val="0"/>
      <w:marBottom w:val="0"/>
      <w:divBdr>
        <w:top w:val="none" w:sz="0" w:space="0" w:color="auto"/>
        <w:left w:val="none" w:sz="0" w:space="0" w:color="auto"/>
        <w:bottom w:val="none" w:sz="0" w:space="0" w:color="auto"/>
        <w:right w:val="none" w:sz="0" w:space="0" w:color="auto"/>
      </w:divBdr>
    </w:div>
    <w:div w:id="1734572896">
      <w:bodyDiv w:val="1"/>
      <w:marLeft w:val="0"/>
      <w:marRight w:val="0"/>
      <w:marTop w:val="0"/>
      <w:marBottom w:val="0"/>
      <w:divBdr>
        <w:top w:val="none" w:sz="0" w:space="0" w:color="auto"/>
        <w:left w:val="none" w:sz="0" w:space="0" w:color="auto"/>
        <w:bottom w:val="none" w:sz="0" w:space="0" w:color="auto"/>
        <w:right w:val="none" w:sz="0" w:space="0" w:color="auto"/>
      </w:divBdr>
    </w:div>
    <w:div w:id="1795099570">
      <w:bodyDiv w:val="1"/>
      <w:marLeft w:val="0"/>
      <w:marRight w:val="0"/>
      <w:marTop w:val="0"/>
      <w:marBottom w:val="0"/>
      <w:divBdr>
        <w:top w:val="none" w:sz="0" w:space="0" w:color="auto"/>
        <w:left w:val="none" w:sz="0" w:space="0" w:color="auto"/>
        <w:bottom w:val="none" w:sz="0" w:space="0" w:color="auto"/>
        <w:right w:val="none" w:sz="0" w:space="0" w:color="auto"/>
      </w:divBdr>
    </w:div>
    <w:div w:id="1810585780">
      <w:bodyDiv w:val="1"/>
      <w:marLeft w:val="0"/>
      <w:marRight w:val="0"/>
      <w:marTop w:val="0"/>
      <w:marBottom w:val="0"/>
      <w:divBdr>
        <w:top w:val="none" w:sz="0" w:space="0" w:color="auto"/>
        <w:left w:val="none" w:sz="0" w:space="0" w:color="auto"/>
        <w:bottom w:val="none" w:sz="0" w:space="0" w:color="auto"/>
        <w:right w:val="none" w:sz="0" w:space="0" w:color="auto"/>
      </w:divBdr>
    </w:div>
    <w:div w:id="1858617245">
      <w:bodyDiv w:val="1"/>
      <w:marLeft w:val="0"/>
      <w:marRight w:val="0"/>
      <w:marTop w:val="0"/>
      <w:marBottom w:val="0"/>
      <w:divBdr>
        <w:top w:val="none" w:sz="0" w:space="0" w:color="auto"/>
        <w:left w:val="none" w:sz="0" w:space="0" w:color="auto"/>
        <w:bottom w:val="none" w:sz="0" w:space="0" w:color="auto"/>
        <w:right w:val="none" w:sz="0" w:space="0" w:color="auto"/>
      </w:divBdr>
      <w:divsChild>
        <w:div w:id="157769265">
          <w:marLeft w:val="0"/>
          <w:marRight w:val="0"/>
          <w:marTop w:val="0"/>
          <w:marBottom w:val="0"/>
          <w:divBdr>
            <w:top w:val="none" w:sz="0" w:space="0" w:color="auto"/>
            <w:left w:val="none" w:sz="0" w:space="0" w:color="auto"/>
            <w:bottom w:val="none" w:sz="0" w:space="0" w:color="auto"/>
            <w:right w:val="none" w:sz="0" w:space="0" w:color="auto"/>
          </w:divBdr>
        </w:div>
        <w:div w:id="382219614">
          <w:marLeft w:val="0"/>
          <w:marRight w:val="0"/>
          <w:marTop w:val="0"/>
          <w:marBottom w:val="0"/>
          <w:divBdr>
            <w:top w:val="none" w:sz="0" w:space="0" w:color="auto"/>
            <w:left w:val="none" w:sz="0" w:space="0" w:color="auto"/>
            <w:bottom w:val="none" w:sz="0" w:space="0" w:color="auto"/>
            <w:right w:val="none" w:sz="0" w:space="0" w:color="auto"/>
          </w:divBdr>
        </w:div>
      </w:divsChild>
    </w:div>
    <w:div w:id="1889219336">
      <w:bodyDiv w:val="1"/>
      <w:marLeft w:val="0"/>
      <w:marRight w:val="0"/>
      <w:marTop w:val="0"/>
      <w:marBottom w:val="0"/>
      <w:divBdr>
        <w:top w:val="none" w:sz="0" w:space="0" w:color="auto"/>
        <w:left w:val="none" w:sz="0" w:space="0" w:color="auto"/>
        <w:bottom w:val="none" w:sz="0" w:space="0" w:color="auto"/>
        <w:right w:val="none" w:sz="0" w:space="0" w:color="auto"/>
      </w:divBdr>
      <w:divsChild>
        <w:div w:id="408039755">
          <w:marLeft w:val="0"/>
          <w:marRight w:val="0"/>
          <w:marTop w:val="0"/>
          <w:marBottom w:val="0"/>
          <w:divBdr>
            <w:top w:val="none" w:sz="0" w:space="0" w:color="auto"/>
            <w:left w:val="none" w:sz="0" w:space="0" w:color="auto"/>
            <w:bottom w:val="none" w:sz="0" w:space="0" w:color="auto"/>
            <w:right w:val="none" w:sz="0" w:space="0" w:color="auto"/>
          </w:divBdr>
        </w:div>
        <w:div w:id="494614902">
          <w:marLeft w:val="0"/>
          <w:marRight w:val="0"/>
          <w:marTop w:val="0"/>
          <w:marBottom w:val="0"/>
          <w:divBdr>
            <w:top w:val="none" w:sz="0" w:space="0" w:color="auto"/>
            <w:left w:val="none" w:sz="0" w:space="0" w:color="auto"/>
            <w:bottom w:val="none" w:sz="0" w:space="0" w:color="auto"/>
            <w:right w:val="none" w:sz="0" w:space="0" w:color="auto"/>
          </w:divBdr>
        </w:div>
        <w:div w:id="582640798">
          <w:marLeft w:val="0"/>
          <w:marRight w:val="0"/>
          <w:marTop w:val="0"/>
          <w:marBottom w:val="0"/>
          <w:divBdr>
            <w:top w:val="none" w:sz="0" w:space="0" w:color="auto"/>
            <w:left w:val="none" w:sz="0" w:space="0" w:color="auto"/>
            <w:bottom w:val="none" w:sz="0" w:space="0" w:color="auto"/>
            <w:right w:val="none" w:sz="0" w:space="0" w:color="auto"/>
          </w:divBdr>
        </w:div>
        <w:div w:id="604927682">
          <w:marLeft w:val="0"/>
          <w:marRight w:val="0"/>
          <w:marTop w:val="0"/>
          <w:marBottom w:val="0"/>
          <w:divBdr>
            <w:top w:val="none" w:sz="0" w:space="0" w:color="auto"/>
            <w:left w:val="none" w:sz="0" w:space="0" w:color="auto"/>
            <w:bottom w:val="none" w:sz="0" w:space="0" w:color="auto"/>
            <w:right w:val="none" w:sz="0" w:space="0" w:color="auto"/>
          </w:divBdr>
        </w:div>
        <w:div w:id="620845520">
          <w:marLeft w:val="0"/>
          <w:marRight w:val="0"/>
          <w:marTop w:val="0"/>
          <w:marBottom w:val="0"/>
          <w:divBdr>
            <w:top w:val="none" w:sz="0" w:space="0" w:color="auto"/>
            <w:left w:val="none" w:sz="0" w:space="0" w:color="auto"/>
            <w:bottom w:val="none" w:sz="0" w:space="0" w:color="auto"/>
            <w:right w:val="none" w:sz="0" w:space="0" w:color="auto"/>
          </w:divBdr>
        </w:div>
        <w:div w:id="646982810">
          <w:marLeft w:val="0"/>
          <w:marRight w:val="0"/>
          <w:marTop w:val="0"/>
          <w:marBottom w:val="0"/>
          <w:divBdr>
            <w:top w:val="none" w:sz="0" w:space="0" w:color="auto"/>
            <w:left w:val="none" w:sz="0" w:space="0" w:color="auto"/>
            <w:bottom w:val="none" w:sz="0" w:space="0" w:color="auto"/>
            <w:right w:val="none" w:sz="0" w:space="0" w:color="auto"/>
          </w:divBdr>
        </w:div>
        <w:div w:id="1741367463">
          <w:marLeft w:val="0"/>
          <w:marRight w:val="0"/>
          <w:marTop w:val="0"/>
          <w:marBottom w:val="0"/>
          <w:divBdr>
            <w:top w:val="none" w:sz="0" w:space="0" w:color="auto"/>
            <w:left w:val="none" w:sz="0" w:space="0" w:color="auto"/>
            <w:bottom w:val="none" w:sz="0" w:space="0" w:color="auto"/>
            <w:right w:val="none" w:sz="0" w:space="0" w:color="auto"/>
          </w:divBdr>
        </w:div>
        <w:div w:id="1929345606">
          <w:marLeft w:val="0"/>
          <w:marRight w:val="0"/>
          <w:marTop w:val="0"/>
          <w:marBottom w:val="0"/>
          <w:divBdr>
            <w:top w:val="none" w:sz="0" w:space="0" w:color="auto"/>
            <w:left w:val="none" w:sz="0" w:space="0" w:color="auto"/>
            <w:bottom w:val="none" w:sz="0" w:space="0" w:color="auto"/>
            <w:right w:val="none" w:sz="0" w:space="0" w:color="auto"/>
          </w:divBdr>
        </w:div>
      </w:divsChild>
    </w:div>
    <w:div w:id="1904103773">
      <w:bodyDiv w:val="1"/>
      <w:marLeft w:val="0"/>
      <w:marRight w:val="0"/>
      <w:marTop w:val="0"/>
      <w:marBottom w:val="0"/>
      <w:divBdr>
        <w:top w:val="none" w:sz="0" w:space="0" w:color="auto"/>
        <w:left w:val="none" w:sz="0" w:space="0" w:color="auto"/>
        <w:bottom w:val="none" w:sz="0" w:space="0" w:color="auto"/>
        <w:right w:val="none" w:sz="0" w:space="0" w:color="auto"/>
      </w:divBdr>
    </w:div>
    <w:div w:id="1912540921">
      <w:bodyDiv w:val="1"/>
      <w:marLeft w:val="0"/>
      <w:marRight w:val="0"/>
      <w:marTop w:val="0"/>
      <w:marBottom w:val="0"/>
      <w:divBdr>
        <w:top w:val="none" w:sz="0" w:space="0" w:color="auto"/>
        <w:left w:val="none" w:sz="0" w:space="0" w:color="auto"/>
        <w:bottom w:val="none" w:sz="0" w:space="0" w:color="auto"/>
        <w:right w:val="none" w:sz="0" w:space="0" w:color="auto"/>
      </w:divBdr>
      <w:divsChild>
        <w:div w:id="10956475">
          <w:marLeft w:val="0"/>
          <w:marRight w:val="0"/>
          <w:marTop w:val="0"/>
          <w:marBottom w:val="0"/>
          <w:divBdr>
            <w:top w:val="none" w:sz="0" w:space="0" w:color="auto"/>
            <w:left w:val="none" w:sz="0" w:space="0" w:color="auto"/>
            <w:bottom w:val="none" w:sz="0" w:space="0" w:color="auto"/>
            <w:right w:val="none" w:sz="0" w:space="0" w:color="auto"/>
          </w:divBdr>
        </w:div>
        <w:div w:id="212082486">
          <w:marLeft w:val="0"/>
          <w:marRight w:val="0"/>
          <w:marTop w:val="0"/>
          <w:marBottom w:val="0"/>
          <w:divBdr>
            <w:top w:val="none" w:sz="0" w:space="0" w:color="auto"/>
            <w:left w:val="none" w:sz="0" w:space="0" w:color="auto"/>
            <w:bottom w:val="none" w:sz="0" w:space="0" w:color="auto"/>
            <w:right w:val="none" w:sz="0" w:space="0" w:color="auto"/>
          </w:divBdr>
        </w:div>
        <w:div w:id="274604334">
          <w:marLeft w:val="0"/>
          <w:marRight w:val="0"/>
          <w:marTop w:val="0"/>
          <w:marBottom w:val="0"/>
          <w:divBdr>
            <w:top w:val="none" w:sz="0" w:space="0" w:color="auto"/>
            <w:left w:val="none" w:sz="0" w:space="0" w:color="auto"/>
            <w:bottom w:val="none" w:sz="0" w:space="0" w:color="auto"/>
            <w:right w:val="none" w:sz="0" w:space="0" w:color="auto"/>
          </w:divBdr>
        </w:div>
        <w:div w:id="1171720443">
          <w:marLeft w:val="0"/>
          <w:marRight w:val="0"/>
          <w:marTop w:val="0"/>
          <w:marBottom w:val="0"/>
          <w:divBdr>
            <w:top w:val="none" w:sz="0" w:space="0" w:color="auto"/>
            <w:left w:val="none" w:sz="0" w:space="0" w:color="auto"/>
            <w:bottom w:val="none" w:sz="0" w:space="0" w:color="auto"/>
            <w:right w:val="none" w:sz="0" w:space="0" w:color="auto"/>
          </w:divBdr>
        </w:div>
        <w:div w:id="1257327139">
          <w:marLeft w:val="0"/>
          <w:marRight w:val="0"/>
          <w:marTop w:val="0"/>
          <w:marBottom w:val="0"/>
          <w:divBdr>
            <w:top w:val="none" w:sz="0" w:space="0" w:color="auto"/>
            <w:left w:val="none" w:sz="0" w:space="0" w:color="auto"/>
            <w:bottom w:val="none" w:sz="0" w:space="0" w:color="auto"/>
            <w:right w:val="none" w:sz="0" w:space="0" w:color="auto"/>
          </w:divBdr>
        </w:div>
        <w:div w:id="2125536595">
          <w:marLeft w:val="0"/>
          <w:marRight w:val="0"/>
          <w:marTop w:val="0"/>
          <w:marBottom w:val="0"/>
          <w:divBdr>
            <w:top w:val="none" w:sz="0" w:space="0" w:color="auto"/>
            <w:left w:val="none" w:sz="0" w:space="0" w:color="auto"/>
            <w:bottom w:val="none" w:sz="0" w:space="0" w:color="auto"/>
            <w:right w:val="none" w:sz="0" w:space="0" w:color="auto"/>
          </w:divBdr>
        </w:div>
      </w:divsChild>
    </w:div>
    <w:div w:id="1929850210">
      <w:bodyDiv w:val="1"/>
      <w:marLeft w:val="0"/>
      <w:marRight w:val="0"/>
      <w:marTop w:val="0"/>
      <w:marBottom w:val="0"/>
      <w:divBdr>
        <w:top w:val="none" w:sz="0" w:space="0" w:color="auto"/>
        <w:left w:val="none" w:sz="0" w:space="0" w:color="auto"/>
        <w:bottom w:val="none" w:sz="0" w:space="0" w:color="auto"/>
        <w:right w:val="none" w:sz="0" w:space="0" w:color="auto"/>
      </w:divBdr>
    </w:div>
    <w:div w:id="1945722743">
      <w:bodyDiv w:val="1"/>
      <w:marLeft w:val="0"/>
      <w:marRight w:val="0"/>
      <w:marTop w:val="0"/>
      <w:marBottom w:val="0"/>
      <w:divBdr>
        <w:top w:val="none" w:sz="0" w:space="0" w:color="auto"/>
        <w:left w:val="none" w:sz="0" w:space="0" w:color="auto"/>
        <w:bottom w:val="none" w:sz="0" w:space="0" w:color="auto"/>
        <w:right w:val="none" w:sz="0" w:space="0" w:color="auto"/>
      </w:divBdr>
      <w:divsChild>
        <w:div w:id="1094276812">
          <w:marLeft w:val="0"/>
          <w:marRight w:val="0"/>
          <w:marTop w:val="0"/>
          <w:marBottom w:val="0"/>
          <w:divBdr>
            <w:top w:val="none" w:sz="0" w:space="0" w:color="auto"/>
            <w:left w:val="none" w:sz="0" w:space="0" w:color="auto"/>
            <w:bottom w:val="none" w:sz="0" w:space="0" w:color="auto"/>
            <w:right w:val="none" w:sz="0" w:space="0" w:color="auto"/>
          </w:divBdr>
        </w:div>
        <w:div w:id="1508522608">
          <w:marLeft w:val="0"/>
          <w:marRight w:val="0"/>
          <w:marTop w:val="0"/>
          <w:marBottom w:val="0"/>
          <w:divBdr>
            <w:top w:val="none" w:sz="0" w:space="0" w:color="auto"/>
            <w:left w:val="none" w:sz="0" w:space="0" w:color="auto"/>
            <w:bottom w:val="none" w:sz="0" w:space="0" w:color="auto"/>
            <w:right w:val="none" w:sz="0" w:space="0" w:color="auto"/>
          </w:divBdr>
        </w:div>
        <w:div w:id="1786076102">
          <w:marLeft w:val="0"/>
          <w:marRight w:val="0"/>
          <w:marTop w:val="0"/>
          <w:marBottom w:val="0"/>
          <w:divBdr>
            <w:top w:val="none" w:sz="0" w:space="0" w:color="auto"/>
            <w:left w:val="none" w:sz="0" w:space="0" w:color="auto"/>
            <w:bottom w:val="none" w:sz="0" w:space="0" w:color="auto"/>
            <w:right w:val="none" w:sz="0" w:space="0" w:color="auto"/>
          </w:divBdr>
        </w:div>
        <w:div w:id="1812865428">
          <w:marLeft w:val="0"/>
          <w:marRight w:val="0"/>
          <w:marTop w:val="0"/>
          <w:marBottom w:val="0"/>
          <w:divBdr>
            <w:top w:val="none" w:sz="0" w:space="0" w:color="auto"/>
            <w:left w:val="none" w:sz="0" w:space="0" w:color="auto"/>
            <w:bottom w:val="none" w:sz="0" w:space="0" w:color="auto"/>
            <w:right w:val="none" w:sz="0" w:space="0" w:color="auto"/>
          </w:divBdr>
        </w:div>
      </w:divsChild>
    </w:div>
    <w:div w:id="1955942887">
      <w:bodyDiv w:val="1"/>
      <w:marLeft w:val="0"/>
      <w:marRight w:val="0"/>
      <w:marTop w:val="0"/>
      <w:marBottom w:val="0"/>
      <w:divBdr>
        <w:top w:val="none" w:sz="0" w:space="0" w:color="auto"/>
        <w:left w:val="none" w:sz="0" w:space="0" w:color="auto"/>
        <w:bottom w:val="none" w:sz="0" w:space="0" w:color="auto"/>
        <w:right w:val="none" w:sz="0" w:space="0" w:color="auto"/>
      </w:divBdr>
    </w:div>
    <w:div w:id="1969893797">
      <w:bodyDiv w:val="1"/>
      <w:marLeft w:val="0"/>
      <w:marRight w:val="0"/>
      <w:marTop w:val="0"/>
      <w:marBottom w:val="0"/>
      <w:divBdr>
        <w:top w:val="none" w:sz="0" w:space="0" w:color="auto"/>
        <w:left w:val="none" w:sz="0" w:space="0" w:color="auto"/>
        <w:bottom w:val="none" w:sz="0" w:space="0" w:color="auto"/>
        <w:right w:val="none" w:sz="0" w:space="0" w:color="auto"/>
      </w:divBdr>
      <w:divsChild>
        <w:div w:id="703334093">
          <w:marLeft w:val="0"/>
          <w:marRight w:val="0"/>
          <w:marTop w:val="0"/>
          <w:marBottom w:val="0"/>
          <w:divBdr>
            <w:top w:val="none" w:sz="0" w:space="0" w:color="auto"/>
            <w:left w:val="none" w:sz="0" w:space="0" w:color="auto"/>
            <w:bottom w:val="none" w:sz="0" w:space="0" w:color="auto"/>
            <w:right w:val="none" w:sz="0" w:space="0" w:color="auto"/>
          </w:divBdr>
        </w:div>
        <w:div w:id="875388283">
          <w:marLeft w:val="0"/>
          <w:marRight w:val="0"/>
          <w:marTop w:val="0"/>
          <w:marBottom w:val="0"/>
          <w:divBdr>
            <w:top w:val="none" w:sz="0" w:space="0" w:color="auto"/>
            <w:left w:val="none" w:sz="0" w:space="0" w:color="auto"/>
            <w:bottom w:val="none" w:sz="0" w:space="0" w:color="auto"/>
            <w:right w:val="none" w:sz="0" w:space="0" w:color="auto"/>
          </w:divBdr>
        </w:div>
        <w:div w:id="1802963406">
          <w:marLeft w:val="0"/>
          <w:marRight w:val="0"/>
          <w:marTop w:val="0"/>
          <w:marBottom w:val="0"/>
          <w:divBdr>
            <w:top w:val="none" w:sz="0" w:space="0" w:color="auto"/>
            <w:left w:val="none" w:sz="0" w:space="0" w:color="auto"/>
            <w:bottom w:val="none" w:sz="0" w:space="0" w:color="auto"/>
            <w:right w:val="none" w:sz="0" w:space="0" w:color="auto"/>
          </w:divBdr>
        </w:div>
      </w:divsChild>
    </w:div>
    <w:div w:id="1977878532">
      <w:bodyDiv w:val="1"/>
      <w:marLeft w:val="0"/>
      <w:marRight w:val="0"/>
      <w:marTop w:val="0"/>
      <w:marBottom w:val="0"/>
      <w:divBdr>
        <w:top w:val="none" w:sz="0" w:space="0" w:color="auto"/>
        <w:left w:val="none" w:sz="0" w:space="0" w:color="auto"/>
        <w:bottom w:val="none" w:sz="0" w:space="0" w:color="auto"/>
        <w:right w:val="none" w:sz="0" w:space="0" w:color="auto"/>
      </w:divBdr>
    </w:div>
    <w:div w:id="2041513474">
      <w:bodyDiv w:val="1"/>
      <w:marLeft w:val="0"/>
      <w:marRight w:val="0"/>
      <w:marTop w:val="0"/>
      <w:marBottom w:val="0"/>
      <w:divBdr>
        <w:top w:val="none" w:sz="0" w:space="0" w:color="auto"/>
        <w:left w:val="none" w:sz="0" w:space="0" w:color="auto"/>
        <w:bottom w:val="none" w:sz="0" w:space="0" w:color="auto"/>
        <w:right w:val="none" w:sz="0" w:space="0" w:color="auto"/>
      </w:divBdr>
    </w:div>
    <w:div w:id="2053384801">
      <w:bodyDiv w:val="1"/>
      <w:marLeft w:val="0"/>
      <w:marRight w:val="0"/>
      <w:marTop w:val="0"/>
      <w:marBottom w:val="0"/>
      <w:divBdr>
        <w:top w:val="none" w:sz="0" w:space="0" w:color="auto"/>
        <w:left w:val="none" w:sz="0" w:space="0" w:color="auto"/>
        <w:bottom w:val="none" w:sz="0" w:space="0" w:color="auto"/>
        <w:right w:val="none" w:sz="0" w:space="0" w:color="auto"/>
      </w:divBdr>
    </w:div>
    <w:div w:id="2061977419">
      <w:bodyDiv w:val="1"/>
      <w:marLeft w:val="0"/>
      <w:marRight w:val="0"/>
      <w:marTop w:val="0"/>
      <w:marBottom w:val="0"/>
      <w:divBdr>
        <w:top w:val="none" w:sz="0" w:space="0" w:color="auto"/>
        <w:left w:val="none" w:sz="0" w:space="0" w:color="auto"/>
        <w:bottom w:val="none" w:sz="0" w:space="0" w:color="auto"/>
        <w:right w:val="none" w:sz="0" w:space="0" w:color="auto"/>
      </w:divBdr>
    </w:div>
    <w:div w:id="2063748075">
      <w:bodyDiv w:val="1"/>
      <w:marLeft w:val="0"/>
      <w:marRight w:val="0"/>
      <w:marTop w:val="0"/>
      <w:marBottom w:val="0"/>
      <w:divBdr>
        <w:top w:val="none" w:sz="0" w:space="0" w:color="auto"/>
        <w:left w:val="none" w:sz="0" w:space="0" w:color="auto"/>
        <w:bottom w:val="none" w:sz="0" w:space="0" w:color="auto"/>
        <w:right w:val="none" w:sz="0" w:space="0" w:color="auto"/>
      </w:divBdr>
    </w:div>
    <w:div w:id="2068609071">
      <w:bodyDiv w:val="1"/>
      <w:marLeft w:val="0"/>
      <w:marRight w:val="0"/>
      <w:marTop w:val="0"/>
      <w:marBottom w:val="0"/>
      <w:divBdr>
        <w:top w:val="none" w:sz="0" w:space="0" w:color="auto"/>
        <w:left w:val="none" w:sz="0" w:space="0" w:color="auto"/>
        <w:bottom w:val="none" w:sz="0" w:space="0" w:color="auto"/>
        <w:right w:val="none" w:sz="0" w:space="0" w:color="auto"/>
      </w:divBdr>
    </w:div>
    <w:div w:id="2071465527">
      <w:bodyDiv w:val="1"/>
      <w:marLeft w:val="0"/>
      <w:marRight w:val="0"/>
      <w:marTop w:val="0"/>
      <w:marBottom w:val="0"/>
      <w:divBdr>
        <w:top w:val="none" w:sz="0" w:space="0" w:color="auto"/>
        <w:left w:val="none" w:sz="0" w:space="0" w:color="auto"/>
        <w:bottom w:val="none" w:sz="0" w:space="0" w:color="auto"/>
        <w:right w:val="none" w:sz="0" w:space="0" w:color="auto"/>
      </w:divBdr>
      <w:divsChild>
        <w:div w:id="256334527">
          <w:marLeft w:val="0"/>
          <w:marRight w:val="0"/>
          <w:marTop w:val="0"/>
          <w:marBottom w:val="0"/>
          <w:divBdr>
            <w:top w:val="none" w:sz="0" w:space="0" w:color="auto"/>
            <w:left w:val="none" w:sz="0" w:space="0" w:color="auto"/>
            <w:bottom w:val="none" w:sz="0" w:space="0" w:color="auto"/>
            <w:right w:val="none" w:sz="0" w:space="0" w:color="auto"/>
          </w:divBdr>
        </w:div>
        <w:div w:id="518155434">
          <w:marLeft w:val="0"/>
          <w:marRight w:val="0"/>
          <w:marTop w:val="0"/>
          <w:marBottom w:val="0"/>
          <w:divBdr>
            <w:top w:val="none" w:sz="0" w:space="0" w:color="auto"/>
            <w:left w:val="none" w:sz="0" w:space="0" w:color="auto"/>
            <w:bottom w:val="none" w:sz="0" w:space="0" w:color="auto"/>
            <w:right w:val="none" w:sz="0" w:space="0" w:color="auto"/>
          </w:divBdr>
        </w:div>
        <w:div w:id="759831940">
          <w:marLeft w:val="0"/>
          <w:marRight w:val="0"/>
          <w:marTop w:val="0"/>
          <w:marBottom w:val="0"/>
          <w:divBdr>
            <w:top w:val="none" w:sz="0" w:space="0" w:color="auto"/>
            <w:left w:val="none" w:sz="0" w:space="0" w:color="auto"/>
            <w:bottom w:val="none" w:sz="0" w:space="0" w:color="auto"/>
            <w:right w:val="none" w:sz="0" w:space="0" w:color="auto"/>
          </w:divBdr>
        </w:div>
        <w:div w:id="1372850827">
          <w:marLeft w:val="0"/>
          <w:marRight w:val="0"/>
          <w:marTop w:val="0"/>
          <w:marBottom w:val="0"/>
          <w:divBdr>
            <w:top w:val="none" w:sz="0" w:space="0" w:color="auto"/>
            <w:left w:val="none" w:sz="0" w:space="0" w:color="auto"/>
            <w:bottom w:val="none" w:sz="0" w:space="0" w:color="auto"/>
            <w:right w:val="none" w:sz="0" w:space="0" w:color="auto"/>
          </w:divBdr>
        </w:div>
        <w:div w:id="1701933917">
          <w:marLeft w:val="0"/>
          <w:marRight w:val="0"/>
          <w:marTop w:val="0"/>
          <w:marBottom w:val="0"/>
          <w:divBdr>
            <w:top w:val="none" w:sz="0" w:space="0" w:color="auto"/>
            <w:left w:val="none" w:sz="0" w:space="0" w:color="auto"/>
            <w:bottom w:val="none" w:sz="0" w:space="0" w:color="auto"/>
            <w:right w:val="none" w:sz="0" w:space="0" w:color="auto"/>
          </w:divBdr>
        </w:div>
        <w:div w:id="1799453011">
          <w:marLeft w:val="0"/>
          <w:marRight w:val="0"/>
          <w:marTop w:val="0"/>
          <w:marBottom w:val="0"/>
          <w:divBdr>
            <w:top w:val="none" w:sz="0" w:space="0" w:color="auto"/>
            <w:left w:val="none" w:sz="0" w:space="0" w:color="auto"/>
            <w:bottom w:val="none" w:sz="0" w:space="0" w:color="auto"/>
            <w:right w:val="none" w:sz="0" w:space="0" w:color="auto"/>
          </w:divBdr>
        </w:div>
        <w:div w:id="1827822859">
          <w:marLeft w:val="0"/>
          <w:marRight w:val="0"/>
          <w:marTop w:val="0"/>
          <w:marBottom w:val="0"/>
          <w:divBdr>
            <w:top w:val="none" w:sz="0" w:space="0" w:color="auto"/>
            <w:left w:val="none" w:sz="0" w:space="0" w:color="auto"/>
            <w:bottom w:val="none" w:sz="0" w:space="0" w:color="auto"/>
            <w:right w:val="none" w:sz="0" w:space="0" w:color="auto"/>
          </w:divBdr>
        </w:div>
        <w:div w:id="1925337915">
          <w:marLeft w:val="0"/>
          <w:marRight w:val="0"/>
          <w:marTop w:val="0"/>
          <w:marBottom w:val="0"/>
          <w:divBdr>
            <w:top w:val="none" w:sz="0" w:space="0" w:color="auto"/>
            <w:left w:val="none" w:sz="0" w:space="0" w:color="auto"/>
            <w:bottom w:val="none" w:sz="0" w:space="0" w:color="auto"/>
            <w:right w:val="none" w:sz="0" w:space="0" w:color="auto"/>
          </w:divBdr>
        </w:div>
      </w:divsChild>
    </w:div>
    <w:div w:id="209377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13/1308/oj" TargetMode="External"/><Relationship Id="rId2" Type="http://schemas.openxmlformats.org/officeDocument/2006/relationships/hyperlink" Target="http://data.europa.eu/eli/agree_interinstit/2016/512/oj" TargetMode="External"/><Relationship Id="rId1" Type="http://schemas.openxmlformats.org/officeDocument/2006/relationships/hyperlink" Target="http://data.europa.eu/eli/reg/2024/2509/oj" TargetMode="External"/><Relationship Id="rId4" Type="http://schemas.openxmlformats.org/officeDocument/2006/relationships/hyperlink" Target="http://data.europa.eu/eli/reg/2009/1217/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f76611c0-4082-4d80-aa9e-b82bf290bbd2" xsi:nil="true"/>
    <Users xmlns="f76611c0-4082-4d80-aa9e-b82bf290bbd2">
      <UserInfo>
        <DisplayName/>
        <AccountId xsi:nil="true"/>
        <AccountType/>
      </UserInfo>
    </Users>
    <Description_2 xmlns="f76611c0-4082-4d80-aa9e-b82bf290bbd2" xsi:nil="true"/>
    <TaxCatchAll xmlns="b6d4cde7-209b-4353-8904-a6d145be66ae" xsi:nil="true"/>
    <lcf76f155ced4ddcb4097134ff3c332f xmlns="f76611c0-4082-4d80-aa9e-b82bf290bbd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Comments xmlns="f76611c0-4082-4d80-aa9e-b82bf290bb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5A12EBBE768C458E41CF953221EDB1" ma:contentTypeVersion="20" ma:contentTypeDescription="Create a new document." ma:contentTypeScope="" ma:versionID="d27530eecd99e6aaeccf50177fed1c5a">
  <xsd:schema xmlns:xsd="http://www.w3.org/2001/XMLSchema" xmlns:xs="http://www.w3.org/2001/XMLSchema" xmlns:p="http://schemas.microsoft.com/office/2006/metadata/properties" xmlns:ns2="f76611c0-4082-4d80-aa9e-b82bf290bbd2" xmlns:ns3="b6d4cde7-209b-4353-8904-a6d145be66ae" targetNamespace="http://schemas.microsoft.com/office/2006/metadata/properties" ma:root="true" ma:fieldsID="ba22cde770ef27330c795d5fa2e821cf" ns2:_="" ns3:_="">
    <xsd:import namespace="f76611c0-4082-4d80-aa9e-b82bf290bbd2"/>
    <xsd:import namespace="b6d4cde7-209b-4353-8904-a6d145be66ae"/>
    <xsd:element name="properties">
      <xsd:complexType>
        <xsd:sequence>
          <xsd:element name="documentManagement">
            <xsd:complexType>
              <xsd:all>
                <xsd:element ref="ns2:Users" minOccurs="0"/>
                <xsd:element ref="ns2:Comments" minOccurs="0"/>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cription_2"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611c0-4082-4d80-aa9e-b82bf290bbd2" elementFormDefault="qualified">
    <xsd:import namespace="http://schemas.microsoft.com/office/2006/documentManagement/types"/>
    <xsd:import namespace="http://schemas.microsoft.com/office/infopath/2007/PartnerControls"/>
    <xsd:element name="Users" ma:index="2" nillable="true" ma:displayName="Users" ma:format="Dropdown" ma:list="UserInfo" ma:SharePointGroup="0" ma:internalName="Use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 nillable="true" ma:displayName="SPO Comments" ma:format="Dropdown" ma:internalName="Comments">
      <xsd:simpleType>
        <xsd:restriction base="dms:Note">
          <xsd:maxLength value="255"/>
        </xsd:restriction>
      </xsd:simpleType>
    </xsd:element>
    <xsd:element name="Description" ma:index="4" nillable="true" ma:displayName="Description" ma:format="Dropdown" ma:internalNam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Description_2" ma:index="23" nillable="true" ma:displayName="Description_2" ma:format="Dropdown" ma:internalName="Description_2">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4cde7-209b-4353-8904-a6d145be66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d32c070-1309-46aa-9390-a4831651057c}" ma:internalName="TaxCatchAll" ma:showField="CatchAllData" ma:web="b6d4cde7-209b-4353-8904-a6d145be6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CD71A-4A08-4B5D-8E69-52D178F968D8}">
  <ds:schemaRefs>
    <ds:schemaRef ds:uri="http://schemas.microsoft.com/office/2006/metadata/properties"/>
    <ds:schemaRef ds:uri="http://schemas.microsoft.com/office/infopath/2007/PartnerControls"/>
    <ds:schemaRef ds:uri="f76611c0-4082-4d80-aa9e-b82bf290bbd2"/>
    <ds:schemaRef ds:uri="b6d4cde7-209b-4353-8904-a6d145be66ae"/>
  </ds:schemaRefs>
</ds:datastoreItem>
</file>

<file path=customXml/itemProps2.xml><?xml version="1.0" encoding="utf-8"?>
<ds:datastoreItem xmlns:ds="http://schemas.openxmlformats.org/officeDocument/2006/customXml" ds:itemID="{A443F067-59EF-49CF-B75A-BBFC06429CF4}">
  <ds:schemaRefs>
    <ds:schemaRef ds:uri="http://schemas.microsoft.com/sharepoint/v3/contenttype/forms"/>
  </ds:schemaRefs>
</ds:datastoreItem>
</file>

<file path=customXml/itemProps3.xml><?xml version="1.0" encoding="utf-8"?>
<ds:datastoreItem xmlns:ds="http://schemas.openxmlformats.org/officeDocument/2006/customXml" ds:itemID="{F699EC20-7015-4CE5-A00D-A149EF1E8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611c0-4082-4d80-aa9e-b82bf290bbd2"/>
    <ds:schemaRef ds:uri="b6d4cde7-209b-4353-8904-a6d145be6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10EA2B-F0AD-42CC-920D-0B957230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19</Pages>
  <Words>69388</Words>
  <Characters>395513</Characters>
  <Application>Microsoft Office Word</Application>
  <DocSecurity>0</DocSecurity>
  <Lines>3295</Lines>
  <Paragraphs>927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463974</CharactersWithSpaces>
  <SharedDoc>false</SharedDoc>
  <HLinks>
    <vt:vector size="42" baseType="variant">
      <vt:variant>
        <vt:i4>3801187</vt:i4>
      </vt:variant>
      <vt:variant>
        <vt:i4>6</vt:i4>
      </vt:variant>
      <vt:variant>
        <vt:i4>0</vt:i4>
      </vt:variant>
      <vt:variant>
        <vt:i4>5</vt:i4>
      </vt:variant>
      <vt:variant>
        <vt:lpwstr/>
      </vt:variant>
      <vt:variant>
        <vt:lpwstr>3.1!A52</vt:lpwstr>
      </vt:variant>
      <vt:variant>
        <vt:i4>3801187</vt:i4>
      </vt:variant>
      <vt:variant>
        <vt:i4>3</vt:i4>
      </vt:variant>
      <vt:variant>
        <vt:i4>0</vt:i4>
      </vt:variant>
      <vt:variant>
        <vt:i4>5</vt:i4>
      </vt:variant>
      <vt:variant>
        <vt:lpwstr/>
      </vt:variant>
      <vt:variant>
        <vt:lpwstr>3.1!A51</vt:lpwstr>
      </vt:variant>
      <vt:variant>
        <vt:i4>3801187</vt:i4>
      </vt:variant>
      <vt:variant>
        <vt:i4>0</vt:i4>
      </vt:variant>
      <vt:variant>
        <vt:i4>0</vt:i4>
      </vt:variant>
      <vt:variant>
        <vt:i4>5</vt:i4>
      </vt:variant>
      <vt:variant>
        <vt:lpwstr/>
      </vt:variant>
      <vt:variant>
        <vt:lpwstr>3.1!A50</vt:lpwstr>
      </vt:variant>
      <vt:variant>
        <vt:i4>6357099</vt:i4>
      </vt:variant>
      <vt:variant>
        <vt:i4>9</vt:i4>
      </vt:variant>
      <vt:variant>
        <vt:i4>0</vt:i4>
      </vt:variant>
      <vt:variant>
        <vt:i4>5</vt:i4>
      </vt:variant>
      <vt:variant>
        <vt:lpwstr>http://data.europa.eu/eli/reg/2009/1217/oj</vt:lpwstr>
      </vt:variant>
      <vt:variant>
        <vt:lpwstr/>
      </vt:variant>
      <vt:variant>
        <vt:i4>6946916</vt:i4>
      </vt:variant>
      <vt:variant>
        <vt:i4>6</vt:i4>
      </vt:variant>
      <vt:variant>
        <vt:i4>0</vt:i4>
      </vt:variant>
      <vt:variant>
        <vt:i4>5</vt:i4>
      </vt:variant>
      <vt:variant>
        <vt:lpwstr>http://data.europa.eu/eli/reg/2013/1308/oj</vt:lpwstr>
      </vt:variant>
      <vt:variant>
        <vt:lpwstr/>
      </vt:variant>
      <vt:variant>
        <vt:i4>196732</vt:i4>
      </vt:variant>
      <vt:variant>
        <vt:i4>3</vt:i4>
      </vt:variant>
      <vt:variant>
        <vt:i4>0</vt:i4>
      </vt:variant>
      <vt:variant>
        <vt:i4>5</vt:i4>
      </vt:variant>
      <vt:variant>
        <vt:lpwstr>http://data.europa.eu/eli/agree_interinstit/2016/512/oj</vt:lpwstr>
      </vt:variant>
      <vt:variant>
        <vt:lpwstr/>
      </vt:variant>
      <vt:variant>
        <vt:i4>7209056</vt:i4>
      </vt:variant>
      <vt:variant>
        <vt:i4>0</vt:i4>
      </vt:variant>
      <vt:variant>
        <vt:i4>0</vt:i4>
      </vt:variant>
      <vt:variant>
        <vt:i4>5</vt:i4>
      </vt:variant>
      <vt:variant>
        <vt:lpwstr>http://data.europa.eu/eli/reg/2024/2509/oj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2025-07-16T06:57:00Z</dcterms:created>
  <dcterms:modified xsi:type="dcterms:W3CDTF">2025-09-08T15:57:00Z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2025-07-14T22:24:32Z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c32330f6-6965-4ed4-b5ef-469d863d594d</vt:lpwstr>
  </property>
  <property fmtid="{D5CDD505-2E9C-101B-9397-08002B2CF9AE}" pid="8" name="MSIP_Label_6bd9ddd1-4d20-43f6-abfa-fc3c07406f94_ContentBits">
    <vt:lpwstr>0</vt:lpwstr>
  </property>
  <property fmtid="{D5CDD505-2E9C-101B-9397-08002B2CF9AE}" pid="9" name="Last edited using">
    <vt:lpwstr>LW 9.1, Build 20240808</vt:lpwstr>
  </property>
  <property fmtid="{D5CDD505-2E9C-101B-9397-08002B2CF9AE}" pid="10" name="ContentTypeId">
    <vt:lpwstr>0x0101007B5A12EBBE768C458E41CF953221EDB1</vt:lpwstr>
  </property>
  <property fmtid="{D5CDD505-2E9C-101B-9397-08002B2CF9AE}" pid="11" name="Category">
    <vt:lpwstr>COM/PL/ORG</vt:lpwstr>
  </property>
  <property fmtid="{D5CDD505-2E9C-101B-9397-08002B2CF9AE}" pid="12" name="MediaServiceImageTags">
    <vt:lpwstr/>
  </property>
  <property fmtid="{D5CDD505-2E9C-101B-9397-08002B2CF9AE}" pid="13" name="Level of sensitivity">
    <vt:lpwstr>Standard treatment</vt:lpwstr>
  </property>
  <property fmtid="{D5CDD505-2E9C-101B-9397-08002B2CF9AE}" pid="14" name="Part">
    <vt:lpwstr>1</vt:lpwstr>
  </property>
  <property fmtid="{D5CDD505-2E9C-101B-9397-08002B2CF9AE}" pid="15" name="Total parts">
    <vt:lpwstr>1</vt:lpwstr>
  </property>
  <property fmtid="{D5CDD505-2E9C-101B-9397-08002B2CF9AE}" pid="16" name="LWTemplateID">
    <vt:lpwstr>SJ-023</vt:lpwstr>
  </property>
  <property fmtid="{D5CDD505-2E9C-101B-9397-08002B2CF9AE}" pid="17" name="DQCStatus">
    <vt:lpwstr>Green (DQC version 03)</vt:lpwstr>
  </property>
</Properties>
</file>